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ACCDBEE">
      <w:pPr>
        <w:spacing w:line="240" w:lineRule="auto"/>
        <w:rPr>
          <w:rFonts w:hint="default" w:ascii="Times New Roman" w:hAnsi="Times New Roman" w:eastAsia="仿宋_GB2312" w:cs="Times New Roman"/>
          <w:color w:val="auto"/>
          <w:sz w:val="36"/>
          <w:szCs w:val="36"/>
          <w:highlight w:val="none"/>
        </w:rPr>
      </w:pPr>
      <w:bookmarkStart w:id="0" w:name="_Toc31633"/>
      <w:bookmarkStart w:id="1" w:name="_Toc10958"/>
    </w:p>
    <w:p w14:paraId="4E38398C">
      <w:pPr>
        <w:spacing w:line="240" w:lineRule="auto"/>
        <w:rPr>
          <w:rFonts w:hint="default" w:ascii="Times New Roman" w:hAnsi="Times New Roman" w:eastAsia="仿宋_GB2312" w:cs="Times New Roman"/>
          <w:color w:val="auto"/>
          <w:sz w:val="36"/>
          <w:szCs w:val="36"/>
          <w:highlight w:val="none"/>
        </w:rPr>
      </w:pPr>
    </w:p>
    <w:p w14:paraId="1FA3A762">
      <w:pPr>
        <w:spacing w:line="240" w:lineRule="auto"/>
        <w:rPr>
          <w:rFonts w:hint="default" w:ascii="Times New Roman" w:hAnsi="Times New Roman" w:eastAsia="仿宋_GB2312" w:cs="Times New Roman"/>
          <w:color w:val="auto"/>
          <w:sz w:val="36"/>
          <w:szCs w:val="36"/>
          <w:highlight w:val="none"/>
        </w:rPr>
      </w:pPr>
    </w:p>
    <w:p w14:paraId="087ACF27">
      <w:pPr>
        <w:spacing w:line="240" w:lineRule="auto"/>
        <w:rPr>
          <w:rFonts w:hint="default" w:ascii="Times New Roman" w:hAnsi="Times New Roman" w:eastAsia="仿宋_GB2312" w:cs="Times New Roman"/>
          <w:color w:val="auto"/>
          <w:sz w:val="36"/>
          <w:szCs w:val="36"/>
          <w:highlight w:val="none"/>
        </w:rPr>
      </w:pPr>
    </w:p>
    <w:p w14:paraId="375F24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方正小标宋_GBK" w:hAnsi="Times New Roman" w:eastAsia="方正小标宋_GBK" w:cs="Times New Roman"/>
          <w:bCs/>
          <w:color w:val="auto"/>
          <w:sz w:val="72"/>
          <w:szCs w:val="72"/>
          <w:highlight w:val="none"/>
        </w:rPr>
      </w:pPr>
      <w:r>
        <w:rPr>
          <w:rFonts w:hint="eastAsia" w:ascii="方正小标宋_GBK" w:hAnsi="Times New Roman" w:eastAsia="方正小标宋_GBK" w:cs="Times New Roman"/>
          <w:bCs/>
          <w:color w:val="auto"/>
          <w:sz w:val="72"/>
          <w:szCs w:val="72"/>
          <w:highlight w:val="none"/>
        </w:rPr>
        <w:t>建设项目环境影响报告表</w:t>
      </w:r>
      <w:bookmarkEnd w:id="0"/>
      <w:bookmarkEnd w:id="1"/>
    </w:p>
    <w:p w14:paraId="141DB5E7">
      <w:pPr>
        <w:adjustRightInd w:val="0"/>
        <w:snapToGrid w:val="0"/>
        <w:spacing w:before="192" w:beforeLines="80" w:line="240" w:lineRule="auto"/>
        <w:jc w:val="center"/>
        <w:rPr>
          <w:rFonts w:hint="eastAsia" w:ascii="楷体_GB2312" w:hAnsi="Times New Roman" w:eastAsia="楷体_GB2312" w:cs="Times New Roman"/>
          <w:bCs/>
          <w:color w:val="auto"/>
          <w:sz w:val="48"/>
          <w:szCs w:val="48"/>
          <w:highlight w:val="none"/>
        </w:rPr>
      </w:pPr>
      <w:r>
        <w:rPr>
          <w:rFonts w:hint="eastAsia" w:ascii="楷体_GB2312" w:hAnsi="Times New Roman" w:eastAsia="楷体_GB2312" w:cs="Times New Roman"/>
          <w:bCs/>
          <w:color w:val="auto"/>
          <w:sz w:val="48"/>
          <w:szCs w:val="48"/>
          <w:highlight w:val="none"/>
        </w:rPr>
        <w:t>（污染影响类）</w:t>
      </w:r>
    </w:p>
    <w:p w14:paraId="7D556E13">
      <w:pPr>
        <w:adjustRightInd w:val="0"/>
        <w:snapToGrid w:val="0"/>
        <w:spacing w:line="288" w:lineRule="auto"/>
        <w:ind w:firstLine="1040"/>
        <w:rPr>
          <w:rFonts w:hint="default" w:ascii="Times New Roman" w:hAnsi="Times New Roman" w:eastAsia="仿宋" w:cs="Times New Roman"/>
          <w:color w:val="auto"/>
          <w:sz w:val="36"/>
          <w:szCs w:val="36"/>
          <w:highlight w:val="none"/>
        </w:rPr>
      </w:pPr>
    </w:p>
    <w:p w14:paraId="0746112D">
      <w:pPr>
        <w:pStyle w:val="31"/>
        <w:bidi w:val="0"/>
        <w:rPr>
          <w:rFonts w:hint="default" w:ascii="Times New Roman" w:hAnsi="Times New Roman" w:cs="Times New Roman"/>
          <w:color w:val="auto"/>
          <w:highlight w:val="none"/>
        </w:rPr>
      </w:pPr>
    </w:p>
    <w:p w14:paraId="3CE5295E">
      <w:pPr>
        <w:pStyle w:val="31"/>
        <w:bidi w:val="0"/>
        <w:rPr>
          <w:rFonts w:hint="default" w:ascii="Times New Roman" w:hAnsi="Times New Roman" w:cs="Times New Roman"/>
          <w:color w:val="auto"/>
          <w:highlight w:val="none"/>
        </w:rPr>
      </w:pPr>
    </w:p>
    <w:p w14:paraId="11022F33">
      <w:pPr>
        <w:pStyle w:val="31"/>
        <w:bidi w:val="0"/>
        <w:rPr>
          <w:rFonts w:hint="default" w:ascii="Times New Roman" w:hAnsi="Times New Roman" w:cs="Times New Roman"/>
          <w:color w:val="auto"/>
          <w:highlight w:val="none"/>
        </w:rPr>
      </w:pPr>
    </w:p>
    <w:p w14:paraId="6ED848DE">
      <w:pPr>
        <w:pStyle w:val="31"/>
        <w:bidi w:val="0"/>
        <w:rPr>
          <w:rFonts w:hint="default" w:ascii="Times New Roman" w:hAnsi="Times New Roman" w:cs="Times New Roman"/>
          <w:color w:val="auto"/>
          <w:highlight w:val="none"/>
        </w:rPr>
      </w:pPr>
    </w:p>
    <w:p w14:paraId="086C16D5">
      <w:pPr>
        <w:pStyle w:val="31"/>
        <w:bidi w:val="0"/>
        <w:rPr>
          <w:rFonts w:hint="default" w:ascii="Times New Roman" w:hAnsi="Times New Roman" w:cs="Times New Roman"/>
          <w:color w:val="auto"/>
          <w:highlight w:val="none"/>
        </w:rPr>
      </w:pPr>
    </w:p>
    <w:p w14:paraId="1A029E3B">
      <w:pPr>
        <w:pStyle w:val="31"/>
        <w:bidi w:val="0"/>
        <w:rPr>
          <w:rFonts w:hint="default" w:ascii="Times New Roman" w:hAnsi="Times New Roman" w:cs="Times New Roman"/>
          <w:color w:val="auto"/>
          <w:highlight w:val="none"/>
        </w:rPr>
      </w:pPr>
    </w:p>
    <w:p w14:paraId="0910B13B">
      <w:pPr>
        <w:pStyle w:val="31"/>
        <w:bidi w:val="0"/>
        <w:rPr>
          <w:rFonts w:hint="default" w:ascii="Times New Roman" w:hAnsi="Times New Roman" w:cs="Times New Roman"/>
          <w:color w:val="auto"/>
          <w:highlight w:val="none"/>
        </w:rPr>
      </w:pPr>
    </w:p>
    <w:p w14:paraId="7CBB510F">
      <w:pPr>
        <w:pStyle w:val="31"/>
        <w:bidi w:val="0"/>
        <w:rPr>
          <w:rFonts w:hint="default" w:ascii="Times New Roman" w:hAnsi="Times New Roman" w:cs="Times New Roman"/>
          <w:color w:val="auto"/>
          <w:highlight w:val="none"/>
        </w:rPr>
      </w:pPr>
    </w:p>
    <w:p w14:paraId="12D5D2B0">
      <w:pPr>
        <w:pStyle w:val="31"/>
        <w:bidi w:val="0"/>
        <w:rPr>
          <w:rFonts w:hint="default" w:ascii="Times New Roman" w:hAnsi="Times New Roman" w:cs="Times New Roman"/>
          <w:color w:val="auto"/>
          <w:highlight w:val="none"/>
        </w:rPr>
      </w:pPr>
    </w:p>
    <w:p w14:paraId="39752498">
      <w:pPr>
        <w:pStyle w:val="31"/>
        <w:bidi w:val="0"/>
        <w:rPr>
          <w:rFonts w:hint="default" w:ascii="Times New Roman" w:hAnsi="Times New Roman" w:cs="Times New Roman"/>
          <w:color w:val="auto"/>
          <w:highlight w:val="none"/>
        </w:rPr>
      </w:pPr>
    </w:p>
    <w:p w14:paraId="0461042F">
      <w:pPr>
        <w:pStyle w:val="31"/>
        <w:bidi w:val="0"/>
        <w:rPr>
          <w:rFonts w:hint="default" w:ascii="Times New Roman" w:hAnsi="Times New Roman" w:cs="Times New Roman"/>
          <w:color w:val="auto"/>
          <w:highlight w:val="none"/>
        </w:rPr>
      </w:pPr>
    </w:p>
    <w:p w14:paraId="60D79C28">
      <w:pPr>
        <w:adjustRightInd w:val="0"/>
        <w:snapToGrid w:val="0"/>
        <w:spacing w:line="288" w:lineRule="auto"/>
        <w:ind w:firstLine="320" w:firstLineChars="100"/>
        <w:rPr>
          <w:rFonts w:hint="eastAsia" w:ascii="Times New Roman" w:hAnsi="Times New Roman" w:eastAsia="仿宋" w:cs="Times New Roman"/>
          <w:color w:val="auto"/>
          <w:sz w:val="32"/>
          <w:szCs w:val="32"/>
          <w:highlight w:val="none"/>
          <w:u w:val="single"/>
          <w:lang w:val="en-US" w:eastAsia="zh-CN"/>
        </w:rPr>
      </w:pPr>
      <w:r>
        <w:rPr>
          <w:rFonts w:hint="eastAsia" w:ascii="Times New Roman" w:hAnsi="Times New Roman" w:eastAsia="仿宋" w:cs="Times New Roman"/>
          <w:color w:val="auto"/>
          <w:sz w:val="32"/>
          <w:szCs w:val="32"/>
          <w:highlight w:val="none"/>
          <w:u w:val="none"/>
          <w:lang w:eastAsia="zh-CN"/>
        </w:rPr>
        <w:t>项目名称：</w:t>
      </w:r>
      <w:r>
        <w:rPr>
          <w:rFonts w:hint="eastAsia" w:ascii="Times New Roman" w:hAnsi="Times New Roman" w:eastAsia="仿宋" w:cs="Times New Roman"/>
          <w:color w:val="auto"/>
          <w:sz w:val="32"/>
          <w:szCs w:val="32"/>
          <w:highlight w:val="none"/>
          <w:u w:val="single"/>
          <w:lang w:val="en-US" w:eastAsia="zh-CN"/>
        </w:rPr>
        <w:t>双鸭山集宏商品混凝土制造有限公司建设项目</w:t>
      </w:r>
    </w:p>
    <w:p w14:paraId="1F8757E7">
      <w:pPr>
        <w:adjustRightInd w:val="0"/>
        <w:snapToGrid w:val="0"/>
        <w:spacing w:line="288" w:lineRule="auto"/>
        <w:ind w:firstLine="320" w:firstLineChars="100"/>
        <w:rPr>
          <w:rFonts w:hint="eastAsia" w:ascii="Times New Roman" w:hAnsi="Times New Roman" w:eastAsia="仿宋" w:cs="Times New Roman"/>
          <w:color w:val="auto"/>
          <w:sz w:val="32"/>
          <w:szCs w:val="32"/>
          <w:highlight w:val="none"/>
          <w:u w:val="single"/>
          <w:lang w:eastAsia="zh-CN"/>
        </w:rPr>
      </w:pPr>
      <w:r>
        <w:rPr>
          <w:rFonts w:hint="eastAsia" w:ascii="Times New Roman" w:hAnsi="Times New Roman" w:eastAsia="仿宋" w:cs="Times New Roman"/>
          <w:color w:val="auto"/>
          <w:sz w:val="32"/>
          <w:szCs w:val="32"/>
          <w:highlight w:val="none"/>
          <w:u w:val="none"/>
          <w:lang w:eastAsia="zh-CN"/>
        </w:rPr>
        <w:t>建设单位（盖章）：</w:t>
      </w:r>
      <w:r>
        <w:rPr>
          <w:rFonts w:hint="eastAsia" w:ascii="Times New Roman" w:hAnsi="Times New Roman" w:eastAsia="仿宋" w:cs="Times New Roman"/>
          <w:color w:val="auto"/>
          <w:sz w:val="32"/>
          <w:szCs w:val="32"/>
          <w:highlight w:val="none"/>
          <w:u w:val="single"/>
          <w:lang w:val="en-US" w:eastAsia="zh-CN"/>
        </w:rPr>
        <w:t>双鸭山集宏商品混凝土制造有限公司</w:t>
      </w:r>
    </w:p>
    <w:p w14:paraId="5E2877BA">
      <w:pPr>
        <w:adjustRightInd w:val="0"/>
        <w:snapToGrid w:val="0"/>
        <w:spacing w:line="288" w:lineRule="auto"/>
        <w:ind w:firstLine="320" w:firstLineChars="100"/>
        <w:rPr>
          <w:rFonts w:hint="default" w:ascii="Times New Roman" w:hAnsi="Times New Roman" w:eastAsia="仿宋" w:cs="Times New Roman"/>
          <w:color w:val="auto"/>
          <w:sz w:val="32"/>
          <w:szCs w:val="32"/>
          <w:highlight w:val="none"/>
          <w:u w:val="single"/>
          <w:lang w:val="en-US" w:eastAsia="zh-CN"/>
        </w:rPr>
      </w:pPr>
      <w:r>
        <w:rPr>
          <w:rFonts w:hint="eastAsia" w:ascii="Times New Roman" w:hAnsi="Times New Roman" w:eastAsia="仿宋" w:cs="Times New Roman"/>
          <w:color w:val="auto"/>
          <w:sz w:val="32"/>
          <w:szCs w:val="32"/>
          <w:highlight w:val="none"/>
          <w:u w:val="none"/>
          <w:lang w:eastAsia="zh-CN"/>
        </w:rPr>
        <w:t>编制日期：</w:t>
      </w:r>
      <w:r>
        <w:rPr>
          <w:rFonts w:hint="eastAsia" w:ascii="Times New Roman" w:hAnsi="Times New Roman" w:eastAsia="仿宋" w:cs="Times New Roman"/>
          <w:color w:val="auto"/>
          <w:sz w:val="32"/>
          <w:szCs w:val="32"/>
          <w:highlight w:val="none"/>
          <w:u w:val="single"/>
          <w:lang w:val="en-US" w:eastAsia="zh-CN"/>
        </w:rPr>
        <w:t>202</w:t>
      </w:r>
      <w:r>
        <w:rPr>
          <w:rFonts w:hint="eastAsia" w:eastAsia="仿宋" w:cs="Times New Roman"/>
          <w:color w:val="auto"/>
          <w:sz w:val="32"/>
          <w:szCs w:val="32"/>
          <w:highlight w:val="none"/>
          <w:u w:val="single"/>
          <w:lang w:val="en-US" w:eastAsia="zh-CN"/>
        </w:rPr>
        <w:t>6</w:t>
      </w:r>
      <w:r>
        <w:rPr>
          <w:rFonts w:hint="eastAsia" w:ascii="Times New Roman" w:hAnsi="Times New Roman" w:eastAsia="仿宋" w:cs="Times New Roman"/>
          <w:color w:val="auto"/>
          <w:sz w:val="32"/>
          <w:szCs w:val="32"/>
          <w:highlight w:val="none"/>
          <w:u w:val="single"/>
          <w:lang w:val="en-US" w:eastAsia="zh-CN"/>
        </w:rPr>
        <w:t>年</w:t>
      </w:r>
      <w:r>
        <w:rPr>
          <w:rFonts w:hint="eastAsia" w:eastAsia="仿宋" w:cs="Times New Roman"/>
          <w:color w:val="auto"/>
          <w:sz w:val="32"/>
          <w:szCs w:val="32"/>
          <w:highlight w:val="none"/>
          <w:u w:val="single"/>
          <w:lang w:val="en-US" w:eastAsia="zh-CN"/>
        </w:rPr>
        <w:t>3</w:t>
      </w:r>
      <w:r>
        <w:rPr>
          <w:rFonts w:hint="eastAsia" w:ascii="Times New Roman" w:hAnsi="Times New Roman" w:eastAsia="仿宋" w:cs="Times New Roman"/>
          <w:color w:val="auto"/>
          <w:sz w:val="32"/>
          <w:szCs w:val="32"/>
          <w:highlight w:val="none"/>
          <w:u w:val="single"/>
          <w:lang w:val="en-US" w:eastAsia="zh-CN"/>
        </w:rPr>
        <w:t>月</w:t>
      </w:r>
      <w:r>
        <w:rPr>
          <w:rFonts w:hint="eastAsia" w:eastAsia="仿宋" w:cs="Times New Roman"/>
          <w:color w:val="auto"/>
          <w:sz w:val="32"/>
          <w:szCs w:val="32"/>
          <w:highlight w:val="none"/>
          <w:u w:val="single"/>
          <w:lang w:val="en-US" w:eastAsia="zh-CN"/>
        </w:rPr>
        <w:t xml:space="preserve">                             </w:t>
      </w:r>
    </w:p>
    <w:p w14:paraId="026ACF42">
      <w:pPr>
        <w:adjustRightInd w:val="0"/>
        <w:snapToGrid w:val="0"/>
        <w:spacing w:line="288" w:lineRule="auto"/>
        <w:ind w:firstLine="1040"/>
        <w:rPr>
          <w:rFonts w:ascii="仿宋_GB2312" w:hAnsi="Times New Roman" w:eastAsia="仿宋_GB2312" w:cs="Times New Roman"/>
          <w:color w:val="auto"/>
          <w:sz w:val="36"/>
          <w:szCs w:val="36"/>
          <w:highlight w:val="none"/>
          <w:u w:val="single"/>
        </w:rPr>
      </w:pPr>
      <w:bookmarkStart w:id="2" w:name="_Hlk57884087"/>
    </w:p>
    <w:p w14:paraId="03ED668C">
      <w:pPr>
        <w:adjustRightInd w:val="0"/>
        <w:snapToGrid w:val="0"/>
        <w:spacing w:line="288" w:lineRule="auto"/>
        <w:ind w:firstLine="1040"/>
        <w:rPr>
          <w:rFonts w:ascii="仿宋_GB2312" w:hAnsi="Times New Roman" w:eastAsia="仿宋_GB2312" w:cs="Times New Roman"/>
          <w:color w:val="auto"/>
          <w:sz w:val="36"/>
          <w:szCs w:val="36"/>
          <w:highlight w:val="none"/>
        </w:rPr>
      </w:pPr>
    </w:p>
    <w:p w14:paraId="1E161EBC">
      <w:pPr>
        <w:adjustRightInd w:val="0"/>
        <w:snapToGrid w:val="0"/>
        <w:spacing w:line="288" w:lineRule="auto"/>
        <w:ind w:firstLine="1040"/>
        <w:rPr>
          <w:rFonts w:ascii="仿宋_GB2312" w:hAnsi="Times New Roman" w:eastAsia="仿宋_GB2312" w:cs="Times New Roman"/>
          <w:color w:val="auto"/>
          <w:sz w:val="36"/>
          <w:szCs w:val="36"/>
          <w:highlight w:val="none"/>
        </w:rPr>
      </w:pPr>
    </w:p>
    <w:p w14:paraId="2FE45E9B">
      <w:pPr>
        <w:adjustRightInd w:val="0"/>
        <w:snapToGrid w:val="0"/>
        <w:spacing w:line="288" w:lineRule="auto"/>
        <w:ind w:firstLine="1040"/>
        <w:rPr>
          <w:rFonts w:hint="eastAsia" w:ascii="仿宋_GB2312" w:hAnsi="Times New Roman" w:eastAsia="仿宋_GB2312" w:cs="Times New Roman"/>
          <w:color w:val="auto"/>
          <w:sz w:val="36"/>
          <w:szCs w:val="36"/>
          <w:highlight w:val="none"/>
        </w:rPr>
      </w:pPr>
    </w:p>
    <w:p w14:paraId="41565849">
      <w:pPr>
        <w:adjustRightInd w:val="0"/>
        <w:snapToGrid w:val="0"/>
        <w:spacing w:line="288" w:lineRule="auto"/>
        <w:ind w:firstLine="1040"/>
        <w:rPr>
          <w:rFonts w:hint="eastAsia" w:ascii="仿宋_GB2312" w:hAnsi="Times New Roman" w:eastAsia="仿宋_GB2312" w:cs="Times New Roman"/>
          <w:color w:val="auto"/>
          <w:sz w:val="36"/>
          <w:szCs w:val="36"/>
          <w:highlight w:val="none"/>
        </w:rPr>
      </w:pPr>
    </w:p>
    <w:bookmarkEnd w:id="2"/>
    <w:p w14:paraId="70FE5A1F">
      <w:pPr>
        <w:adjustRightInd w:val="0"/>
        <w:snapToGrid w:val="0"/>
        <w:spacing w:line="288" w:lineRule="auto"/>
        <w:jc w:val="center"/>
        <w:rPr>
          <w:rFonts w:hint="eastAsia" w:ascii="楷体_GB2312" w:hAnsi="Times New Roman" w:eastAsia="楷体_GB2312" w:cs="Times New Roman"/>
          <w:color w:val="auto"/>
          <w:sz w:val="36"/>
          <w:szCs w:val="36"/>
          <w:highlight w:val="none"/>
        </w:rPr>
      </w:pPr>
      <w:r>
        <w:rPr>
          <w:rFonts w:hint="eastAsia" w:ascii="楷体_GB2312" w:hAnsi="Times New Roman" w:eastAsia="楷体_GB2312" w:cs="Times New Roman"/>
          <w:color w:val="auto"/>
          <w:sz w:val="36"/>
          <w:szCs w:val="36"/>
          <w:highlight w:val="none"/>
        </w:rPr>
        <w:t>中华人民共和国生态环境部制</w:t>
      </w:r>
    </w:p>
    <w:p w14:paraId="46116E40">
      <w:pPr>
        <w:adjustRightInd w:val="0"/>
        <w:snapToGrid w:val="0"/>
        <w:spacing w:line="288" w:lineRule="auto"/>
        <w:ind w:firstLine="1040"/>
        <w:rPr>
          <w:rFonts w:ascii="仿宋_GB2312" w:eastAsia="仿宋_GB2312"/>
          <w:color w:val="auto"/>
          <w:sz w:val="36"/>
          <w:szCs w:val="36"/>
          <w:highlight w:val="none"/>
        </w:rPr>
        <w:sectPr>
          <w:footerReference r:id="rId5" w:type="even"/>
          <w:pgSz w:w="11906" w:h="16838"/>
          <w:pgMar w:top="1440" w:right="1800" w:bottom="1440" w:left="1800" w:header="851" w:footer="1077" w:gutter="0"/>
          <w:pgBorders>
            <w:top w:val="none" w:sz="0" w:space="0"/>
            <w:left w:val="none" w:sz="0" w:space="0"/>
            <w:bottom w:val="none" w:sz="0" w:space="0"/>
            <w:right w:val="none" w:sz="0" w:space="0"/>
          </w:pgBorders>
          <w:pgNumType w:fmt="decimal" w:start="3"/>
          <w:cols w:space="720" w:num="1"/>
          <w:docGrid w:linePitch="312" w:charSpace="0"/>
        </w:sectPr>
      </w:pPr>
    </w:p>
    <w:p w14:paraId="4D66FE3F">
      <w:pPr>
        <w:jc w:val="center"/>
        <w:rPr>
          <w:rFonts w:hint="eastAsia" w:ascii="Times New Roman" w:hAnsi="Times New Roman" w:eastAsia="宋体" w:cs="宋体"/>
          <w:snapToGrid w:val="0"/>
          <w:color w:val="auto"/>
          <w:sz w:val="30"/>
          <w:szCs w:val="30"/>
          <w:highlight w:val="none"/>
          <w:lang w:eastAsia="zh-CN"/>
        </w:rPr>
      </w:pPr>
      <w:r>
        <w:rPr>
          <w:rFonts w:hint="eastAsia" w:ascii="Times New Roman" w:hAnsi="Times New Roman" w:eastAsia="宋体" w:cs="宋体"/>
          <w:snapToGrid w:val="0"/>
          <w:color w:val="auto"/>
          <w:sz w:val="30"/>
          <w:szCs w:val="30"/>
          <w:highlight w:val="none"/>
          <w:lang w:eastAsia="zh-CN"/>
        </w:rPr>
        <w:drawing>
          <wp:anchor distT="0" distB="0" distL="114300" distR="114300" simplePos="0" relativeHeight="251688960" behindDoc="1" locked="0" layoutInCell="1" allowOverlap="1">
            <wp:simplePos x="0" y="0"/>
            <wp:positionH relativeFrom="column">
              <wp:posOffset>-1009650</wp:posOffset>
            </wp:positionH>
            <wp:positionV relativeFrom="paragraph">
              <wp:posOffset>-688340</wp:posOffset>
            </wp:positionV>
            <wp:extent cx="7320915" cy="9870440"/>
            <wp:effectExtent l="0" t="0" r="0" b="0"/>
            <wp:wrapNone/>
            <wp:docPr id="18" name="图片 18" descr="双鸭山集宏资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双鸭山集宏资质_01"/>
                    <pic:cNvPicPr>
                      <a:picLocks noChangeAspect="1"/>
                    </pic:cNvPicPr>
                  </pic:nvPicPr>
                  <pic:blipFill>
                    <a:blip r:embed="rId18"/>
                    <a:srcRect b="4743"/>
                    <a:stretch>
                      <a:fillRect/>
                    </a:stretch>
                  </pic:blipFill>
                  <pic:spPr>
                    <a:xfrm>
                      <a:off x="0" y="0"/>
                      <a:ext cx="7320915" cy="9870440"/>
                    </a:xfrm>
                    <a:prstGeom prst="rect">
                      <a:avLst/>
                    </a:prstGeom>
                  </pic:spPr>
                </pic:pic>
              </a:graphicData>
            </a:graphic>
          </wp:anchor>
        </w:drawing>
      </w:r>
      <w:r>
        <w:rPr>
          <w:rFonts w:hint="eastAsia" w:ascii="Times New Roman" w:hAnsi="Times New Roman" w:eastAsia="宋体" w:cs="宋体"/>
          <w:snapToGrid w:val="0"/>
          <w:color w:val="auto"/>
          <w:sz w:val="30"/>
          <w:szCs w:val="30"/>
          <w:highlight w:val="none"/>
          <w:lang w:eastAsia="zh-CN"/>
        </w:rPr>
        <w:br w:type="page"/>
      </w:r>
    </w:p>
    <w:p w14:paraId="24966DF4">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ascii="Times New Roman" w:hAnsi="Times New Roman" w:eastAsia="宋体" w:cs="宋体"/>
          <w:b/>
          <w:bCs/>
          <w:color w:val="auto"/>
          <w:sz w:val="36"/>
          <w:szCs w:val="36"/>
          <w:highlight w:val="none"/>
        </w:rPr>
      </w:pPr>
      <w:r>
        <w:rPr>
          <w:rFonts w:ascii="Times New Roman" w:hAnsi="Times New Roman" w:eastAsia="宋体" w:cs="宋体"/>
          <w:b/>
          <w:bCs/>
          <w:color w:val="auto"/>
          <w:sz w:val="36"/>
          <w:szCs w:val="36"/>
          <w:highlight w:val="none"/>
        </w:rPr>
        <w:t>目</w:t>
      </w:r>
      <w:r>
        <w:rPr>
          <w:rFonts w:hint="eastAsia" w:cs="宋体"/>
          <w:b/>
          <w:bCs/>
          <w:color w:val="auto"/>
          <w:sz w:val="36"/>
          <w:szCs w:val="36"/>
          <w:highlight w:val="none"/>
          <w:lang w:val="en-US" w:eastAsia="zh-CN"/>
        </w:rPr>
        <w:t xml:space="preserve">  </w:t>
      </w:r>
      <w:r>
        <w:rPr>
          <w:rFonts w:ascii="Times New Roman" w:hAnsi="Times New Roman" w:eastAsia="宋体" w:cs="宋体"/>
          <w:b/>
          <w:bCs/>
          <w:color w:val="auto"/>
          <w:sz w:val="36"/>
          <w:szCs w:val="36"/>
          <w:highlight w:val="none"/>
        </w:rPr>
        <w:t>录</w:t>
      </w:r>
    </w:p>
    <w:p w14:paraId="6BBBB1DE">
      <w:pPr>
        <w:pStyle w:val="17"/>
        <w:tabs>
          <w:tab w:val="right" w:leader="dot" w:pos="8306"/>
        </w:tabs>
        <w:rPr>
          <w:b/>
          <w:bCs/>
          <w:color w:val="auto"/>
          <w:sz w:val="28"/>
          <w:szCs w:val="28"/>
          <w:highlight w:val="none"/>
        </w:rPr>
      </w:pPr>
      <w:r>
        <w:rPr>
          <w:rFonts w:ascii="Times New Roman" w:hAnsi="Times New Roman" w:eastAsia="宋体" w:cs="宋体"/>
          <w:color w:val="auto"/>
          <w:sz w:val="21"/>
          <w:szCs w:val="21"/>
          <w:highlight w:val="none"/>
        </w:rPr>
        <w:fldChar w:fldCharType="begin"/>
      </w:r>
      <w:r>
        <w:rPr>
          <w:rFonts w:ascii="Times New Roman" w:hAnsi="Times New Roman" w:eastAsia="宋体" w:cs="宋体"/>
          <w:color w:val="auto"/>
          <w:sz w:val="21"/>
          <w:szCs w:val="21"/>
          <w:highlight w:val="none"/>
        </w:rPr>
        <w:instrText xml:space="preserve">TOC \o "1-1" \h \u </w:instrText>
      </w:r>
      <w:r>
        <w:rPr>
          <w:rFonts w:ascii="Times New Roman" w:hAnsi="Times New Roman" w:eastAsia="宋体" w:cs="宋体"/>
          <w:color w:val="auto"/>
          <w:sz w:val="21"/>
          <w:szCs w:val="21"/>
          <w:highlight w:val="none"/>
        </w:rPr>
        <w:fldChar w:fldCharType="separate"/>
      </w:r>
      <w:r>
        <w:rPr>
          <w:rFonts w:ascii="Times New Roman" w:hAnsi="Times New Roman" w:eastAsia="宋体" w:cs="宋体"/>
          <w:b/>
          <w:bCs/>
          <w:color w:val="auto"/>
          <w:sz w:val="28"/>
          <w:szCs w:val="22"/>
          <w:highlight w:val="none"/>
        </w:rPr>
        <w:fldChar w:fldCharType="begin"/>
      </w:r>
      <w:r>
        <w:rPr>
          <w:rFonts w:ascii="Times New Roman" w:hAnsi="Times New Roman" w:eastAsia="宋体" w:cs="宋体"/>
          <w:b/>
          <w:bCs/>
          <w:color w:val="auto"/>
          <w:sz w:val="28"/>
          <w:szCs w:val="22"/>
          <w:highlight w:val="none"/>
        </w:rPr>
        <w:instrText xml:space="preserve"> HYPERLINK \l _Toc4459 </w:instrText>
      </w:r>
      <w:r>
        <w:rPr>
          <w:rFonts w:ascii="Times New Roman" w:hAnsi="Times New Roman" w:eastAsia="宋体" w:cs="宋体"/>
          <w:b/>
          <w:bCs/>
          <w:color w:val="auto"/>
          <w:sz w:val="28"/>
          <w:szCs w:val="22"/>
          <w:highlight w:val="none"/>
        </w:rPr>
        <w:fldChar w:fldCharType="separate"/>
      </w:r>
      <w:r>
        <w:rPr>
          <w:rFonts w:hint="eastAsia" w:ascii="Times New Roman" w:hAnsi="Times New Roman" w:eastAsia="宋体" w:cs="宋体"/>
          <w:b/>
          <w:bCs/>
          <w:snapToGrid w:val="0"/>
          <w:color w:val="auto"/>
          <w:kern w:val="2"/>
          <w:sz w:val="28"/>
          <w:szCs w:val="32"/>
          <w:highlight w:val="none"/>
          <w:lang w:val="en-US" w:eastAsia="zh-CN" w:bidi="ar-SA"/>
        </w:rPr>
        <w:t>一、建设项目基本情况</w:t>
      </w:r>
      <w:r>
        <w:rPr>
          <w:b/>
          <w:bCs/>
          <w:color w:val="auto"/>
          <w:sz w:val="28"/>
          <w:szCs w:val="28"/>
          <w:highlight w:val="none"/>
        </w:rPr>
        <w:tab/>
      </w:r>
      <w:r>
        <w:rPr>
          <w:b/>
          <w:bCs/>
          <w:color w:val="auto"/>
          <w:sz w:val="28"/>
          <w:szCs w:val="28"/>
          <w:highlight w:val="none"/>
        </w:rPr>
        <w:fldChar w:fldCharType="begin"/>
      </w:r>
      <w:r>
        <w:rPr>
          <w:b/>
          <w:bCs/>
          <w:color w:val="auto"/>
          <w:sz w:val="28"/>
          <w:szCs w:val="28"/>
          <w:highlight w:val="none"/>
        </w:rPr>
        <w:instrText xml:space="preserve"> PAGEREF _Toc4459 \h </w:instrText>
      </w:r>
      <w:r>
        <w:rPr>
          <w:b/>
          <w:bCs/>
          <w:color w:val="auto"/>
          <w:sz w:val="28"/>
          <w:szCs w:val="28"/>
          <w:highlight w:val="none"/>
        </w:rPr>
        <w:fldChar w:fldCharType="separate"/>
      </w:r>
      <w:r>
        <w:rPr>
          <w:b/>
          <w:bCs/>
          <w:color w:val="auto"/>
          <w:sz w:val="28"/>
          <w:szCs w:val="28"/>
          <w:highlight w:val="none"/>
        </w:rPr>
        <w:t>1</w:t>
      </w:r>
      <w:r>
        <w:rPr>
          <w:b/>
          <w:bCs/>
          <w:color w:val="auto"/>
          <w:sz w:val="28"/>
          <w:szCs w:val="28"/>
          <w:highlight w:val="none"/>
        </w:rPr>
        <w:fldChar w:fldCharType="end"/>
      </w:r>
      <w:r>
        <w:rPr>
          <w:rFonts w:ascii="Times New Roman" w:hAnsi="Times New Roman" w:eastAsia="宋体" w:cs="宋体"/>
          <w:b/>
          <w:bCs/>
          <w:color w:val="auto"/>
          <w:sz w:val="28"/>
          <w:szCs w:val="22"/>
          <w:highlight w:val="none"/>
        </w:rPr>
        <w:fldChar w:fldCharType="end"/>
      </w:r>
    </w:p>
    <w:p w14:paraId="7317141F">
      <w:pPr>
        <w:pStyle w:val="17"/>
        <w:tabs>
          <w:tab w:val="right" w:leader="dot" w:pos="8306"/>
        </w:tabs>
        <w:rPr>
          <w:b/>
          <w:bCs/>
          <w:color w:val="auto"/>
          <w:sz w:val="28"/>
          <w:szCs w:val="28"/>
          <w:highlight w:val="none"/>
        </w:rPr>
      </w:pPr>
      <w:r>
        <w:rPr>
          <w:rFonts w:ascii="Times New Roman" w:hAnsi="Times New Roman" w:eastAsia="宋体" w:cs="宋体"/>
          <w:b/>
          <w:bCs/>
          <w:color w:val="auto"/>
          <w:sz w:val="28"/>
          <w:szCs w:val="22"/>
          <w:highlight w:val="none"/>
        </w:rPr>
        <w:fldChar w:fldCharType="begin"/>
      </w:r>
      <w:r>
        <w:rPr>
          <w:rFonts w:ascii="Times New Roman" w:hAnsi="Times New Roman" w:eastAsia="宋体" w:cs="宋体"/>
          <w:b/>
          <w:bCs/>
          <w:color w:val="auto"/>
          <w:sz w:val="28"/>
          <w:szCs w:val="22"/>
          <w:highlight w:val="none"/>
        </w:rPr>
        <w:instrText xml:space="preserve"> HYPERLINK \l _Toc29781 </w:instrText>
      </w:r>
      <w:r>
        <w:rPr>
          <w:rFonts w:ascii="Times New Roman" w:hAnsi="Times New Roman" w:eastAsia="宋体" w:cs="宋体"/>
          <w:b/>
          <w:bCs/>
          <w:color w:val="auto"/>
          <w:sz w:val="28"/>
          <w:szCs w:val="22"/>
          <w:highlight w:val="none"/>
        </w:rPr>
        <w:fldChar w:fldCharType="separate"/>
      </w:r>
      <w:r>
        <w:rPr>
          <w:rFonts w:hint="eastAsia" w:ascii="Times New Roman" w:hAnsi="Times New Roman" w:eastAsia="宋体" w:cs="宋体"/>
          <w:b/>
          <w:bCs/>
          <w:snapToGrid w:val="0"/>
          <w:color w:val="auto"/>
          <w:kern w:val="2"/>
          <w:sz w:val="28"/>
          <w:szCs w:val="32"/>
          <w:highlight w:val="none"/>
          <w:lang w:val="en-US" w:eastAsia="zh-CN" w:bidi="ar-SA"/>
        </w:rPr>
        <w:t>二、建设项目工程分析</w:t>
      </w:r>
      <w:r>
        <w:rPr>
          <w:b/>
          <w:bCs/>
          <w:color w:val="auto"/>
          <w:sz w:val="28"/>
          <w:szCs w:val="28"/>
          <w:highlight w:val="none"/>
        </w:rPr>
        <w:tab/>
      </w:r>
      <w:r>
        <w:rPr>
          <w:b/>
          <w:bCs/>
          <w:color w:val="auto"/>
          <w:sz w:val="28"/>
          <w:szCs w:val="28"/>
          <w:highlight w:val="none"/>
        </w:rPr>
        <w:fldChar w:fldCharType="begin"/>
      </w:r>
      <w:r>
        <w:rPr>
          <w:b/>
          <w:bCs/>
          <w:color w:val="auto"/>
          <w:sz w:val="28"/>
          <w:szCs w:val="28"/>
          <w:highlight w:val="none"/>
        </w:rPr>
        <w:instrText xml:space="preserve"> PAGEREF _Toc29781 \h </w:instrText>
      </w:r>
      <w:r>
        <w:rPr>
          <w:b/>
          <w:bCs/>
          <w:color w:val="auto"/>
          <w:sz w:val="28"/>
          <w:szCs w:val="28"/>
          <w:highlight w:val="none"/>
        </w:rPr>
        <w:fldChar w:fldCharType="separate"/>
      </w:r>
      <w:r>
        <w:rPr>
          <w:b/>
          <w:bCs/>
          <w:color w:val="auto"/>
          <w:sz w:val="28"/>
          <w:szCs w:val="28"/>
          <w:highlight w:val="none"/>
        </w:rPr>
        <w:t>17</w:t>
      </w:r>
      <w:r>
        <w:rPr>
          <w:b/>
          <w:bCs/>
          <w:color w:val="auto"/>
          <w:sz w:val="28"/>
          <w:szCs w:val="28"/>
          <w:highlight w:val="none"/>
        </w:rPr>
        <w:fldChar w:fldCharType="end"/>
      </w:r>
      <w:r>
        <w:rPr>
          <w:rFonts w:ascii="Times New Roman" w:hAnsi="Times New Roman" w:eastAsia="宋体" w:cs="宋体"/>
          <w:b/>
          <w:bCs/>
          <w:color w:val="auto"/>
          <w:sz w:val="28"/>
          <w:szCs w:val="22"/>
          <w:highlight w:val="none"/>
        </w:rPr>
        <w:fldChar w:fldCharType="end"/>
      </w:r>
    </w:p>
    <w:p w14:paraId="3F10165A">
      <w:pPr>
        <w:pStyle w:val="17"/>
        <w:tabs>
          <w:tab w:val="right" w:leader="dot" w:pos="8306"/>
        </w:tabs>
        <w:rPr>
          <w:b/>
          <w:bCs/>
          <w:color w:val="auto"/>
          <w:sz w:val="28"/>
          <w:szCs w:val="28"/>
          <w:highlight w:val="none"/>
        </w:rPr>
      </w:pPr>
      <w:r>
        <w:rPr>
          <w:rFonts w:ascii="Times New Roman" w:hAnsi="Times New Roman" w:eastAsia="宋体" w:cs="宋体"/>
          <w:b/>
          <w:bCs/>
          <w:color w:val="auto"/>
          <w:sz w:val="28"/>
          <w:szCs w:val="22"/>
          <w:highlight w:val="none"/>
        </w:rPr>
        <w:fldChar w:fldCharType="begin"/>
      </w:r>
      <w:r>
        <w:rPr>
          <w:rFonts w:ascii="Times New Roman" w:hAnsi="Times New Roman" w:eastAsia="宋体" w:cs="宋体"/>
          <w:b/>
          <w:bCs/>
          <w:color w:val="auto"/>
          <w:sz w:val="28"/>
          <w:szCs w:val="22"/>
          <w:highlight w:val="none"/>
        </w:rPr>
        <w:instrText xml:space="preserve"> HYPERLINK \l _Toc25557 </w:instrText>
      </w:r>
      <w:r>
        <w:rPr>
          <w:rFonts w:ascii="Times New Roman" w:hAnsi="Times New Roman" w:eastAsia="宋体" w:cs="宋体"/>
          <w:b/>
          <w:bCs/>
          <w:color w:val="auto"/>
          <w:sz w:val="28"/>
          <w:szCs w:val="22"/>
          <w:highlight w:val="none"/>
        </w:rPr>
        <w:fldChar w:fldCharType="separate"/>
      </w:r>
      <w:r>
        <w:rPr>
          <w:rFonts w:hint="eastAsia" w:ascii="Times New Roman" w:hAnsi="Times New Roman" w:eastAsia="宋体" w:cs="宋体"/>
          <w:b/>
          <w:bCs/>
          <w:snapToGrid w:val="0"/>
          <w:color w:val="auto"/>
          <w:kern w:val="2"/>
          <w:sz w:val="28"/>
          <w:szCs w:val="32"/>
          <w:highlight w:val="none"/>
          <w:lang w:val="en-US" w:eastAsia="zh-CN" w:bidi="ar-SA"/>
        </w:rPr>
        <w:t>三、区域环境质量现状、环境保护目标及评价标准</w:t>
      </w:r>
      <w:r>
        <w:rPr>
          <w:b/>
          <w:bCs/>
          <w:color w:val="auto"/>
          <w:sz w:val="28"/>
          <w:szCs w:val="28"/>
          <w:highlight w:val="none"/>
        </w:rPr>
        <w:tab/>
      </w:r>
      <w:r>
        <w:rPr>
          <w:b/>
          <w:bCs/>
          <w:color w:val="auto"/>
          <w:sz w:val="28"/>
          <w:szCs w:val="28"/>
          <w:highlight w:val="none"/>
        </w:rPr>
        <w:fldChar w:fldCharType="begin"/>
      </w:r>
      <w:r>
        <w:rPr>
          <w:b/>
          <w:bCs/>
          <w:color w:val="auto"/>
          <w:sz w:val="28"/>
          <w:szCs w:val="28"/>
          <w:highlight w:val="none"/>
        </w:rPr>
        <w:instrText xml:space="preserve"> PAGEREF _Toc25557 \h </w:instrText>
      </w:r>
      <w:r>
        <w:rPr>
          <w:b/>
          <w:bCs/>
          <w:color w:val="auto"/>
          <w:sz w:val="28"/>
          <w:szCs w:val="28"/>
          <w:highlight w:val="none"/>
        </w:rPr>
        <w:fldChar w:fldCharType="separate"/>
      </w:r>
      <w:r>
        <w:rPr>
          <w:b/>
          <w:bCs/>
          <w:color w:val="auto"/>
          <w:sz w:val="28"/>
          <w:szCs w:val="28"/>
          <w:highlight w:val="none"/>
        </w:rPr>
        <w:t>30</w:t>
      </w:r>
      <w:r>
        <w:rPr>
          <w:b/>
          <w:bCs/>
          <w:color w:val="auto"/>
          <w:sz w:val="28"/>
          <w:szCs w:val="28"/>
          <w:highlight w:val="none"/>
        </w:rPr>
        <w:fldChar w:fldCharType="end"/>
      </w:r>
      <w:r>
        <w:rPr>
          <w:rFonts w:ascii="Times New Roman" w:hAnsi="Times New Roman" w:eastAsia="宋体" w:cs="宋体"/>
          <w:b/>
          <w:bCs/>
          <w:color w:val="auto"/>
          <w:sz w:val="28"/>
          <w:szCs w:val="22"/>
          <w:highlight w:val="none"/>
        </w:rPr>
        <w:fldChar w:fldCharType="end"/>
      </w:r>
    </w:p>
    <w:p w14:paraId="4D124709">
      <w:pPr>
        <w:pStyle w:val="17"/>
        <w:tabs>
          <w:tab w:val="right" w:leader="dot" w:pos="8306"/>
        </w:tabs>
        <w:rPr>
          <w:b/>
          <w:bCs/>
          <w:color w:val="auto"/>
          <w:sz w:val="28"/>
          <w:szCs w:val="28"/>
          <w:highlight w:val="none"/>
        </w:rPr>
      </w:pPr>
      <w:r>
        <w:rPr>
          <w:rFonts w:ascii="Times New Roman" w:hAnsi="Times New Roman" w:eastAsia="宋体" w:cs="宋体"/>
          <w:b/>
          <w:bCs/>
          <w:color w:val="auto"/>
          <w:sz w:val="28"/>
          <w:szCs w:val="22"/>
          <w:highlight w:val="none"/>
        </w:rPr>
        <w:fldChar w:fldCharType="begin"/>
      </w:r>
      <w:r>
        <w:rPr>
          <w:rFonts w:ascii="Times New Roman" w:hAnsi="Times New Roman" w:eastAsia="宋体" w:cs="宋体"/>
          <w:b/>
          <w:bCs/>
          <w:color w:val="auto"/>
          <w:sz w:val="28"/>
          <w:szCs w:val="22"/>
          <w:highlight w:val="none"/>
        </w:rPr>
        <w:instrText xml:space="preserve"> HYPERLINK \l _Toc2187 </w:instrText>
      </w:r>
      <w:r>
        <w:rPr>
          <w:rFonts w:ascii="Times New Roman" w:hAnsi="Times New Roman" w:eastAsia="宋体" w:cs="宋体"/>
          <w:b/>
          <w:bCs/>
          <w:color w:val="auto"/>
          <w:sz w:val="28"/>
          <w:szCs w:val="22"/>
          <w:highlight w:val="none"/>
        </w:rPr>
        <w:fldChar w:fldCharType="separate"/>
      </w:r>
      <w:r>
        <w:rPr>
          <w:rFonts w:hint="eastAsia" w:ascii="Times New Roman" w:hAnsi="Times New Roman" w:eastAsia="宋体" w:cs="宋体"/>
          <w:b/>
          <w:bCs/>
          <w:snapToGrid w:val="0"/>
          <w:color w:val="auto"/>
          <w:kern w:val="2"/>
          <w:sz w:val="28"/>
          <w:szCs w:val="32"/>
          <w:highlight w:val="none"/>
          <w:lang w:val="en-US" w:eastAsia="zh-CN" w:bidi="ar-SA"/>
        </w:rPr>
        <w:t>四、主要环境影响和保护措施</w:t>
      </w:r>
      <w:r>
        <w:rPr>
          <w:b/>
          <w:bCs/>
          <w:color w:val="auto"/>
          <w:sz w:val="28"/>
          <w:szCs w:val="28"/>
          <w:highlight w:val="none"/>
        </w:rPr>
        <w:tab/>
      </w:r>
      <w:r>
        <w:rPr>
          <w:b/>
          <w:bCs/>
          <w:color w:val="auto"/>
          <w:sz w:val="28"/>
          <w:szCs w:val="28"/>
          <w:highlight w:val="none"/>
        </w:rPr>
        <w:fldChar w:fldCharType="begin"/>
      </w:r>
      <w:r>
        <w:rPr>
          <w:b/>
          <w:bCs/>
          <w:color w:val="auto"/>
          <w:sz w:val="28"/>
          <w:szCs w:val="28"/>
          <w:highlight w:val="none"/>
        </w:rPr>
        <w:instrText xml:space="preserve"> PAGEREF _Toc2187 \h </w:instrText>
      </w:r>
      <w:r>
        <w:rPr>
          <w:b/>
          <w:bCs/>
          <w:color w:val="auto"/>
          <w:sz w:val="28"/>
          <w:szCs w:val="28"/>
          <w:highlight w:val="none"/>
        </w:rPr>
        <w:fldChar w:fldCharType="separate"/>
      </w:r>
      <w:r>
        <w:rPr>
          <w:b/>
          <w:bCs/>
          <w:color w:val="auto"/>
          <w:sz w:val="28"/>
          <w:szCs w:val="28"/>
          <w:highlight w:val="none"/>
        </w:rPr>
        <w:t>35</w:t>
      </w:r>
      <w:r>
        <w:rPr>
          <w:b/>
          <w:bCs/>
          <w:color w:val="auto"/>
          <w:sz w:val="28"/>
          <w:szCs w:val="28"/>
          <w:highlight w:val="none"/>
        </w:rPr>
        <w:fldChar w:fldCharType="end"/>
      </w:r>
      <w:r>
        <w:rPr>
          <w:rFonts w:ascii="Times New Roman" w:hAnsi="Times New Roman" w:eastAsia="宋体" w:cs="宋体"/>
          <w:b/>
          <w:bCs/>
          <w:color w:val="auto"/>
          <w:sz w:val="28"/>
          <w:szCs w:val="22"/>
          <w:highlight w:val="none"/>
        </w:rPr>
        <w:fldChar w:fldCharType="end"/>
      </w:r>
    </w:p>
    <w:p w14:paraId="270DCB0F">
      <w:pPr>
        <w:pStyle w:val="17"/>
        <w:tabs>
          <w:tab w:val="right" w:leader="dot" w:pos="8306"/>
        </w:tabs>
        <w:rPr>
          <w:b/>
          <w:bCs/>
          <w:color w:val="auto"/>
          <w:sz w:val="28"/>
          <w:szCs w:val="28"/>
          <w:highlight w:val="none"/>
        </w:rPr>
      </w:pPr>
      <w:r>
        <w:rPr>
          <w:rFonts w:ascii="Times New Roman" w:hAnsi="Times New Roman" w:eastAsia="宋体" w:cs="宋体"/>
          <w:b/>
          <w:bCs/>
          <w:color w:val="auto"/>
          <w:sz w:val="28"/>
          <w:szCs w:val="22"/>
          <w:highlight w:val="none"/>
        </w:rPr>
        <w:fldChar w:fldCharType="begin"/>
      </w:r>
      <w:r>
        <w:rPr>
          <w:rFonts w:ascii="Times New Roman" w:hAnsi="Times New Roman" w:eastAsia="宋体" w:cs="宋体"/>
          <w:b/>
          <w:bCs/>
          <w:color w:val="auto"/>
          <w:sz w:val="28"/>
          <w:szCs w:val="22"/>
          <w:highlight w:val="none"/>
        </w:rPr>
        <w:instrText xml:space="preserve"> HYPERLINK \l _Toc19706 </w:instrText>
      </w:r>
      <w:r>
        <w:rPr>
          <w:rFonts w:ascii="Times New Roman" w:hAnsi="Times New Roman" w:eastAsia="宋体" w:cs="宋体"/>
          <w:b/>
          <w:bCs/>
          <w:color w:val="auto"/>
          <w:sz w:val="28"/>
          <w:szCs w:val="22"/>
          <w:highlight w:val="none"/>
        </w:rPr>
        <w:fldChar w:fldCharType="separate"/>
      </w:r>
      <w:r>
        <w:rPr>
          <w:rFonts w:hint="eastAsia" w:ascii="Times New Roman" w:hAnsi="Times New Roman" w:eastAsia="宋体" w:cs="宋体"/>
          <w:b/>
          <w:bCs/>
          <w:snapToGrid w:val="0"/>
          <w:color w:val="auto"/>
          <w:kern w:val="2"/>
          <w:sz w:val="28"/>
          <w:szCs w:val="32"/>
          <w:highlight w:val="none"/>
          <w:lang w:val="en-US" w:eastAsia="zh-CN" w:bidi="ar-SA"/>
        </w:rPr>
        <w:t>五、环境保护措施监督检查清单</w:t>
      </w:r>
      <w:r>
        <w:rPr>
          <w:b/>
          <w:bCs/>
          <w:color w:val="auto"/>
          <w:sz w:val="28"/>
          <w:szCs w:val="28"/>
          <w:highlight w:val="none"/>
        </w:rPr>
        <w:tab/>
      </w:r>
      <w:r>
        <w:rPr>
          <w:b/>
          <w:bCs/>
          <w:color w:val="auto"/>
          <w:sz w:val="28"/>
          <w:szCs w:val="28"/>
          <w:highlight w:val="none"/>
        </w:rPr>
        <w:fldChar w:fldCharType="begin"/>
      </w:r>
      <w:r>
        <w:rPr>
          <w:b/>
          <w:bCs/>
          <w:color w:val="auto"/>
          <w:sz w:val="28"/>
          <w:szCs w:val="28"/>
          <w:highlight w:val="none"/>
        </w:rPr>
        <w:instrText xml:space="preserve"> PAGEREF _Toc19706 \h </w:instrText>
      </w:r>
      <w:r>
        <w:rPr>
          <w:b/>
          <w:bCs/>
          <w:color w:val="auto"/>
          <w:sz w:val="28"/>
          <w:szCs w:val="28"/>
          <w:highlight w:val="none"/>
        </w:rPr>
        <w:fldChar w:fldCharType="separate"/>
      </w:r>
      <w:r>
        <w:rPr>
          <w:b/>
          <w:bCs/>
          <w:color w:val="auto"/>
          <w:sz w:val="28"/>
          <w:szCs w:val="28"/>
          <w:highlight w:val="none"/>
        </w:rPr>
        <w:t>53</w:t>
      </w:r>
      <w:r>
        <w:rPr>
          <w:b/>
          <w:bCs/>
          <w:color w:val="auto"/>
          <w:sz w:val="28"/>
          <w:szCs w:val="28"/>
          <w:highlight w:val="none"/>
        </w:rPr>
        <w:fldChar w:fldCharType="end"/>
      </w:r>
      <w:r>
        <w:rPr>
          <w:rFonts w:ascii="Times New Roman" w:hAnsi="Times New Roman" w:eastAsia="宋体" w:cs="宋体"/>
          <w:b/>
          <w:bCs/>
          <w:color w:val="auto"/>
          <w:sz w:val="28"/>
          <w:szCs w:val="22"/>
          <w:highlight w:val="none"/>
        </w:rPr>
        <w:fldChar w:fldCharType="end"/>
      </w:r>
    </w:p>
    <w:p w14:paraId="61AE0A7C">
      <w:pPr>
        <w:pStyle w:val="17"/>
        <w:tabs>
          <w:tab w:val="right" w:leader="dot" w:pos="8306"/>
        </w:tabs>
        <w:rPr>
          <w:b/>
          <w:bCs/>
          <w:color w:val="auto"/>
          <w:sz w:val="28"/>
          <w:szCs w:val="28"/>
          <w:highlight w:val="none"/>
        </w:rPr>
      </w:pPr>
      <w:r>
        <w:rPr>
          <w:rFonts w:ascii="Times New Roman" w:hAnsi="Times New Roman" w:eastAsia="宋体" w:cs="宋体"/>
          <w:b/>
          <w:bCs/>
          <w:color w:val="auto"/>
          <w:sz w:val="28"/>
          <w:szCs w:val="22"/>
          <w:highlight w:val="none"/>
        </w:rPr>
        <w:fldChar w:fldCharType="begin"/>
      </w:r>
      <w:r>
        <w:rPr>
          <w:rFonts w:ascii="Times New Roman" w:hAnsi="Times New Roman" w:eastAsia="宋体" w:cs="宋体"/>
          <w:b/>
          <w:bCs/>
          <w:color w:val="auto"/>
          <w:sz w:val="28"/>
          <w:szCs w:val="22"/>
          <w:highlight w:val="none"/>
        </w:rPr>
        <w:instrText xml:space="preserve"> HYPERLINK \l _Toc877 </w:instrText>
      </w:r>
      <w:r>
        <w:rPr>
          <w:rFonts w:ascii="Times New Roman" w:hAnsi="Times New Roman" w:eastAsia="宋体" w:cs="宋体"/>
          <w:b/>
          <w:bCs/>
          <w:color w:val="auto"/>
          <w:sz w:val="28"/>
          <w:szCs w:val="22"/>
          <w:highlight w:val="none"/>
        </w:rPr>
        <w:fldChar w:fldCharType="separate"/>
      </w:r>
      <w:r>
        <w:rPr>
          <w:rFonts w:hint="eastAsia" w:cs="宋体"/>
          <w:b/>
          <w:bCs/>
          <w:snapToGrid w:val="0"/>
          <w:color w:val="auto"/>
          <w:sz w:val="28"/>
          <w:szCs w:val="32"/>
          <w:highlight w:val="none"/>
        </w:rPr>
        <w:t>六、结论</w:t>
      </w:r>
      <w:r>
        <w:rPr>
          <w:b/>
          <w:bCs/>
          <w:color w:val="auto"/>
          <w:sz w:val="28"/>
          <w:szCs w:val="28"/>
          <w:highlight w:val="none"/>
        </w:rPr>
        <w:tab/>
      </w:r>
      <w:r>
        <w:rPr>
          <w:b/>
          <w:bCs/>
          <w:color w:val="auto"/>
          <w:sz w:val="28"/>
          <w:szCs w:val="28"/>
          <w:highlight w:val="none"/>
        </w:rPr>
        <w:fldChar w:fldCharType="begin"/>
      </w:r>
      <w:r>
        <w:rPr>
          <w:b/>
          <w:bCs/>
          <w:color w:val="auto"/>
          <w:sz w:val="28"/>
          <w:szCs w:val="28"/>
          <w:highlight w:val="none"/>
        </w:rPr>
        <w:instrText xml:space="preserve"> PAGEREF _Toc877 \h </w:instrText>
      </w:r>
      <w:r>
        <w:rPr>
          <w:b/>
          <w:bCs/>
          <w:color w:val="auto"/>
          <w:sz w:val="28"/>
          <w:szCs w:val="28"/>
          <w:highlight w:val="none"/>
        </w:rPr>
        <w:fldChar w:fldCharType="separate"/>
      </w:r>
      <w:r>
        <w:rPr>
          <w:b/>
          <w:bCs/>
          <w:color w:val="auto"/>
          <w:sz w:val="28"/>
          <w:szCs w:val="28"/>
          <w:highlight w:val="none"/>
        </w:rPr>
        <w:t>56</w:t>
      </w:r>
      <w:r>
        <w:rPr>
          <w:b/>
          <w:bCs/>
          <w:color w:val="auto"/>
          <w:sz w:val="28"/>
          <w:szCs w:val="28"/>
          <w:highlight w:val="none"/>
        </w:rPr>
        <w:fldChar w:fldCharType="end"/>
      </w:r>
      <w:r>
        <w:rPr>
          <w:rFonts w:ascii="Times New Roman" w:hAnsi="Times New Roman" w:eastAsia="宋体" w:cs="宋体"/>
          <w:b/>
          <w:bCs/>
          <w:color w:val="auto"/>
          <w:sz w:val="28"/>
          <w:szCs w:val="22"/>
          <w:highlight w:val="none"/>
        </w:rPr>
        <w:fldChar w:fldCharType="end"/>
      </w:r>
    </w:p>
    <w:p w14:paraId="28D3DCD6">
      <w:pPr>
        <w:pStyle w:val="17"/>
        <w:tabs>
          <w:tab w:val="right" w:leader="dot" w:pos="8306"/>
        </w:tabs>
        <w:rPr>
          <w:b/>
          <w:bCs/>
          <w:color w:val="auto"/>
          <w:highlight w:val="none"/>
        </w:rPr>
      </w:pPr>
      <w:r>
        <w:rPr>
          <w:rFonts w:ascii="Times New Roman" w:hAnsi="Times New Roman" w:eastAsia="宋体" w:cs="宋体"/>
          <w:b/>
          <w:bCs/>
          <w:color w:val="auto"/>
          <w:szCs w:val="21"/>
          <w:highlight w:val="none"/>
        </w:rPr>
        <w:fldChar w:fldCharType="begin"/>
      </w:r>
      <w:r>
        <w:rPr>
          <w:rFonts w:ascii="Times New Roman" w:hAnsi="Times New Roman" w:eastAsia="宋体" w:cs="宋体"/>
          <w:b/>
          <w:bCs/>
          <w:color w:val="auto"/>
          <w:szCs w:val="21"/>
          <w:highlight w:val="none"/>
        </w:rPr>
        <w:instrText xml:space="preserve"> HYPERLINK \l _Toc17027 </w:instrText>
      </w:r>
      <w:r>
        <w:rPr>
          <w:rFonts w:ascii="Times New Roman" w:hAnsi="Times New Roman" w:eastAsia="宋体" w:cs="宋体"/>
          <w:b/>
          <w:bCs/>
          <w:color w:val="auto"/>
          <w:szCs w:val="21"/>
          <w:highlight w:val="none"/>
        </w:rPr>
        <w:fldChar w:fldCharType="separate"/>
      </w:r>
      <w:r>
        <w:rPr>
          <w:rFonts w:hint="eastAsia" w:ascii="Times New Roman" w:hAnsi="Times New Roman" w:eastAsia="宋体" w:cs="宋体"/>
          <w:b/>
          <w:bCs/>
          <w:snapToGrid w:val="0"/>
          <w:color w:val="auto"/>
          <w:kern w:val="2"/>
          <w:szCs w:val="30"/>
          <w:highlight w:val="none"/>
          <w:lang w:val="en-US" w:eastAsia="zh-CN" w:bidi="ar-SA"/>
        </w:rPr>
        <w:t>附表：建设项目污染物排放量汇总表</w:t>
      </w:r>
      <w:r>
        <w:rPr>
          <w:b/>
          <w:bCs/>
          <w:color w:val="auto"/>
          <w:highlight w:val="none"/>
        </w:rPr>
        <w:tab/>
      </w:r>
      <w:r>
        <w:rPr>
          <w:b/>
          <w:bCs/>
          <w:color w:val="auto"/>
          <w:highlight w:val="none"/>
        </w:rPr>
        <w:fldChar w:fldCharType="begin"/>
      </w:r>
      <w:r>
        <w:rPr>
          <w:b/>
          <w:bCs/>
          <w:color w:val="auto"/>
          <w:highlight w:val="none"/>
        </w:rPr>
        <w:instrText xml:space="preserve"> PAGEREF _Toc17027 \h </w:instrText>
      </w:r>
      <w:r>
        <w:rPr>
          <w:b/>
          <w:bCs/>
          <w:color w:val="auto"/>
          <w:highlight w:val="none"/>
        </w:rPr>
        <w:fldChar w:fldCharType="separate"/>
      </w:r>
      <w:r>
        <w:rPr>
          <w:b/>
          <w:bCs/>
          <w:color w:val="auto"/>
          <w:highlight w:val="none"/>
        </w:rPr>
        <w:t>57</w:t>
      </w:r>
      <w:r>
        <w:rPr>
          <w:b/>
          <w:bCs/>
          <w:color w:val="auto"/>
          <w:highlight w:val="none"/>
        </w:rPr>
        <w:fldChar w:fldCharType="end"/>
      </w:r>
      <w:r>
        <w:rPr>
          <w:rFonts w:ascii="Times New Roman" w:hAnsi="Times New Roman" w:eastAsia="宋体" w:cs="宋体"/>
          <w:b/>
          <w:bCs/>
          <w:color w:val="auto"/>
          <w:szCs w:val="21"/>
          <w:highlight w:val="none"/>
        </w:rPr>
        <w:fldChar w:fldCharType="end"/>
      </w:r>
    </w:p>
    <w:p w14:paraId="43798A23">
      <w:pPr>
        <w:pStyle w:val="17"/>
        <w:tabs>
          <w:tab w:val="right" w:leader="dot" w:pos="8306"/>
        </w:tabs>
        <w:rPr>
          <w:color w:val="auto"/>
          <w:highlight w:val="none"/>
        </w:rPr>
      </w:pPr>
      <w:r>
        <w:rPr>
          <w:rFonts w:ascii="Times New Roman" w:hAnsi="Times New Roman" w:eastAsia="宋体" w:cs="宋体"/>
          <w:color w:val="auto"/>
          <w:szCs w:val="21"/>
          <w:highlight w:val="none"/>
        </w:rPr>
        <w:fldChar w:fldCharType="begin"/>
      </w:r>
      <w:r>
        <w:rPr>
          <w:rFonts w:ascii="Times New Roman" w:hAnsi="Times New Roman" w:eastAsia="宋体" w:cs="宋体"/>
          <w:color w:val="auto"/>
          <w:szCs w:val="21"/>
          <w:highlight w:val="none"/>
        </w:rPr>
        <w:instrText xml:space="preserve"> HYPERLINK \l _Toc21726 </w:instrText>
      </w:r>
      <w:r>
        <w:rPr>
          <w:rFonts w:ascii="Times New Roman" w:hAnsi="Times New Roman" w:eastAsia="宋体" w:cs="宋体"/>
          <w:color w:val="auto"/>
          <w:szCs w:val="21"/>
          <w:highlight w:val="none"/>
        </w:rPr>
        <w:fldChar w:fldCharType="separate"/>
      </w:r>
      <w:r>
        <w:rPr>
          <w:rFonts w:hint="eastAsia"/>
          <w:color w:val="auto"/>
          <w:highlight w:val="none"/>
        </w:rPr>
        <w:t>附图</w:t>
      </w:r>
      <w:r>
        <w:rPr>
          <w:rFonts w:hint="eastAsia"/>
          <w:color w:val="auto"/>
          <w:highlight w:val="none"/>
          <w:lang w:val="en-US" w:eastAsia="zh-CN"/>
        </w:rPr>
        <w:t xml:space="preserve">1 </w:t>
      </w:r>
      <w:r>
        <w:rPr>
          <w:rFonts w:hint="eastAsia"/>
          <w:color w:val="auto"/>
          <w:highlight w:val="none"/>
        </w:rPr>
        <w:t>项目地理位置图</w:t>
      </w:r>
      <w:r>
        <w:rPr>
          <w:color w:val="auto"/>
          <w:highlight w:val="none"/>
        </w:rPr>
        <w:tab/>
      </w:r>
      <w:r>
        <w:rPr>
          <w:color w:val="auto"/>
          <w:highlight w:val="none"/>
        </w:rPr>
        <w:fldChar w:fldCharType="begin"/>
      </w:r>
      <w:r>
        <w:rPr>
          <w:color w:val="auto"/>
          <w:highlight w:val="none"/>
        </w:rPr>
        <w:instrText xml:space="preserve"> PAGEREF _Toc21726 \h </w:instrText>
      </w:r>
      <w:r>
        <w:rPr>
          <w:color w:val="auto"/>
          <w:highlight w:val="none"/>
        </w:rPr>
        <w:fldChar w:fldCharType="separate"/>
      </w:r>
      <w:r>
        <w:rPr>
          <w:color w:val="auto"/>
          <w:highlight w:val="none"/>
        </w:rPr>
        <w:t>59</w:t>
      </w:r>
      <w:r>
        <w:rPr>
          <w:color w:val="auto"/>
          <w:highlight w:val="none"/>
        </w:rPr>
        <w:fldChar w:fldCharType="end"/>
      </w:r>
      <w:r>
        <w:rPr>
          <w:rFonts w:ascii="Times New Roman" w:hAnsi="Times New Roman" w:eastAsia="宋体" w:cs="宋体"/>
          <w:color w:val="auto"/>
          <w:szCs w:val="21"/>
          <w:highlight w:val="none"/>
        </w:rPr>
        <w:fldChar w:fldCharType="end"/>
      </w:r>
    </w:p>
    <w:p w14:paraId="7B122F4D">
      <w:pPr>
        <w:pStyle w:val="17"/>
        <w:tabs>
          <w:tab w:val="right" w:leader="dot" w:pos="8306"/>
        </w:tabs>
        <w:rPr>
          <w:color w:val="auto"/>
          <w:highlight w:val="none"/>
        </w:rPr>
      </w:pPr>
      <w:r>
        <w:rPr>
          <w:rFonts w:ascii="Times New Roman" w:hAnsi="Times New Roman" w:eastAsia="宋体" w:cs="宋体"/>
          <w:color w:val="auto"/>
          <w:szCs w:val="21"/>
          <w:highlight w:val="none"/>
        </w:rPr>
        <w:fldChar w:fldCharType="begin"/>
      </w:r>
      <w:r>
        <w:rPr>
          <w:rFonts w:ascii="Times New Roman" w:hAnsi="Times New Roman" w:eastAsia="宋体" w:cs="宋体"/>
          <w:color w:val="auto"/>
          <w:szCs w:val="21"/>
          <w:highlight w:val="none"/>
        </w:rPr>
        <w:instrText xml:space="preserve"> HYPERLINK \l _Toc21422 </w:instrText>
      </w:r>
      <w:r>
        <w:rPr>
          <w:rFonts w:ascii="Times New Roman" w:hAnsi="Times New Roman" w:eastAsia="宋体" w:cs="宋体"/>
          <w:color w:val="auto"/>
          <w:szCs w:val="21"/>
          <w:highlight w:val="none"/>
        </w:rPr>
        <w:fldChar w:fldCharType="separate"/>
      </w:r>
      <w:r>
        <w:rPr>
          <w:rFonts w:hint="eastAsia"/>
          <w:color w:val="auto"/>
          <w:highlight w:val="none"/>
        </w:rPr>
        <w:t>附图</w:t>
      </w:r>
      <w:r>
        <w:rPr>
          <w:rFonts w:hint="eastAsia"/>
          <w:color w:val="auto"/>
          <w:highlight w:val="none"/>
          <w:lang w:val="en-US" w:eastAsia="zh-CN"/>
        </w:rPr>
        <w:t xml:space="preserve">2 </w:t>
      </w:r>
      <w:r>
        <w:rPr>
          <w:rFonts w:hint="eastAsia"/>
          <w:color w:val="auto"/>
          <w:highlight w:val="none"/>
        </w:rPr>
        <w:t>环境保护目标</w:t>
      </w:r>
      <w:r>
        <w:rPr>
          <w:rFonts w:hint="eastAsia"/>
          <w:color w:val="auto"/>
          <w:highlight w:val="none"/>
          <w:lang w:val="en-US" w:eastAsia="zh-CN"/>
        </w:rPr>
        <w:t>关系</w:t>
      </w:r>
      <w:r>
        <w:rPr>
          <w:rFonts w:hint="eastAsia"/>
          <w:color w:val="auto"/>
          <w:highlight w:val="none"/>
        </w:rPr>
        <w:t>图</w:t>
      </w:r>
      <w:r>
        <w:rPr>
          <w:color w:val="auto"/>
          <w:highlight w:val="none"/>
        </w:rPr>
        <w:tab/>
      </w:r>
      <w:r>
        <w:rPr>
          <w:color w:val="auto"/>
          <w:highlight w:val="none"/>
        </w:rPr>
        <w:fldChar w:fldCharType="begin"/>
      </w:r>
      <w:r>
        <w:rPr>
          <w:color w:val="auto"/>
          <w:highlight w:val="none"/>
        </w:rPr>
        <w:instrText xml:space="preserve"> PAGEREF _Toc21422 \h </w:instrText>
      </w:r>
      <w:r>
        <w:rPr>
          <w:color w:val="auto"/>
          <w:highlight w:val="none"/>
        </w:rPr>
        <w:fldChar w:fldCharType="separate"/>
      </w:r>
      <w:r>
        <w:rPr>
          <w:color w:val="auto"/>
          <w:highlight w:val="none"/>
        </w:rPr>
        <w:t>61</w:t>
      </w:r>
      <w:r>
        <w:rPr>
          <w:color w:val="auto"/>
          <w:highlight w:val="none"/>
        </w:rPr>
        <w:fldChar w:fldCharType="end"/>
      </w:r>
      <w:r>
        <w:rPr>
          <w:rFonts w:ascii="Times New Roman" w:hAnsi="Times New Roman" w:eastAsia="宋体" w:cs="宋体"/>
          <w:color w:val="auto"/>
          <w:szCs w:val="21"/>
          <w:highlight w:val="none"/>
        </w:rPr>
        <w:fldChar w:fldCharType="end"/>
      </w:r>
    </w:p>
    <w:p w14:paraId="4F24E6AD">
      <w:pPr>
        <w:pStyle w:val="17"/>
        <w:tabs>
          <w:tab w:val="right" w:leader="dot" w:pos="8306"/>
        </w:tabs>
        <w:rPr>
          <w:color w:val="auto"/>
          <w:highlight w:val="none"/>
        </w:rPr>
      </w:pPr>
      <w:r>
        <w:rPr>
          <w:rFonts w:ascii="Times New Roman" w:hAnsi="Times New Roman" w:eastAsia="宋体" w:cs="宋体"/>
          <w:color w:val="auto"/>
          <w:szCs w:val="21"/>
          <w:highlight w:val="none"/>
        </w:rPr>
        <w:fldChar w:fldCharType="begin"/>
      </w:r>
      <w:r>
        <w:rPr>
          <w:rFonts w:ascii="Times New Roman" w:hAnsi="Times New Roman" w:eastAsia="宋体" w:cs="宋体"/>
          <w:color w:val="auto"/>
          <w:szCs w:val="21"/>
          <w:highlight w:val="none"/>
        </w:rPr>
        <w:instrText xml:space="preserve"> HYPERLINK \l _Toc28571 </w:instrText>
      </w:r>
      <w:r>
        <w:rPr>
          <w:rFonts w:ascii="Times New Roman" w:hAnsi="Times New Roman" w:eastAsia="宋体" w:cs="宋体"/>
          <w:color w:val="auto"/>
          <w:szCs w:val="21"/>
          <w:highlight w:val="none"/>
        </w:rPr>
        <w:fldChar w:fldCharType="separate"/>
      </w:r>
      <w:r>
        <w:rPr>
          <w:rFonts w:hint="eastAsia"/>
          <w:color w:val="auto"/>
          <w:highlight w:val="none"/>
        </w:rPr>
        <w:t>附图</w:t>
      </w:r>
      <w:r>
        <w:rPr>
          <w:rFonts w:hint="eastAsia"/>
          <w:color w:val="auto"/>
          <w:highlight w:val="none"/>
          <w:lang w:val="en-US" w:eastAsia="zh-CN"/>
        </w:rPr>
        <w:t xml:space="preserve">3 </w:t>
      </w:r>
      <w:r>
        <w:rPr>
          <w:rFonts w:hint="eastAsia"/>
          <w:color w:val="auto"/>
          <w:highlight w:val="none"/>
        </w:rPr>
        <w:t>项目平面布置</w:t>
      </w:r>
      <w:r>
        <w:rPr>
          <w:rFonts w:hint="eastAsia"/>
          <w:color w:val="auto"/>
          <w:highlight w:val="none"/>
          <w:lang w:val="en-US" w:eastAsia="zh-CN"/>
        </w:rPr>
        <w:t>及防渗图</w:t>
      </w:r>
      <w:r>
        <w:rPr>
          <w:color w:val="auto"/>
          <w:highlight w:val="none"/>
        </w:rPr>
        <w:tab/>
      </w:r>
      <w:r>
        <w:rPr>
          <w:color w:val="auto"/>
          <w:highlight w:val="none"/>
        </w:rPr>
        <w:fldChar w:fldCharType="begin"/>
      </w:r>
      <w:r>
        <w:rPr>
          <w:color w:val="auto"/>
          <w:highlight w:val="none"/>
        </w:rPr>
        <w:instrText xml:space="preserve"> PAGEREF _Toc28571 \h </w:instrText>
      </w:r>
      <w:r>
        <w:rPr>
          <w:color w:val="auto"/>
          <w:highlight w:val="none"/>
        </w:rPr>
        <w:fldChar w:fldCharType="separate"/>
      </w:r>
      <w:r>
        <w:rPr>
          <w:color w:val="auto"/>
          <w:highlight w:val="none"/>
        </w:rPr>
        <w:t>62</w:t>
      </w:r>
      <w:r>
        <w:rPr>
          <w:color w:val="auto"/>
          <w:highlight w:val="none"/>
        </w:rPr>
        <w:fldChar w:fldCharType="end"/>
      </w:r>
      <w:r>
        <w:rPr>
          <w:rFonts w:ascii="Times New Roman" w:hAnsi="Times New Roman" w:eastAsia="宋体" w:cs="宋体"/>
          <w:color w:val="auto"/>
          <w:szCs w:val="21"/>
          <w:highlight w:val="none"/>
        </w:rPr>
        <w:fldChar w:fldCharType="end"/>
      </w:r>
    </w:p>
    <w:p w14:paraId="126D497B">
      <w:pPr>
        <w:pStyle w:val="17"/>
        <w:tabs>
          <w:tab w:val="right" w:leader="dot" w:pos="8306"/>
        </w:tabs>
        <w:rPr>
          <w:color w:val="auto"/>
          <w:highlight w:val="none"/>
        </w:rPr>
      </w:pPr>
      <w:r>
        <w:rPr>
          <w:rFonts w:ascii="Times New Roman" w:hAnsi="Times New Roman" w:eastAsia="宋体" w:cs="宋体"/>
          <w:color w:val="auto"/>
          <w:szCs w:val="21"/>
          <w:highlight w:val="none"/>
        </w:rPr>
        <w:fldChar w:fldCharType="begin"/>
      </w:r>
      <w:r>
        <w:rPr>
          <w:rFonts w:ascii="Times New Roman" w:hAnsi="Times New Roman" w:eastAsia="宋体" w:cs="宋体"/>
          <w:color w:val="auto"/>
          <w:szCs w:val="21"/>
          <w:highlight w:val="none"/>
        </w:rPr>
        <w:instrText xml:space="preserve"> HYPERLINK \l _Toc21573 </w:instrText>
      </w:r>
      <w:r>
        <w:rPr>
          <w:rFonts w:ascii="Times New Roman" w:hAnsi="Times New Roman" w:eastAsia="宋体" w:cs="宋体"/>
          <w:color w:val="auto"/>
          <w:szCs w:val="21"/>
          <w:highlight w:val="none"/>
        </w:rPr>
        <w:fldChar w:fldCharType="separate"/>
      </w:r>
      <w:r>
        <w:rPr>
          <w:rFonts w:hint="eastAsia"/>
          <w:color w:val="auto"/>
          <w:highlight w:val="none"/>
          <w:lang w:val="en-US" w:eastAsia="zh-CN"/>
        </w:rPr>
        <w:t xml:space="preserve">附图4 </w:t>
      </w:r>
      <w:r>
        <w:rPr>
          <w:color w:val="auto"/>
          <w:highlight w:val="none"/>
          <w:lang w:val="en-US" w:eastAsia="zh-CN"/>
        </w:rPr>
        <w:t>项目周边环境</w:t>
      </w:r>
      <w:r>
        <w:rPr>
          <w:rFonts w:hint="eastAsia"/>
          <w:color w:val="auto"/>
          <w:highlight w:val="none"/>
          <w:lang w:val="en-US" w:eastAsia="zh-CN"/>
        </w:rPr>
        <w:t>及现场</w:t>
      </w:r>
      <w:r>
        <w:rPr>
          <w:color w:val="auto"/>
          <w:highlight w:val="none"/>
          <w:lang w:val="en-US" w:eastAsia="zh-CN"/>
        </w:rPr>
        <w:t>照片</w:t>
      </w:r>
      <w:r>
        <w:rPr>
          <w:color w:val="auto"/>
          <w:highlight w:val="none"/>
        </w:rPr>
        <w:tab/>
      </w:r>
      <w:r>
        <w:rPr>
          <w:color w:val="auto"/>
          <w:highlight w:val="none"/>
        </w:rPr>
        <w:fldChar w:fldCharType="begin"/>
      </w:r>
      <w:r>
        <w:rPr>
          <w:color w:val="auto"/>
          <w:highlight w:val="none"/>
        </w:rPr>
        <w:instrText xml:space="preserve"> PAGEREF _Toc21573 \h </w:instrText>
      </w:r>
      <w:r>
        <w:rPr>
          <w:color w:val="auto"/>
          <w:highlight w:val="none"/>
        </w:rPr>
        <w:fldChar w:fldCharType="separate"/>
      </w:r>
      <w:r>
        <w:rPr>
          <w:color w:val="auto"/>
          <w:highlight w:val="none"/>
        </w:rPr>
        <w:t>63</w:t>
      </w:r>
      <w:r>
        <w:rPr>
          <w:color w:val="auto"/>
          <w:highlight w:val="none"/>
        </w:rPr>
        <w:fldChar w:fldCharType="end"/>
      </w:r>
      <w:r>
        <w:rPr>
          <w:rFonts w:ascii="Times New Roman" w:hAnsi="Times New Roman" w:eastAsia="宋体" w:cs="宋体"/>
          <w:color w:val="auto"/>
          <w:szCs w:val="21"/>
          <w:highlight w:val="none"/>
        </w:rPr>
        <w:fldChar w:fldCharType="end"/>
      </w:r>
    </w:p>
    <w:p w14:paraId="0BB8730F">
      <w:pPr>
        <w:pStyle w:val="17"/>
        <w:tabs>
          <w:tab w:val="right" w:leader="dot" w:pos="8306"/>
        </w:tabs>
        <w:rPr>
          <w:color w:val="auto"/>
          <w:highlight w:val="none"/>
        </w:rPr>
      </w:pPr>
      <w:r>
        <w:rPr>
          <w:rFonts w:ascii="Times New Roman" w:hAnsi="Times New Roman" w:eastAsia="宋体" w:cs="宋体"/>
          <w:color w:val="auto"/>
          <w:szCs w:val="21"/>
          <w:highlight w:val="none"/>
        </w:rPr>
        <w:fldChar w:fldCharType="begin"/>
      </w:r>
      <w:r>
        <w:rPr>
          <w:rFonts w:ascii="Times New Roman" w:hAnsi="Times New Roman" w:eastAsia="宋体" w:cs="宋体"/>
          <w:color w:val="auto"/>
          <w:szCs w:val="21"/>
          <w:highlight w:val="none"/>
        </w:rPr>
        <w:instrText xml:space="preserve"> HYPERLINK \l _Toc22309 </w:instrText>
      </w:r>
      <w:r>
        <w:rPr>
          <w:rFonts w:ascii="Times New Roman" w:hAnsi="Times New Roman" w:eastAsia="宋体" w:cs="宋体"/>
          <w:color w:val="auto"/>
          <w:szCs w:val="21"/>
          <w:highlight w:val="none"/>
        </w:rPr>
        <w:fldChar w:fldCharType="separate"/>
      </w:r>
      <w:r>
        <w:rPr>
          <w:rFonts w:hint="eastAsia"/>
          <w:color w:val="auto"/>
          <w:highlight w:val="none"/>
        </w:rPr>
        <w:t>附件</w:t>
      </w:r>
      <w:r>
        <w:rPr>
          <w:rFonts w:hint="eastAsia"/>
          <w:color w:val="auto"/>
          <w:highlight w:val="none"/>
          <w:lang w:val="en-US" w:eastAsia="zh-CN"/>
        </w:rPr>
        <w:t>1 营业执照</w:t>
      </w:r>
      <w:r>
        <w:rPr>
          <w:color w:val="auto"/>
          <w:highlight w:val="none"/>
        </w:rPr>
        <w:tab/>
      </w:r>
      <w:r>
        <w:rPr>
          <w:color w:val="auto"/>
          <w:highlight w:val="none"/>
        </w:rPr>
        <w:fldChar w:fldCharType="begin"/>
      </w:r>
      <w:r>
        <w:rPr>
          <w:color w:val="auto"/>
          <w:highlight w:val="none"/>
        </w:rPr>
        <w:instrText xml:space="preserve"> PAGEREF _Toc22309 \h </w:instrText>
      </w:r>
      <w:r>
        <w:rPr>
          <w:color w:val="auto"/>
          <w:highlight w:val="none"/>
        </w:rPr>
        <w:fldChar w:fldCharType="separate"/>
      </w:r>
      <w:r>
        <w:rPr>
          <w:color w:val="auto"/>
          <w:highlight w:val="none"/>
        </w:rPr>
        <w:t>65</w:t>
      </w:r>
      <w:r>
        <w:rPr>
          <w:color w:val="auto"/>
          <w:highlight w:val="none"/>
        </w:rPr>
        <w:fldChar w:fldCharType="end"/>
      </w:r>
      <w:r>
        <w:rPr>
          <w:rFonts w:ascii="Times New Roman" w:hAnsi="Times New Roman" w:eastAsia="宋体" w:cs="宋体"/>
          <w:color w:val="auto"/>
          <w:szCs w:val="21"/>
          <w:highlight w:val="none"/>
        </w:rPr>
        <w:fldChar w:fldCharType="end"/>
      </w:r>
    </w:p>
    <w:p w14:paraId="674A7710">
      <w:pPr>
        <w:pStyle w:val="17"/>
        <w:tabs>
          <w:tab w:val="right" w:leader="dot" w:pos="8306"/>
        </w:tabs>
        <w:rPr>
          <w:color w:val="auto"/>
          <w:highlight w:val="none"/>
        </w:rPr>
      </w:pPr>
      <w:r>
        <w:rPr>
          <w:rFonts w:ascii="Times New Roman" w:hAnsi="Times New Roman" w:eastAsia="宋体" w:cs="宋体"/>
          <w:color w:val="auto"/>
          <w:szCs w:val="21"/>
          <w:highlight w:val="none"/>
        </w:rPr>
        <w:fldChar w:fldCharType="begin"/>
      </w:r>
      <w:r>
        <w:rPr>
          <w:rFonts w:ascii="Times New Roman" w:hAnsi="Times New Roman" w:eastAsia="宋体" w:cs="宋体"/>
          <w:color w:val="auto"/>
          <w:szCs w:val="21"/>
          <w:highlight w:val="none"/>
        </w:rPr>
        <w:instrText xml:space="preserve"> HYPERLINK \l _Toc27997 </w:instrText>
      </w:r>
      <w:r>
        <w:rPr>
          <w:rFonts w:ascii="Times New Roman" w:hAnsi="Times New Roman" w:eastAsia="宋体" w:cs="宋体"/>
          <w:color w:val="auto"/>
          <w:szCs w:val="21"/>
          <w:highlight w:val="none"/>
        </w:rPr>
        <w:fldChar w:fldCharType="separate"/>
      </w:r>
      <w:r>
        <w:rPr>
          <w:rFonts w:hint="eastAsia"/>
          <w:color w:val="auto"/>
          <w:highlight w:val="none"/>
        </w:rPr>
        <w:t>附件</w:t>
      </w:r>
      <w:r>
        <w:rPr>
          <w:rFonts w:hint="eastAsia"/>
          <w:color w:val="auto"/>
          <w:highlight w:val="none"/>
          <w:lang w:val="en-US" w:eastAsia="zh-CN"/>
        </w:rPr>
        <w:t xml:space="preserve">2 </w:t>
      </w:r>
      <w:r>
        <w:rPr>
          <w:rFonts w:hint="eastAsia"/>
          <w:color w:val="auto"/>
          <w:highlight w:val="none"/>
        </w:rPr>
        <w:t>土地证</w:t>
      </w:r>
      <w:r>
        <w:rPr>
          <w:color w:val="auto"/>
          <w:highlight w:val="none"/>
        </w:rPr>
        <w:tab/>
      </w:r>
      <w:r>
        <w:rPr>
          <w:color w:val="auto"/>
          <w:highlight w:val="none"/>
        </w:rPr>
        <w:fldChar w:fldCharType="begin"/>
      </w:r>
      <w:r>
        <w:rPr>
          <w:color w:val="auto"/>
          <w:highlight w:val="none"/>
        </w:rPr>
        <w:instrText xml:space="preserve"> PAGEREF _Toc27997 \h </w:instrText>
      </w:r>
      <w:r>
        <w:rPr>
          <w:color w:val="auto"/>
          <w:highlight w:val="none"/>
        </w:rPr>
        <w:fldChar w:fldCharType="separate"/>
      </w:r>
      <w:r>
        <w:rPr>
          <w:color w:val="auto"/>
          <w:highlight w:val="none"/>
        </w:rPr>
        <w:t>66</w:t>
      </w:r>
      <w:r>
        <w:rPr>
          <w:color w:val="auto"/>
          <w:highlight w:val="none"/>
        </w:rPr>
        <w:fldChar w:fldCharType="end"/>
      </w:r>
      <w:r>
        <w:rPr>
          <w:rFonts w:ascii="Times New Roman" w:hAnsi="Times New Roman" w:eastAsia="宋体" w:cs="宋体"/>
          <w:color w:val="auto"/>
          <w:szCs w:val="21"/>
          <w:highlight w:val="none"/>
        </w:rPr>
        <w:fldChar w:fldCharType="end"/>
      </w:r>
    </w:p>
    <w:p w14:paraId="3DAAD7E1">
      <w:pPr>
        <w:pStyle w:val="17"/>
        <w:tabs>
          <w:tab w:val="right" w:leader="dot" w:pos="8306"/>
        </w:tabs>
        <w:rPr>
          <w:color w:val="auto"/>
          <w:highlight w:val="none"/>
        </w:rPr>
      </w:pPr>
      <w:r>
        <w:rPr>
          <w:rFonts w:ascii="Times New Roman" w:hAnsi="Times New Roman" w:eastAsia="宋体" w:cs="宋体"/>
          <w:color w:val="auto"/>
          <w:szCs w:val="21"/>
          <w:highlight w:val="none"/>
        </w:rPr>
        <w:fldChar w:fldCharType="begin"/>
      </w:r>
      <w:r>
        <w:rPr>
          <w:rFonts w:ascii="Times New Roman" w:hAnsi="Times New Roman" w:eastAsia="宋体" w:cs="宋体"/>
          <w:color w:val="auto"/>
          <w:szCs w:val="21"/>
          <w:highlight w:val="none"/>
        </w:rPr>
        <w:instrText xml:space="preserve"> HYPERLINK \l _Toc31198 </w:instrText>
      </w:r>
      <w:r>
        <w:rPr>
          <w:rFonts w:ascii="Times New Roman" w:hAnsi="Times New Roman" w:eastAsia="宋体" w:cs="宋体"/>
          <w:color w:val="auto"/>
          <w:szCs w:val="21"/>
          <w:highlight w:val="none"/>
        </w:rPr>
        <w:fldChar w:fldCharType="separate"/>
      </w:r>
      <w:r>
        <w:rPr>
          <w:rFonts w:hint="eastAsia"/>
          <w:color w:val="auto"/>
          <w:highlight w:val="none"/>
          <w:lang w:val="en-US" w:eastAsia="zh-CN"/>
        </w:rPr>
        <w:t>附件3 租赁合同</w:t>
      </w:r>
      <w:r>
        <w:rPr>
          <w:color w:val="auto"/>
          <w:highlight w:val="none"/>
        </w:rPr>
        <w:tab/>
      </w:r>
      <w:r>
        <w:rPr>
          <w:color w:val="auto"/>
          <w:highlight w:val="none"/>
        </w:rPr>
        <w:fldChar w:fldCharType="begin"/>
      </w:r>
      <w:r>
        <w:rPr>
          <w:color w:val="auto"/>
          <w:highlight w:val="none"/>
        </w:rPr>
        <w:instrText xml:space="preserve"> PAGEREF _Toc31198 \h </w:instrText>
      </w:r>
      <w:r>
        <w:rPr>
          <w:color w:val="auto"/>
          <w:highlight w:val="none"/>
        </w:rPr>
        <w:fldChar w:fldCharType="separate"/>
      </w:r>
      <w:r>
        <w:rPr>
          <w:color w:val="auto"/>
          <w:highlight w:val="none"/>
        </w:rPr>
        <w:t>67</w:t>
      </w:r>
      <w:r>
        <w:rPr>
          <w:color w:val="auto"/>
          <w:highlight w:val="none"/>
        </w:rPr>
        <w:fldChar w:fldCharType="end"/>
      </w:r>
      <w:r>
        <w:rPr>
          <w:rFonts w:ascii="Times New Roman" w:hAnsi="Times New Roman" w:eastAsia="宋体" w:cs="宋体"/>
          <w:color w:val="auto"/>
          <w:szCs w:val="21"/>
          <w:highlight w:val="none"/>
        </w:rPr>
        <w:fldChar w:fldCharType="end"/>
      </w:r>
    </w:p>
    <w:p w14:paraId="41ED29D9">
      <w:pPr>
        <w:pStyle w:val="17"/>
        <w:tabs>
          <w:tab w:val="right" w:leader="dot" w:pos="8306"/>
        </w:tabs>
        <w:rPr>
          <w:color w:val="auto"/>
          <w:highlight w:val="none"/>
        </w:rPr>
      </w:pPr>
      <w:r>
        <w:rPr>
          <w:rFonts w:ascii="Times New Roman" w:hAnsi="Times New Roman" w:eastAsia="宋体" w:cs="宋体"/>
          <w:color w:val="auto"/>
          <w:szCs w:val="21"/>
          <w:highlight w:val="none"/>
        </w:rPr>
        <w:fldChar w:fldCharType="begin"/>
      </w:r>
      <w:r>
        <w:rPr>
          <w:rFonts w:ascii="Times New Roman" w:hAnsi="Times New Roman" w:eastAsia="宋体" w:cs="宋体"/>
          <w:color w:val="auto"/>
          <w:szCs w:val="21"/>
          <w:highlight w:val="none"/>
        </w:rPr>
        <w:instrText xml:space="preserve"> HYPERLINK \l _Toc9163 </w:instrText>
      </w:r>
      <w:r>
        <w:rPr>
          <w:rFonts w:ascii="Times New Roman" w:hAnsi="Times New Roman" w:eastAsia="宋体" w:cs="宋体"/>
          <w:color w:val="auto"/>
          <w:szCs w:val="21"/>
          <w:highlight w:val="none"/>
        </w:rPr>
        <w:fldChar w:fldCharType="separate"/>
      </w:r>
      <w:r>
        <w:rPr>
          <w:rFonts w:hint="eastAsia"/>
          <w:color w:val="auto"/>
          <w:highlight w:val="none"/>
        </w:rPr>
        <w:t>附件</w:t>
      </w:r>
      <w:r>
        <w:rPr>
          <w:rFonts w:hint="eastAsia"/>
          <w:color w:val="auto"/>
          <w:highlight w:val="none"/>
          <w:lang w:val="en-US" w:eastAsia="zh-CN"/>
        </w:rPr>
        <w:t xml:space="preserve">4 </w:t>
      </w:r>
      <w:bookmarkStart w:id="30" w:name="_GoBack"/>
      <w:bookmarkEnd w:id="30"/>
      <w:r>
        <w:rPr>
          <w:rFonts w:hint="eastAsia"/>
          <w:color w:val="auto"/>
          <w:highlight w:val="none"/>
          <w:lang w:val="en-US" w:eastAsia="zh-CN"/>
        </w:rPr>
        <w:t>现状检测报告</w:t>
      </w:r>
      <w:r>
        <w:rPr>
          <w:color w:val="auto"/>
          <w:highlight w:val="none"/>
        </w:rPr>
        <w:tab/>
      </w:r>
      <w:r>
        <w:rPr>
          <w:color w:val="auto"/>
          <w:highlight w:val="none"/>
        </w:rPr>
        <w:fldChar w:fldCharType="begin"/>
      </w:r>
      <w:r>
        <w:rPr>
          <w:color w:val="auto"/>
          <w:highlight w:val="none"/>
        </w:rPr>
        <w:instrText xml:space="preserve"> PAGEREF _Toc9163 \h </w:instrText>
      </w:r>
      <w:r>
        <w:rPr>
          <w:color w:val="auto"/>
          <w:highlight w:val="none"/>
        </w:rPr>
        <w:fldChar w:fldCharType="separate"/>
      </w:r>
      <w:r>
        <w:rPr>
          <w:color w:val="auto"/>
          <w:highlight w:val="none"/>
        </w:rPr>
        <w:t>68</w:t>
      </w:r>
      <w:r>
        <w:rPr>
          <w:color w:val="auto"/>
          <w:highlight w:val="none"/>
        </w:rPr>
        <w:fldChar w:fldCharType="end"/>
      </w:r>
      <w:r>
        <w:rPr>
          <w:rFonts w:ascii="Times New Roman" w:hAnsi="Times New Roman" w:eastAsia="宋体" w:cs="宋体"/>
          <w:color w:val="auto"/>
          <w:szCs w:val="21"/>
          <w:highlight w:val="none"/>
        </w:rPr>
        <w:fldChar w:fldCharType="end"/>
      </w:r>
    </w:p>
    <w:p w14:paraId="38539FE7">
      <w:pPr>
        <w:pStyle w:val="17"/>
        <w:tabs>
          <w:tab w:val="right" w:leader="dot" w:pos="8306"/>
        </w:tabs>
        <w:rPr>
          <w:color w:val="auto"/>
          <w:highlight w:val="none"/>
        </w:rPr>
      </w:pPr>
      <w:r>
        <w:rPr>
          <w:rFonts w:ascii="Times New Roman" w:hAnsi="Times New Roman" w:eastAsia="宋体" w:cs="宋体"/>
          <w:color w:val="auto"/>
          <w:szCs w:val="21"/>
          <w:highlight w:val="none"/>
        </w:rPr>
        <w:fldChar w:fldCharType="begin"/>
      </w:r>
      <w:r>
        <w:rPr>
          <w:rFonts w:ascii="Times New Roman" w:hAnsi="Times New Roman" w:eastAsia="宋体" w:cs="宋体"/>
          <w:color w:val="auto"/>
          <w:szCs w:val="21"/>
          <w:highlight w:val="none"/>
        </w:rPr>
        <w:instrText xml:space="preserve"> HYPERLINK \l _Toc16611 </w:instrText>
      </w:r>
      <w:r>
        <w:rPr>
          <w:rFonts w:ascii="Times New Roman" w:hAnsi="Times New Roman" w:eastAsia="宋体" w:cs="宋体"/>
          <w:color w:val="auto"/>
          <w:szCs w:val="21"/>
          <w:highlight w:val="none"/>
        </w:rPr>
        <w:fldChar w:fldCharType="separate"/>
      </w:r>
      <w:r>
        <w:rPr>
          <w:rFonts w:hint="eastAsia"/>
          <w:color w:val="auto"/>
          <w:highlight w:val="none"/>
          <w:lang w:val="en-US" w:eastAsia="zh-CN"/>
        </w:rPr>
        <w:t>附件5 项目位置不在经开区说明</w:t>
      </w:r>
      <w:r>
        <w:rPr>
          <w:color w:val="auto"/>
          <w:highlight w:val="none"/>
        </w:rPr>
        <w:tab/>
      </w:r>
      <w:r>
        <w:rPr>
          <w:color w:val="auto"/>
          <w:highlight w:val="none"/>
        </w:rPr>
        <w:fldChar w:fldCharType="begin"/>
      </w:r>
      <w:r>
        <w:rPr>
          <w:color w:val="auto"/>
          <w:highlight w:val="none"/>
        </w:rPr>
        <w:instrText xml:space="preserve"> PAGEREF _Toc16611 \h </w:instrText>
      </w:r>
      <w:r>
        <w:rPr>
          <w:color w:val="auto"/>
          <w:highlight w:val="none"/>
        </w:rPr>
        <w:fldChar w:fldCharType="separate"/>
      </w:r>
      <w:r>
        <w:rPr>
          <w:color w:val="auto"/>
          <w:highlight w:val="none"/>
        </w:rPr>
        <w:t>72</w:t>
      </w:r>
      <w:r>
        <w:rPr>
          <w:color w:val="auto"/>
          <w:highlight w:val="none"/>
        </w:rPr>
        <w:fldChar w:fldCharType="end"/>
      </w:r>
      <w:r>
        <w:rPr>
          <w:rFonts w:ascii="Times New Roman" w:hAnsi="Times New Roman" w:eastAsia="宋体" w:cs="宋体"/>
          <w:color w:val="auto"/>
          <w:szCs w:val="21"/>
          <w:highlight w:val="none"/>
        </w:rPr>
        <w:fldChar w:fldCharType="end"/>
      </w:r>
    </w:p>
    <w:p w14:paraId="01CB3028">
      <w:pPr>
        <w:pStyle w:val="17"/>
        <w:tabs>
          <w:tab w:val="right" w:leader="dot" w:pos="8306"/>
        </w:tabs>
        <w:rPr>
          <w:color w:val="auto"/>
          <w:highlight w:val="none"/>
        </w:rPr>
      </w:pPr>
      <w:r>
        <w:rPr>
          <w:rFonts w:ascii="Times New Roman" w:hAnsi="Times New Roman" w:eastAsia="宋体" w:cs="宋体"/>
          <w:color w:val="auto"/>
          <w:szCs w:val="21"/>
          <w:highlight w:val="none"/>
        </w:rPr>
        <w:fldChar w:fldCharType="begin"/>
      </w:r>
      <w:r>
        <w:rPr>
          <w:rFonts w:ascii="Times New Roman" w:hAnsi="Times New Roman" w:eastAsia="宋体" w:cs="宋体"/>
          <w:color w:val="auto"/>
          <w:szCs w:val="21"/>
          <w:highlight w:val="none"/>
        </w:rPr>
        <w:instrText xml:space="preserve"> HYPERLINK \l _Toc7925 </w:instrText>
      </w:r>
      <w:r>
        <w:rPr>
          <w:rFonts w:ascii="Times New Roman" w:hAnsi="Times New Roman" w:eastAsia="宋体" w:cs="宋体"/>
          <w:color w:val="auto"/>
          <w:szCs w:val="21"/>
          <w:highlight w:val="none"/>
        </w:rPr>
        <w:fldChar w:fldCharType="separate"/>
      </w:r>
      <w:r>
        <w:rPr>
          <w:rFonts w:hint="eastAsia"/>
          <w:color w:val="auto"/>
          <w:highlight w:val="none"/>
        </w:rPr>
        <w:t>附件</w:t>
      </w:r>
      <w:r>
        <w:rPr>
          <w:rFonts w:hint="eastAsia"/>
          <w:color w:val="auto"/>
          <w:highlight w:val="none"/>
          <w:lang w:val="en-US" w:eastAsia="zh-CN"/>
        </w:rPr>
        <w:t xml:space="preserve">6 </w:t>
      </w:r>
      <w:r>
        <w:rPr>
          <w:rFonts w:hint="eastAsia"/>
          <w:color w:val="auto"/>
          <w:highlight w:val="none"/>
        </w:rPr>
        <w:t>生态环境分区管控分析报告</w:t>
      </w:r>
      <w:r>
        <w:rPr>
          <w:color w:val="auto"/>
          <w:highlight w:val="none"/>
        </w:rPr>
        <w:tab/>
      </w:r>
      <w:r>
        <w:rPr>
          <w:color w:val="auto"/>
          <w:highlight w:val="none"/>
        </w:rPr>
        <w:fldChar w:fldCharType="begin"/>
      </w:r>
      <w:r>
        <w:rPr>
          <w:color w:val="auto"/>
          <w:highlight w:val="none"/>
        </w:rPr>
        <w:instrText xml:space="preserve"> PAGEREF _Toc7925 \h </w:instrText>
      </w:r>
      <w:r>
        <w:rPr>
          <w:color w:val="auto"/>
          <w:highlight w:val="none"/>
        </w:rPr>
        <w:fldChar w:fldCharType="separate"/>
      </w:r>
      <w:r>
        <w:rPr>
          <w:color w:val="auto"/>
          <w:highlight w:val="none"/>
        </w:rPr>
        <w:t>73</w:t>
      </w:r>
      <w:r>
        <w:rPr>
          <w:color w:val="auto"/>
          <w:highlight w:val="none"/>
        </w:rPr>
        <w:fldChar w:fldCharType="end"/>
      </w:r>
      <w:r>
        <w:rPr>
          <w:rFonts w:ascii="Times New Roman" w:hAnsi="Times New Roman" w:eastAsia="宋体" w:cs="宋体"/>
          <w:color w:val="auto"/>
          <w:szCs w:val="21"/>
          <w:highlight w:val="none"/>
        </w:rPr>
        <w:fldChar w:fldCharType="end"/>
      </w:r>
    </w:p>
    <w:p w14:paraId="76352710">
      <w:pPr>
        <w:pStyle w:val="17"/>
        <w:tabs>
          <w:tab w:val="right" w:leader="dot" w:pos="8306"/>
        </w:tabs>
        <w:rPr>
          <w:color w:val="auto"/>
          <w:highlight w:val="none"/>
        </w:rPr>
      </w:pPr>
      <w:r>
        <w:rPr>
          <w:rFonts w:ascii="Times New Roman" w:hAnsi="Times New Roman" w:eastAsia="宋体" w:cs="宋体"/>
          <w:color w:val="auto"/>
          <w:szCs w:val="21"/>
          <w:highlight w:val="none"/>
        </w:rPr>
        <w:fldChar w:fldCharType="begin"/>
      </w:r>
      <w:r>
        <w:rPr>
          <w:rFonts w:ascii="Times New Roman" w:hAnsi="Times New Roman" w:eastAsia="宋体" w:cs="宋体"/>
          <w:color w:val="auto"/>
          <w:szCs w:val="21"/>
          <w:highlight w:val="none"/>
        </w:rPr>
        <w:instrText xml:space="preserve"> HYPERLINK \l _Toc15559 </w:instrText>
      </w:r>
      <w:r>
        <w:rPr>
          <w:rFonts w:ascii="Times New Roman" w:hAnsi="Times New Roman" w:eastAsia="宋体" w:cs="宋体"/>
          <w:color w:val="auto"/>
          <w:szCs w:val="21"/>
          <w:highlight w:val="none"/>
        </w:rPr>
        <w:fldChar w:fldCharType="separate"/>
      </w:r>
      <w:r>
        <w:rPr>
          <w:rFonts w:hint="eastAsia"/>
          <w:color w:val="auto"/>
          <w:highlight w:val="none"/>
        </w:rPr>
        <w:t>附件</w:t>
      </w:r>
      <w:r>
        <w:rPr>
          <w:rFonts w:hint="eastAsia"/>
          <w:color w:val="auto"/>
          <w:highlight w:val="none"/>
          <w:lang w:val="en-US" w:eastAsia="zh-CN"/>
        </w:rPr>
        <w:t xml:space="preserve">7 </w:t>
      </w:r>
      <w:r>
        <w:rPr>
          <w:rFonts w:hint="default" w:ascii="Times New Roman" w:hAnsi="Times New Roman" w:cs="Times New Roman"/>
          <w:color w:val="auto"/>
          <w:highlight w:val="none"/>
          <w:lang w:val="en-US" w:eastAsia="zh-CN"/>
        </w:rPr>
        <w:t>行政处罚决定书</w:t>
      </w:r>
      <w:r>
        <w:rPr>
          <w:color w:val="auto"/>
          <w:highlight w:val="none"/>
        </w:rPr>
        <w:tab/>
      </w:r>
      <w:r>
        <w:rPr>
          <w:color w:val="auto"/>
          <w:highlight w:val="none"/>
        </w:rPr>
        <w:fldChar w:fldCharType="begin"/>
      </w:r>
      <w:r>
        <w:rPr>
          <w:color w:val="auto"/>
          <w:highlight w:val="none"/>
        </w:rPr>
        <w:instrText xml:space="preserve"> PAGEREF _Toc15559 \h </w:instrText>
      </w:r>
      <w:r>
        <w:rPr>
          <w:color w:val="auto"/>
          <w:highlight w:val="none"/>
        </w:rPr>
        <w:fldChar w:fldCharType="separate"/>
      </w:r>
      <w:r>
        <w:rPr>
          <w:color w:val="auto"/>
          <w:highlight w:val="none"/>
        </w:rPr>
        <w:t>85</w:t>
      </w:r>
      <w:r>
        <w:rPr>
          <w:color w:val="auto"/>
          <w:highlight w:val="none"/>
        </w:rPr>
        <w:fldChar w:fldCharType="end"/>
      </w:r>
      <w:r>
        <w:rPr>
          <w:rFonts w:ascii="Times New Roman" w:hAnsi="Times New Roman" w:eastAsia="宋体" w:cs="宋体"/>
          <w:color w:val="auto"/>
          <w:szCs w:val="21"/>
          <w:highlight w:val="none"/>
        </w:rPr>
        <w:fldChar w:fldCharType="end"/>
      </w:r>
    </w:p>
    <w:p w14:paraId="4984D7EA">
      <w:pPr>
        <w:pStyle w:val="17"/>
        <w:tabs>
          <w:tab w:val="right" w:leader="dot" w:pos="8306"/>
        </w:tabs>
        <w:rPr>
          <w:color w:val="auto"/>
          <w:highlight w:val="none"/>
        </w:rPr>
      </w:pPr>
      <w:r>
        <w:rPr>
          <w:rFonts w:ascii="Times New Roman" w:hAnsi="Times New Roman" w:eastAsia="宋体" w:cs="宋体"/>
          <w:color w:val="auto"/>
          <w:szCs w:val="21"/>
          <w:highlight w:val="none"/>
        </w:rPr>
        <w:fldChar w:fldCharType="begin"/>
      </w:r>
      <w:r>
        <w:rPr>
          <w:rFonts w:ascii="Times New Roman" w:hAnsi="Times New Roman" w:eastAsia="宋体" w:cs="宋体"/>
          <w:color w:val="auto"/>
          <w:szCs w:val="21"/>
          <w:highlight w:val="none"/>
        </w:rPr>
        <w:instrText xml:space="preserve"> HYPERLINK \l _Toc1132 </w:instrText>
      </w:r>
      <w:r>
        <w:rPr>
          <w:rFonts w:ascii="Times New Roman" w:hAnsi="Times New Roman" w:eastAsia="宋体" w:cs="宋体"/>
          <w:color w:val="auto"/>
          <w:szCs w:val="21"/>
          <w:highlight w:val="none"/>
        </w:rPr>
        <w:fldChar w:fldCharType="separate"/>
      </w:r>
      <w:r>
        <w:rPr>
          <w:rFonts w:hint="eastAsia"/>
          <w:color w:val="auto"/>
          <w:highlight w:val="none"/>
          <w:lang w:val="en-US" w:eastAsia="zh-CN"/>
        </w:rPr>
        <w:t>附件8 缴费证明</w:t>
      </w:r>
      <w:r>
        <w:rPr>
          <w:color w:val="auto"/>
          <w:highlight w:val="none"/>
        </w:rPr>
        <w:tab/>
      </w:r>
      <w:r>
        <w:rPr>
          <w:color w:val="auto"/>
          <w:highlight w:val="none"/>
        </w:rPr>
        <w:fldChar w:fldCharType="begin"/>
      </w:r>
      <w:r>
        <w:rPr>
          <w:color w:val="auto"/>
          <w:highlight w:val="none"/>
        </w:rPr>
        <w:instrText xml:space="preserve"> PAGEREF _Toc1132 \h </w:instrText>
      </w:r>
      <w:r>
        <w:rPr>
          <w:color w:val="auto"/>
          <w:highlight w:val="none"/>
        </w:rPr>
        <w:fldChar w:fldCharType="separate"/>
      </w:r>
      <w:r>
        <w:rPr>
          <w:color w:val="auto"/>
          <w:highlight w:val="none"/>
        </w:rPr>
        <w:t>89</w:t>
      </w:r>
      <w:r>
        <w:rPr>
          <w:color w:val="auto"/>
          <w:highlight w:val="none"/>
        </w:rPr>
        <w:fldChar w:fldCharType="end"/>
      </w:r>
      <w:r>
        <w:rPr>
          <w:rFonts w:ascii="Times New Roman" w:hAnsi="Times New Roman" w:eastAsia="宋体" w:cs="宋体"/>
          <w:color w:val="auto"/>
          <w:szCs w:val="21"/>
          <w:highlight w:val="none"/>
        </w:rPr>
        <w:fldChar w:fldCharType="end"/>
      </w:r>
    </w:p>
    <w:p w14:paraId="5E0A00FA">
      <w:pPr>
        <w:keepNext w:val="0"/>
        <w:keepLines w:val="0"/>
        <w:pageBreakBefore w:val="0"/>
        <w:widowControl w:val="0"/>
        <w:kinsoku/>
        <w:wordWrap w:val="0"/>
        <w:overflowPunct/>
        <w:topLinePunct/>
        <w:autoSpaceDE/>
        <w:autoSpaceDN/>
        <w:bidi w:val="0"/>
        <w:adjustRightInd/>
        <w:snapToGrid/>
        <w:jc w:val="left"/>
        <w:textAlignment w:val="auto"/>
        <w:rPr>
          <w:rFonts w:hint="eastAsia" w:cs="宋体"/>
          <w:color w:val="auto"/>
          <w:szCs w:val="21"/>
          <w:highlight w:val="none"/>
          <w:lang w:val="en-US" w:eastAsia="zh-CN"/>
        </w:rPr>
      </w:pPr>
      <w:r>
        <w:rPr>
          <w:rFonts w:ascii="Times New Roman" w:hAnsi="Times New Roman" w:eastAsia="宋体" w:cs="宋体"/>
          <w:color w:val="auto"/>
          <w:szCs w:val="21"/>
          <w:highlight w:val="none"/>
        </w:rPr>
        <w:fldChar w:fldCharType="end"/>
      </w:r>
    </w:p>
    <w:p w14:paraId="0236B5D9">
      <w:pPr>
        <w:keepNext w:val="0"/>
        <w:keepLines w:val="0"/>
        <w:pageBreakBefore w:val="0"/>
        <w:widowControl w:val="0"/>
        <w:kinsoku/>
        <w:overflowPunct/>
        <w:autoSpaceDE/>
        <w:autoSpaceDN/>
        <w:bidi w:val="0"/>
        <w:adjustRightInd/>
        <w:snapToGrid/>
        <w:jc w:val="left"/>
        <w:textAlignment w:val="auto"/>
        <w:outlineLvl w:val="0"/>
        <w:rPr>
          <w:rFonts w:hint="eastAsia" w:ascii="Times New Roman" w:hAnsi="Times New Roman" w:eastAsia="宋体" w:cs="宋体"/>
          <w:snapToGrid w:val="0"/>
          <w:color w:val="auto"/>
          <w:sz w:val="21"/>
          <w:szCs w:val="21"/>
          <w:highlight w:val="none"/>
        </w:rPr>
        <w:sectPr>
          <w:headerReference r:id="rId6" w:type="default"/>
          <w:footerReference r:id="rId7" w:type="default"/>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14:paraId="3BE63450">
      <w:pPr>
        <w:widowControl w:val="0"/>
        <w:wordWrap w:val="0"/>
        <w:topLinePunct/>
        <w:bidi w:val="0"/>
        <w:spacing w:line="360" w:lineRule="auto"/>
        <w:ind w:firstLine="0" w:firstLineChars="0"/>
        <w:jc w:val="center"/>
        <w:outlineLvl w:val="0"/>
        <w:rPr>
          <w:rFonts w:hint="eastAsia" w:ascii="Times New Roman" w:hAnsi="Times New Roman" w:eastAsia="宋体" w:cs="宋体"/>
          <w:b/>
          <w:snapToGrid w:val="0"/>
          <w:color w:val="auto"/>
          <w:kern w:val="2"/>
          <w:sz w:val="30"/>
          <w:szCs w:val="30"/>
          <w:highlight w:val="none"/>
          <w:lang w:val="en-US" w:eastAsia="zh-CN" w:bidi="ar-SA"/>
        </w:rPr>
      </w:pPr>
      <w:bookmarkStart w:id="3" w:name="_Toc4459"/>
      <w:r>
        <w:rPr>
          <w:rFonts w:hint="eastAsia" w:ascii="Times New Roman" w:hAnsi="Times New Roman" w:eastAsia="宋体" w:cs="宋体"/>
          <w:b/>
          <w:snapToGrid w:val="0"/>
          <w:color w:val="auto"/>
          <w:kern w:val="2"/>
          <w:sz w:val="30"/>
          <w:szCs w:val="30"/>
          <w:highlight w:val="none"/>
          <w:lang w:val="en-US" w:eastAsia="zh-CN" w:bidi="ar-SA"/>
        </w:rPr>
        <w:t>一、建设项目基本情况</w:t>
      </w:r>
      <w:bookmarkEnd w:id="3"/>
    </w:p>
    <w:tbl>
      <w:tblPr>
        <w:tblStyle w:val="23"/>
        <w:tblW w:w="521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75"/>
        <w:gridCol w:w="2879"/>
        <w:gridCol w:w="1375"/>
        <w:gridCol w:w="3463"/>
      </w:tblGrid>
      <w:tr w14:paraId="78DFF4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11" w:type="pct"/>
            <w:noWrap w:val="0"/>
            <w:tcMar>
              <w:top w:w="16" w:type="dxa"/>
              <w:left w:w="16" w:type="dxa"/>
              <w:right w:w="16" w:type="dxa"/>
            </w:tcMar>
            <w:vAlign w:val="center"/>
          </w:tcPr>
          <w:p w14:paraId="0B61CDE6">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建设项目名称</w:t>
            </w:r>
          </w:p>
        </w:tc>
        <w:tc>
          <w:tcPr>
            <w:tcW w:w="4388" w:type="pct"/>
            <w:gridSpan w:val="3"/>
            <w:noWrap w:val="0"/>
            <w:vAlign w:val="center"/>
          </w:tcPr>
          <w:p w14:paraId="76661B8D">
            <w:pPr>
              <w:adjustRightInd w:val="0"/>
              <w:snapToGrid w:val="0"/>
              <w:spacing w:line="240" w:lineRule="auto"/>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双鸭山集宏商品混凝土制造有限公司建设项目</w:t>
            </w:r>
          </w:p>
        </w:tc>
      </w:tr>
      <w:tr w14:paraId="6D3853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11" w:type="pct"/>
            <w:noWrap w:val="0"/>
            <w:tcMar>
              <w:top w:w="16" w:type="dxa"/>
              <w:left w:w="16" w:type="dxa"/>
              <w:right w:w="16" w:type="dxa"/>
            </w:tcMar>
            <w:vAlign w:val="center"/>
          </w:tcPr>
          <w:p w14:paraId="0FDC3CB5">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项目代码</w:t>
            </w:r>
          </w:p>
        </w:tc>
        <w:tc>
          <w:tcPr>
            <w:tcW w:w="4388" w:type="pct"/>
            <w:gridSpan w:val="3"/>
            <w:noWrap w:val="0"/>
            <w:vAlign w:val="center"/>
          </w:tcPr>
          <w:p w14:paraId="5D679F98">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w:t>
            </w:r>
          </w:p>
        </w:tc>
      </w:tr>
      <w:tr w14:paraId="0E077B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11" w:type="pct"/>
            <w:noWrap w:val="0"/>
            <w:tcMar>
              <w:top w:w="16" w:type="dxa"/>
              <w:left w:w="16" w:type="dxa"/>
              <w:right w:w="16" w:type="dxa"/>
            </w:tcMar>
            <w:vAlign w:val="center"/>
          </w:tcPr>
          <w:p w14:paraId="35DF77A2">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建设单位联系人</w:t>
            </w:r>
          </w:p>
        </w:tc>
        <w:tc>
          <w:tcPr>
            <w:tcW w:w="1637" w:type="pct"/>
            <w:noWrap w:val="0"/>
            <w:vAlign w:val="center"/>
          </w:tcPr>
          <w:p w14:paraId="53CB95F6">
            <w:pPr>
              <w:adjustRightInd w:val="0"/>
              <w:snapToGrid w:val="0"/>
              <w:spacing w:line="240" w:lineRule="auto"/>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陈孝敏</w:t>
            </w:r>
          </w:p>
        </w:tc>
        <w:tc>
          <w:tcPr>
            <w:tcW w:w="782" w:type="pct"/>
            <w:noWrap w:val="0"/>
            <w:vAlign w:val="center"/>
          </w:tcPr>
          <w:p w14:paraId="18A3FBFF">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联系方式</w:t>
            </w:r>
          </w:p>
        </w:tc>
        <w:tc>
          <w:tcPr>
            <w:tcW w:w="1968" w:type="pct"/>
            <w:noWrap w:val="0"/>
            <w:vAlign w:val="center"/>
          </w:tcPr>
          <w:p w14:paraId="1A8E2392">
            <w:pPr>
              <w:adjustRightInd w:val="0"/>
              <w:snapToGrid w:val="0"/>
              <w:spacing w:line="240" w:lineRule="auto"/>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18145376789</w:t>
            </w:r>
          </w:p>
        </w:tc>
      </w:tr>
      <w:tr w14:paraId="39145B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11" w:type="pct"/>
            <w:noWrap w:val="0"/>
            <w:tcMar>
              <w:top w:w="16" w:type="dxa"/>
              <w:left w:w="16" w:type="dxa"/>
              <w:right w:w="16" w:type="dxa"/>
            </w:tcMar>
            <w:vAlign w:val="center"/>
          </w:tcPr>
          <w:p w14:paraId="1787A81E">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建设地点</w:t>
            </w:r>
          </w:p>
        </w:tc>
        <w:tc>
          <w:tcPr>
            <w:tcW w:w="4388" w:type="pct"/>
            <w:gridSpan w:val="3"/>
            <w:noWrap w:val="0"/>
            <w:vAlign w:val="center"/>
          </w:tcPr>
          <w:p w14:paraId="7C5F4520">
            <w:pPr>
              <w:adjustRightInd w:val="0"/>
              <w:snapToGrid w:val="0"/>
              <w:spacing w:line="240" w:lineRule="auto"/>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黑龙江省</w:t>
            </w:r>
            <w:r>
              <w:rPr>
                <w:rFonts w:hint="eastAsia" w:ascii="Times New Roman" w:hAnsi="Times New Roman" w:cs="Times New Roman"/>
                <w:color w:val="auto"/>
                <w:szCs w:val="21"/>
                <w:highlight w:val="none"/>
                <w:lang w:val="en-US" w:eastAsia="zh-CN"/>
              </w:rPr>
              <w:t>双鸭山</w:t>
            </w:r>
            <w:r>
              <w:rPr>
                <w:rFonts w:hint="default" w:ascii="Times New Roman" w:hAnsi="Times New Roman" w:eastAsia="宋体" w:cs="Times New Roman"/>
                <w:color w:val="auto"/>
                <w:szCs w:val="21"/>
                <w:highlight w:val="none"/>
              </w:rPr>
              <w:t>市四方台区三江农资东侧</w:t>
            </w:r>
          </w:p>
        </w:tc>
      </w:tr>
      <w:tr w14:paraId="20AB9F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11" w:type="pct"/>
            <w:noWrap w:val="0"/>
            <w:tcMar>
              <w:top w:w="16" w:type="dxa"/>
              <w:left w:w="16" w:type="dxa"/>
              <w:right w:w="16" w:type="dxa"/>
            </w:tcMar>
            <w:vAlign w:val="center"/>
          </w:tcPr>
          <w:p w14:paraId="0C96A5E2">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地理坐标</w:t>
            </w:r>
          </w:p>
        </w:tc>
        <w:tc>
          <w:tcPr>
            <w:tcW w:w="4388" w:type="pct"/>
            <w:gridSpan w:val="3"/>
            <w:noWrap w:val="0"/>
            <w:vAlign w:val="center"/>
          </w:tcPr>
          <w:p w14:paraId="3BB63F4D">
            <w:pPr>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u w:val="single"/>
              </w:rPr>
              <w:t>13</w:t>
            </w:r>
            <w:r>
              <w:rPr>
                <w:rFonts w:hint="eastAsia" w:ascii="Times New Roman" w:hAnsi="Times New Roman" w:cs="Times New Roman"/>
                <w:color w:val="auto"/>
                <w:szCs w:val="21"/>
                <w:highlight w:val="none"/>
                <w:u w:val="single"/>
                <w:lang w:val="en-US" w:eastAsia="zh-CN"/>
              </w:rPr>
              <w:t>1</w:t>
            </w:r>
            <w:r>
              <w:rPr>
                <w:rFonts w:hint="default" w:ascii="Times New Roman" w:hAnsi="Times New Roman" w:eastAsia="宋体" w:cs="Times New Roman"/>
                <w:color w:val="auto"/>
                <w:szCs w:val="21"/>
                <w:highlight w:val="none"/>
              </w:rPr>
              <w:t>度</w:t>
            </w:r>
            <w:r>
              <w:rPr>
                <w:rFonts w:hint="eastAsia" w:cs="Times New Roman"/>
                <w:color w:val="auto"/>
                <w:szCs w:val="21"/>
                <w:highlight w:val="none"/>
                <w:u w:val="single"/>
                <w:lang w:val="en-US" w:eastAsia="zh-CN"/>
              </w:rPr>
              <w:t>09</w:t>
            </w:r>
            <w:r>
              <w:rPr>
                <w:rFonts w:hint="default" w:ascii="Times New Roman" w:hAnsi="Times New Roman" w:eastAsia="宋体" w:cs="Times New Roman"/>
                <w:color w:val="auto"/>
                <w:szCs w:val="21"/>
                <w:highlight w:val="none"/>
              </w:rPr>
              <w:t>分</w:t>
            </w:r>
            <w:r>
              <w:rPr>
                <w:rFonts w:hint="eastAsia" w:cs="Times New Roman"/>
                <w:color w:val="auto"/>
                <w:szCs w:val="21"/>
                <w:highlight w:val="none"/>
                <w:u w:val="single"/>
                <w:lang w:val="en-US" w:eastAsia="zh-CN"/>
              </w:rPr>
              <w:t>3</w:t>
            </w:r>
            <w:r>
              <w:rPr>
                <w:rFonts w:hint="eastAsia" w:ascii="Times New Roman" w:hAnsi="Times New Roman" w:cs="Times New Roman"/>
                <w:color w:val="auto"/>
                <w:szCs w:val="21"/>
                <w:highlight w:val="none"/>
                <w:u w:val="single"/>
                <w:lang w:val="en-US" w:eastAsia="zh-CN"/>
              </w:rPr>
              <w:t>7.</w:t>
            </w:r>
            <w:r>
              <w:rPr>
                <w:rFonts w:hint="eastAsia" w:cs="Times New Roman"/>
                <w:color w:val="auto"/>
                <w:szCs w:val="21"/>
                <w:highlight w:val="none"/>
                <w:u w:val="single"/>
                <w:lang w:val="en-US" w:eastAsia="zh-CN"/>
              </w:rPr>
              <w:t>0</w:t>
            </w:r>
            <w:r>
              <w:rPr>
                <w:rFonts w:hint="eastAsia" w:ascii="Times New Roman" w:hAnsi="Times New Roman" w:cs="Times New Roman"/>
                <w:color w:val="auto"/>
                <w:szCs w:val="21"/>
                <w:highlight w:val="none"/>
                <w:u w:val="single"/>
                <w:lang w:val="en-US" w:eastAsia="zh-CN"/>
              </w:rPr>
              <w:t>55</w:t>
            </w:r>
            <w:r>
              <w:rPr>
                <w:rFonts w:hint="default" w:ascii="Times New Roman" w:hAnsi="Times New Roman" w:eastAsia="宋体" w:cs="Times New Roman"/>
                <w:color w:val="auto"/>
                <w:szCs w:val="21"/>
                <w:highlight w:val="none"/>
              </w:rPr>
              <w:t>秒，</w:t>
            </w:r>
            <w:r>
              <w:rPr>
                <w:rFonts w:hint="default" w:ascii="Times New Roman" w:hAnsi="Times New Roman" w:eastAsia="宋体" w:cs="Times New Roman"/>
                <w:color w:val="auto"/>
                <w:szCs w:val="21"/>
                <w:highlight w:val="none"/>
                <w:u w:val="single"/>
              </w:rPr>
              <w:t>4</w:t>
            </w:r>
            <w:r>
              <w:rPr>
                <w:rFonts w:hint="eastAsia" w:ascii="Times New Roman" w:hAnsi="Times New Roman" w:cs="Times New Roman"/>
                <w:color w:val="auto"/>
                <w:szCs w:val="21"/>
                <w:highlight w:val="none"/>
                <w:u w:val="single"/>
                <w:lang w:val="en-US" w:eastAsia="zh-CN"/>
              </w:rPr>
              <w:t>6</w:t>
            </w:r>
            <w:r>
              <w:rPr>
                <w:rFonts w:hint="default" w:ascii="Times New Roman" w:hAnsi="Times New Roman" w:eastAsia="宋体" w:cs="Times New Roman"/>
                <w:color w:val="auto"/>
                <w:szCs w:val="21"/>
                <w:highlight w:val="none"/>
              </w:rPr>
              <w:t>度</w:t>
            </w:r>
            <w:r>
              <w:rPr>
                <w:rFonts w:hint="eastAsia" w:ascii="Times New Roman" w:hAnsi="Times New Roman" w:cs="Times New Roman"/>
                <w:color w:val="auto"/>
                <w:szCs w:val="21"/>
                <w:highlight w:val="none"/>
                <w:u w:val="single"/>
                <w:lang w:val="en-US" w:eastAsia="zh-CN"/>
              </w:rPr>
              <w:t>4</w:t>
            </w:r>
            <w:r>
              <w:rPr>
                <w:rFonts w:hint="default" w:ascii="Times New Roman" w:hAnsi="Times New Roman" w:cs="Times New Roman"/>
                <w:color w:val="auto"/>
                <w:szCs w:val="21"/>
                <w:highlight w:val="none"/>
                <w:u w:val="single"/>
                <w:lang w:val="en-US" w:eastAsia="zh-CN"/>
              </w:rPr>
              <w:t>3</w:t>
            </w:r>
            <w:r>
              <w:rPr>
                <w:rFonts w:hint="default" w:ascii="Times New Roman" w:hAnsi="Times New Roman" w:eastAsia="宋体" w:cs="Times New Roman"/>
                <w:color w:val="auto"/>
                <w:szCs w:val="21"/>
                <w:highlight w:val="none"/>
              </w:rPr>
              <w:t>分</w:t>
            </w:r>
            <w:r>
              <w:rPr>
                <w:rFonts w:hint="eastAsia" w:cs="Times New Roman"/>
                <w:color w:val="auto"/>
                <w:szCs w:val="21"/>
                <w:highlight w:val="none"/>
                <w:u w:val="single"/>
                <w:lang w:val="en-US" w:eastAsia="zh-CN"/>
              </w:rPr>
              <w:t>38</w:t>
            </w:r>
            <w:r>
              <w:rPr>
                <w:rFonts w:hint="eastAsia" w:ascii="Times New Roman" w:hAnsi="Times New Roman" w:cs="Times New Roman"/>
                <w:color w:val="auto"/>
                <w:szCs w:val="21"/>
                <w:highlight w:val="none"/>
                <w:u w:val="single"/>
                <w:lang w:val="en-US" w:eastAsia="zh-CN"/>
              </w:rPr>
              <w:t>.208</w:t>
            </w:r>
            <w:r>
              <w:rPr>
                <w:rFonts w:hint="default" w:ascii="Times New Roman" w:hAnsi="Times New Roman" w:eastAsia="宋体" w:cs="Times New Roman"/>
                <w:color w:val="auto"/>
                <w:szCs w:val="21"/>
                <w:highlight w:val="none"/>
              </w:rPr>
              <w:t>秒）</w:t>
            </w:r>
          </w:p>
        </w:tc>
      </w:tr>
      <w:tr w14:paraId="5859BC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61" w:hRule="atLeast"/>
          <w:jc w:val="center"/>
        </w:trPr>
        <w:tc>
          <w:tcPr>
            <w:tcW w:w="611" w:type="pct"/>
            <w:noWrap w:val="0"/>
            <w:tcMar>
              <w:top w:w="16" w:type="dxa"/>
              <w:left w:w="16" w:type="dxa"/>
              <w:right w:w="16" w:type="dxa"/>
            </w:tcMar>
            <w:vAlign w:val="center"/>
          </w:tcPr>
          <w:p w14:paraId="17C86296">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国民经济</w:t>
            </w:r>
          </w:p>
          <w:p w14:paraId="007FB4CD">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行业类别</w:t>
            </w:r>
          </w:p>
        </w:tc>
        <w:tc>
          <w:tcPr>
            <w:tcW w:w="1637" w:type="pct"/>
            <w:noWrap w:val="0"/>
            <w:vAlign w:val="center"/>
          </w:tcPr>
          <w:p w14:paraId="5D6FBD62">
            <w:pPr>
              <w:adjustRightInd w:val="0"/>
              <w:snapToGrid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C3021水泥制品制造</w:t>
            </w:r>
          </w:p>
        </w:tc>
        <w:tc>
          <w:tcPr>
            <w:tcW w:w="782" w:type="pct"/>
            <w:noWrap w:val="0"/>
            <w:vAlign w:val="center"/>
          </w:tcPr>
          <w:p w14:paraId="54EA8376">
            <w:pPr>
              <w:adjustRightInd w:val="0"/>
              <w:snapToGrid w:val="0"/>
              <w:spacing w:line="240" w:lineRule="auto"/>
              <w:jc w:val="center"/>
              <w:rPr>
                <w:rFonts w:hint="default" w:ascii="Times New Roman" w:hAnsi="Times New Roman" w:eastAsia="宋体" w:cs="Times New Roman"/>
                <w:color w:val="auto"/>
                <w:szCs w:val="21"/>
                <w:highlight w:val="none"/>
              </w:rPr>
            </w:pPr>
            <w:bookmarkStart w:id="4" w:name="_Hlk49843745"/>
            <w:r>
              <w:rPr>
                <w:rFonts w:hint="default" w:ascii="Times New Roman" w:hAnsi="Times New Roman" w:eastAsia="宋体" w:cs="Times New Roman"/>
                <w:color w:val="auto"/>
                <w:szCs w:val="21"/>
                <w:highlight w:val="none"/>
              </w:rPr>
              <w:t>建设项目</w:t>
            </w:r>
          </w:p>
          <w:p w14:paraId="0667A618">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行业类别</w:t>
            </w:r>
            <w:bookmarkEnd w:id="4"/>
          </w:p>
        </w:tc>
        <w:tc>
          <w:tcPr>
            <w:tcW w:w="1968" w:type="pct"/>
            <w:noWrap w:val="0"/>
            <w:vAlign w:val="center"/>
          </w:tcPr>
          <w:p w14:paraId="3DFB1271">
            <w:pPr>
              <w:adjustRightInd w:val="0"/>
              <w:snapToGrid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二十七、非金属矿物制品业30</w:t>
            </w:r>
          </w:p>
          <w:p w14:paraId="435388B3">
            <w:pPr>
              <w:adjustRightInd w:val="0"/>
              <w:snapToGrid w:val="0"/>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55石膏、水泥制品及类似制品制造30</w:t>
            </w:r>
            <w:r>
              <w:rPr>
                <w:rFonts w:hint="default" w:ascii="Times New Roman" w:hAnsi="Times New Roman" w:cs="Times New Roman"/>
                <w:color w:val="auto"/>
                <w:highlight w:val="none"/>
                <w:lang w:val="en-US" w:eastAsia="zh-CN"/>
              </w:rPr>
              <w:t>2 商品混凝土；水泥制品制造</w:t>
            </w:r>
          </w:p>
        </w:tc>
      </w:tr>
      <w:tr w14:paraId="7C8F96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61" w:hRule="atLeast"/>
          <w:jc w:val="center"/>
        </w:trPr>
        <w:tc>
          <w:tcPr>
            <w:tcW w:w="611" w:type="pct"/>
            <w:noWrap w:val="0"/>
            <w:tcMar>
              <w:top w:w="16" w:type="dxa"/>
              <w:left w:w="16" w:type="dxa"/>
              <w:right w:w="16" w:type="dxa"/>
            </w:tcMar>
            <w:vAlign w:val="center"/>
          </w:tcPr>
          <w:p w14:paraId="379D7249">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建设性质</w:t>
            </w:r>
          </w:p>
        </w:tc>
        <w:tc>
          <w:tcPr>
            <w:tcW w:w="1637" w:type="pct"/>
            <w:noWrap w:val="0"/>
            <w:vAlign w:val="center"/>
          </w:tcPr>
          <w:p w14:paraId="2160CCE6">
            <w:pPr>
              <w:keepNext w:val="0"/>
              <w:keepLines w:val="0"/>
              <w:pageBreakBefore w:val="0"/>
              <w:widowControl w:val="0"/>
              <w:kinsoku/>
              <w:wordWrap/>
              <w:overflowPunct/>
              <w:topLinePunct w:val="0"/>
              <w:autoSpaceDE/>
              <w:autoSpaceDN/>
              <w:bidi w:val="0"/>
              <w:adjustRightInd/>
              <w:snapToGrid/>
              <w:spacing w:line="240" w:lineRule="auto"/>
              <w:ind w:left="240" w:leftChars="1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sym w:font="Wingdings" w:char="00FE"/>
            </w:r>
            <w:r>
              <w:rPr>
                <w:rFonts w:hint="default" w:ascii="Times New Roman" w:hAnsi="Times New Roman" w:eastAsia="宋体" w:cs="Times New Roman"/>
                <w:color w:val="auto"/>
                <w:szCs w:val="21"/>
                <w:highlight w:val="none"/>
              </w:rPr>
              <w:t>新建（迁建）</w:t>
            </w:r>
          </w:p>
          <w:p w14:paraId="617B24C1">
            <w:pPr>
              <w:keepNext w:val="0"/>
              <w:keepLines w:val="0"/>
              <w:pageBreakBefore w:val="0"/>
              <w:widowControl w:val="0"/>
              <w:kinsoku/>
              <w:wordWrap/>
              <w:overflowPunct/>
              <w:topLinePunct w:val="0"/>
              <w:autoSpaceDE/>
              <w:autoSpaceDN/>
              <w:bidi w:val="0"/>
              <w:adjustRightInd/>
              <w:snapToGrid/>
              <w:spacing w:line="240" w:lineRule="auto"/>
              <w:ind w:left="240" w:leftChars="1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sym w:font="Wingdings" w:char="00A8"/>
            </w:r>
            <w:r>
              <w:rPr>
                <w:rFonts w:hint="default" w:ascii="Times New Roman" w:hAnsi="Times New Roman" w:eastAsia="宋体" w:cs="Times New Roman"/>
                <w:color w:val="auto"/>
                <w:szCs w:val="21"/>
                <w:highlight w:val="none"/>
              </w:rPr>
              <w:t>改建</w:t>
            </w:r>
          </w:p>
          <w:p w14:paraId="6224A1F7">
            <w:pPr>
              <w:keepNext w:val="0"/>
              <w:keepLines w:val="0"/>
              <w:pageBreakBefore w:val="0"/>
              <w:widowControl w:val="0"/>
              <w:kinsoku/>
              <w:wordWrap/>
              <w:overflowPunct/>
              <w:topLinePunct w:val="0"/>
              <w:autoSpaceDE/>
              <w:autoSpaceDN/>
              <w:bidi w:val="0"/>
              <w:adjustRightInd/>
              <w:snapToGrid/>
              <w:spacing w:line="240" w:lineRule="auto"/>
              <w:ind w:left="240" w:leftChars="1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sym w:font="Wingdings" w:char="00A8"/>
            </w:r>
            <w:r>
              <w:rPr>
                <w:rFonts w:hint="default" w:ascii="Times New Roman" w:hAnsi="Times New Roman" w:eastAsia="宋体" w:cs="Times New Roman"/>
                <w:color w:val="auto"/>
                <w:szCs w:val="21"/>
                <w:highlight w:val="none"/>
              </w:rPr>
              <w:t>扩建</w:t>
            </w:r>
          </w:p>
          <w:p w14:paraId="7F9FEC12">
            <w:pPr>
              <w:keepNext w:val="0"/>
              <w:keepLines w:val="0"/>
              <w:pageBreakBefore w:val="0"/>
              <w:widowControl w:val="0"/>
              <w:kinsoku/>
              <w:wordWrap/>
              <w:overflowPunct/>
              <w:topLinePunct w:val="0"/>
              <w:autoSpaceDE/>
              <w:autoSpaceDN/>
              <w:bidi w:val="0"/>
              <w:adjustRightInd/>
              <w:snapToGrid/>
              <w:spacing w:line="240" w:lineRule="auto"/>
              <w:ind w:left="240" w:leftChars="1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sym w:font="Wingdings" w:char="00A8"/>
            </w:r>
            <w:r>
              <w:rPr>
                <w:rFonts w:hint="default" w:ascii="Times New Roman" w:hAnsi="Times New Roman" w:eastAsia="宋体" w:cs="Times New Roman"/>
                <w:color w:val="auto"/>
                <w:szCs w:val="21"/>
                <w:highlight w:val="none"/>
              </w:rPr>
              <w:t>技术改造</w:t>
            </w:r>
          </w:p>
        </w:tc>
        <w:tc>
          <w:tcPr>
            <w:tcW w:w="782" w:type="pct"/>
            <w:noWrap w:val="0"/>
            <w:vAlign w:val="center"/>
          </w:tcPr>
          <w:p w14:paraId="733CBCB2">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建设项目</w:t>
            </w:r>
          </w:p>
          <w:p w14:paraId="7CFB0C28">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申报情形</w:t>
            </w:r>
          </w:p>
        </w:tc>
        <w:tc>
          <w:tcPr>
            <w:tcW w:w="1968" w:type="pct"/>
            <w:noWrap w:val="0"/>
            <w:vAlign w:val="center"/>
          </w:tcPr>
          <w:p w14:paraId="53AD62EC">
            <w:pPr>
              <w:keepNext w:val="0"/>
              <w:keepLines w:val="0"/>
              <w:pageBreakBefore w:val="0"/>
              <w:widowControl w:val="0"/>
              <w:kinsoku/>
              <w:wordWrap/>
              <w:overflowPunct/>
              <w:topLinePunct w:val="0"/>
              <w:autoSpaceDE/>
              <w:autoSpaceDN/>
              <w:bidi w:val="0"/>
              <w:adjustRightInd/>
              <w:snapToGrid/>
              <w:spacing w:line="240" w:lineRule="auto"/>
              <w:ind w:left="240" w:leftChars="1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sym w:font="Wingdings" w:char="00FE"/>
            </w:r>
            <w:r>
              <w:rPr>
                <w:rFonts w:hint="default" w:ascii="Times New Roman" w:hAnsi="Times New Roman" w:eastAsia="宋体" w:cs="Times New Roman"/>
                <w:color w:val="auto"/>
                <w:szCs w:val="21"/>
                <w:highlight w:val="none"/>
              </w:rPr>
              <w:t>首次申报项目</w:t>
            </w:r>
          </w:p>
          <w:p w14:paraId="34EC95EA">
            <w:pPr>
              <w:keepNext w:val="0"/>
              <w:keepLines w:val="0"/>
              <w:pageBreakBefore w:val="0"/>
              <w:widowControl w:val="0"/>
              <w:kinsoku/>
              <w:wordWrap/>
              <w:overflowPunct/>
              <w:topLinePunct w:val="0"/>
              <w:autoSpaceDE/>
              <w:autoSpaceDN/>
              <w:bidi w:val="0"/>
              <w:adjustRightInd/>
              <w:snapToGrid/>
              <w:spacing w:line="240" w:lineRule="auto"/>
              <w:ind w:left="240" w:leftChars="1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sym w:font="Wingdings" w:char="00A8"/>
            </w:r>
            <w:r>
              <w:rPr>
                <w:rFonts w:hint="default" w:ascii="Times New Roman" w:hAnsi="Times New Roman" w:eastAsia="宋体" w:cs="Times New Roman"/>
                <w:color w:val="auto"/>
                <w:szCs w:val="21"/>
                <w:highlight w:val="none"/>
              </w:rPr>
              <w:t>不予批准后再次申报项目</w:t>
            </w:r>
          </w:p>
          <w:p w14:paraId="04115A31">
            <w:pPr>
              <w:keepNext w:val="0"/>
              <w:keepLines w:val="0"/>
              <w:pageBreakBefore w:val="0"/>
              <w:widowControl w:val="0"/>
              <w:kinsoku/>
              <w:wordWrap/>
              <w:overflowPunct/>
              <w:topLinePunct w:val="0"/>
              <w:autoSpaceDE/>
              <w:autoSpaceDN/>
              <w:bidi w:val="0"/>
              <w:adjustRightInd/>
              <w:snapToGrid/>
              <w:spacing w:line="240" w:lineRule="auto"/>
              <w:ind w:left="240" w:leftChars="1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sym w:font="Wingdings" w:char="00A8"/>
            </w:r>
            <w:r>
              <w:rPr>
                <w:rFonts w:hint="default" w:ascii="Times New Roman" w:hAnsi="Times New Roman" w:eastAsia="宋体" w:cs="Times New Roman"/>
                <w:color w:val="auto"/>
                <w:szCs w:val="21"/>
                <w:highlight w:val="none"/>
              </w:rPr>
              <w:t>超五年重新审核项目</w:t>
            </w:r>
          </w:p>
          <w:p w14:paraId="7FBACE5F">
            <w:pPr>
              <w:keepNext w:val="0"/>
              <w:keepLines w:val="0"/>
              <w:pageBreakBefore w:val="0"/>
              <w:widowControl w:val="0"/>
              <w:kinsoku/>
              <w:wordWrap/>
              <w:overflowPunct/>
              <w:topLinePunct w:val="0"/>
              <w:autoSpaceDE/>
              <w:autoSpaceDN/>
              <w:bidi w:val="0"/>
              <w:adjustRightInd/>
              <w:snapToGrid/>
              <w:spacing w:line="240" w:lineRule="auto"/>
              <w:ind w:left="240" w:leftChars="1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sym w:font="Wingdings" w:char="00A8"/>
            </w:r>
            <w:r>
              <w:rPr>
                <w:rFonts w:hint="default" w:ascii="Times New Roman" w:hAnsi="Times New Roman" w:eastAsia="宋体" w:cs="Times New Roman"/>
                <w:color w:val="auto"/>
                <w:szCs w:val="21"/>
                <w:highlight w:val="none"/>
              </w:rPr>
              <w:t>重大变动重新报批项目</w:t>
            </w:r>
          </w:p>
        </w:tc>
      </w:tr>
      <w:tr w14:paraId="1A0750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1" w:type="pct"/>
            <w:noWrap w:val="0"/>
            <w:tcMar>
              <w:top w:w="16" w:type="dxa"/>
              <w:left w:w="16" w:type="dxa"/>
              <w:right w:w="16" w:type="dxa"/>
            </w:tcMar>
            <w:vAlign w:val="center"/>
          </w:tcPr>
          <w:p w14:paraId="19CC5065">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项目审批（核准/备案）部门（选填）</w:t>
            </w:r>
          </w:p>
        </w:tc>
        <w:tc>
          <w:tcPr>
            <w:tcW w:w="1637" w:type="pct"/>
            <w:noWrap w:val="0"/>
            <w:vAlign w:val="center"/>
          </w:tcPr>
          <w:p w14:paraId="159FAD61">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w:t>
            </w:r>
          </w:p>
        </w:tc>
        <w:tc>
          <w:tcPr>
            <w:tcW w:w="782" w:type="pct"/>
            <w:noWrap w:val="0"/>
            <w:vAlign w:val="center"/>
          </w:tcPr>
          <w:p w14:paraId="67349AF0">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项目审批（核准/</w:t>
            </w:r>
          </w:p>
          <w:p w14:paraId="41DD478A">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备案）文号（选填）</w:t>
            </w:r>
          </w:p>
        </w:tc>
        <w:tc>
          <w:tcPr>
            <w:tcW w:w="1968" w:type="pct"/>
            <w:noWrap w:val="0"/>
            <w:vAlign w:val="center"/>
          </w:tcPr>
          <w:p w14:paraId="73B544B3">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w:t>
            </w:r>
          </w:p>
        </w:tc>
      </w:tr>
      <w:tr w14:paraId="4A6E09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7" w:hRule="atLeast"/>
          <w:jc w:val="center"/>
        </w:trPr>
        <w:tc>
          <w:tcPr>
            <w:tcW w:w="611" w:type="pct"/>
            <w:noWrap w:val="0"/>
            <w:tcMar>
              <w:top w:w="16" w:type="dxa"/>
              <w:left w:w="16" w:type="dxa"/>
              <w:right w:w="16" w:type="dxa"/>
            </w:tcMar>
            <w:vAlign w:val="center"/>
          </w:tcPr>
          <w:p w14:paraId="70211F40">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总投资（万元）</w:t>
            </w:r>
          </w:p>
        </w:tc>
        <w:tc>
          <w:tcPr>
            <w:tcW w:w="1637" w:type="pct"/>
            <w:noWrap w:val="0"/>
            <w:vAlign w:val="center"/>
          </w:tcPr>
          <w:p w14:paraId="347877BA">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200</w:t>
            </w:r>
          </w:p>
        </w:tc>
        <w:tc>
          <w:tcPr>
            <w:tcW w:w="782" w:type="pct"/>
            <w:noWrap w:val="0"/>
            <w:tcMar>
              <w:top w:w="16" w:type="dxa"/>
              <w:left w:w="16" w:type="dxa"/>
              <w:right w:w="16" w:type="dxa"/>
            </w:tcMar>
            <w:vAlign w:val="center"/>
          </w:tcPr>
          <w:p w14:paraId="2D4598DF">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环保投资（万元）</w:t>
            </w:r>
          </w:p>
        </w:tc>
        <w:tc>
          <w:tcPr>
            <w:tcW w:w="1968" w:type="pct"/>
            <w:noWrap w:val="0"/>
            <w:vAlign w:val="center"/>
          </w:tcPr>
          <w:p w14:paraId="6F56CC11">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29</w:t>
            </w:r>
          </w:p>
        </w:tc>
      </w:tr>
      <w:tr w14:paraId="51FD31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7" w:hRule="atLeast"/>
          <w:jc w:val="center"/>
        </w:trPr>
        <w:tc>
          <w:tcPr>
            <w:tcW w:w="611" w:type="pct"/>
            <w:noWrap w:val="0"/>
            <w:tcMar>
              <w:top w:w="16" w:type="dxa"/>
              <w:left w:w="16" w:type="dxa"/>
              <w:right w:w="16" w:type="dxa"/>
            </w:tcMar>
            <w:vAlign w:val="center"/>
          </w:tcPr>
          <w:p w14:paraId="3AE0B0AB">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环保投资占比（%）</w:t>
            </w:r>
          </w:p>
        </w:tc>
        <w:tc>
          <w:tcPr>
            <w:tcW w:w="1637" w:type="pct"/>
            <w:noWrap w:val="0"/>
            <w:vAlign w:val="center"/>
          </w:tcPr>
          <w:p w14:paraId="448134FA">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14.5</w:t>
            </w:r>
          </w:p>
        </w:tc>
        <w:tc>
          <w:tcPr>
            <w:tcW w:w="782" w:type="pct"/>
            <w:noWrap w:val="0"/>
            <w:tcMar>
              <w:top w:w="16" w:type="dxa"/>
              <w:left w:w="16" w:type="dxa"/>
              <w:right w:w="16" w:type="dxa"/>
            </w:tcMar>
            <w:vAlign w:val="center"/>
          </w:tcPr>
          <w:p w14:paraId="763546C5">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施工工期</w:t>
            </w:r>
          </w:p>
        </w:tc>
        <w:tc>
          <w:tcPr>
            <w:tcW w:w="1968" w:type="pct"/>
            <w:noWrap w:val="0"/>
            <w:vAlign w:val="center"/>
          </w:tcPr>
          <w:p w14:paraId="3AF530C1">
            <w:pPr>
              <w:adjustRightInd w:val="0"/>
              <w:snapToGrid w:val="0"/>
              <w:spacing w:line="240" w:lineRule="auto"/>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w:t>
            </w:r>
          </w:p>
        </w:tc>
      </w:tr>
      <w:tr w14:paraId="51B820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89" w:hRule="atLeast"/>
          <w:jc w:val="center"/>
        </w:trPr>
        <w:tc>
          <w:tcPr>
            <w:tcW w:w="611" w:type="pct"/>
            <w:noWrap w:val="0"/>
            <w:tcMar>
              <w:top w:w="16" w:type="dxa"/>
              <w:left w:w="16" w:type="dxa"/>
              <w:right w:w="16" w:type="dxa"/>
            </w:tcMar>
            <w:vAlign w:val="center"/>
          </w:tcPr>
          <w:p w14:paraId="43259ED0">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是否开工建设</w:t>
            </w:r>
          </w:p>
        </w:tc>
        <w:tc>
          <w:tcPr>
            <w:tcW w:w="1637" w:type="pct"/>
            <w:noWrap w:val="0"/>
            <w:vAlign w:val="center"/>
          </w:tcPr>
          <w:p w14:paraId="23877BD0">
            <w:pPr>
              <w:adjustRightInd w:val="0"/>
              <w:snapToGrid w:val="0"/>
              <w:spacing w:line="240" w:lineRule="auto"/>
              <w:ind w:firstLine="240" w:firstLineChars="1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sym w:font="Wingdings" w:char="00A8"/>
            </w:r>
            <w:r>
              <w:rPr>
                <w:rFonts w:hint="default" w:ascii="Times New Roman" w:hAnsi="Times New Roman" w:eastAsia="宋体" w:cs="Times New Roman"/>
                <w:color w:val="auto"/>
                <w:szCs w:val="21"/>
                <w:highlight w:val="none"/>
              </w:rPr>
              <w:t>否</w:t>
            </w:r>
          </w:p>
          <w:p w14:paraId="20D1F864">
            <w:pPr>
              <w:adjustRightInd w:val="0"/>
              <w:snapToGrid w:val="0"/>
              <w:spacing w:line="240" w:lineRule="auto"/>
              <w:ind w:firstLine="240" w:firstLineChars="100"/>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szCs w:val="21"/>
                <w:highlight w:val="none"/>
                <w:lang w:val="en-US" w:eastAsia="zh-CN"/>
              </w:rPr>
              <w:sym w:font="Wingdings" w:char="00FE"/>
            </w:r>
            <w:r>
              <w:rPr>
                <w:rFonts w:hint="default" w:ascii="Times New Roman" w:hAnsi="Times New Roman" w:eastAsia="宋体" w:cs="Times New Roman"/>
                <w:color w:val="auto"/>
                <w:szCs w:val="21"/>
                <w:highlight w:val="none"/>
              </w:rPr>
              <w:t>是：</w:t>
            </w:r>
            <w:r>
              <w:rPr>
                <w:rFonts w:hint="default" w:ascii="Times New Roman" w:hAnsi="Times New Roman" w:eastAsia="宋体" w:cs="Times New Roman"/>
                <w:color w:val="auto"/>
                <w:szCs w:val="21"/>
                <w:highlight w:val="none"/>
                <w:u w:val="single"/>
                <w:lang w:val="en-US" w:eastAsia="zh-CN"/>
              </w:rPr>
              <w:t>20</w:t>
            </w:r>
            <w:r>
              <w:rPr>
                <w:rFonts w:hint="eastAsia" w:cs="Times New Roman"/>
                <w:color w:val="auto"/>
                <w:szCs w:val="21"/>
                <w:highlight w:val="none"/>
                <w:u w:val="single"/>
                <w:lang w:val="en-US" w:eastAsia="zh-CN"/>
              </w:rPr>
              <w:t>24</w:t>
            </w:r>
            <w:r>
              <w:rPr>
                <w:rFonts w:hint="default" w:ascii="Times New Roman" w:hAnsi="Times New Roman" w:eastAsia="宋体" w:cs="Times New Roman"/>
                <w:color w:val="auto"/>
                <w:szCs w:val="21"/>
                <w:highlight w:val="none"/>
                <w:u w:val="single"/>
                <w:lang w:val="en-US" w:eastAsia="zh-CN"/>
              </w:rPr>
              <w:t>年</w:t>
            </w:r>
            <w:r>
              <w:rPr>
                <w:rFonts w:hint="eastAsia" w:cs="Times New Roman"/>
                <w:color w:val="auto"/>
                <w:szCs w:val="21"/>
                <w:highlight w:val="none"/>
                <w:u w:val="single"/>
                <w:lang w:val="en-US" w:eastAsia="zh-CN"/>
              </w:rPr>
              <w:t>8月</w:t>
            </w:r>
            <w:r>
              <w:rPr>
                <w:rFonts w:hint="default" w:ascii="Times New Roman" w:hAnsi="Times New Roman" w:eastAsia="宋体" w:cs="Times New Roman"/>
                <w:color w:val="auto"/>
                <w:szCs w:val="21"/>
                <w:highlight w:val="none"/>
                <w:u w:val="single"/>
                <w:lang w:val="en-US" w:eastAsia="zh-CN"/>
              </w:rPr>
              <w:t>建成，尚未投入使用，属于未批先建，</w:t>
            </w:r>
            <w:r>
              <w:rPr>
                <w:rFonts w:hint="eastAsia" w:cs="Times New Roman"/>
                <w:color w:val="auto"/>
                <w:szCs w:val="21"/>
                <w:highlight w:val="none"/>
                <w:u w:val="single"/>
                <w:lang w:val="en-US" w:eastAsia="zh-CN"/>
              </w:rPr>
              <w:t>已</w:t>
            </w:r>
            <w:r>
              <w:rPr>
                <w:rFonts w:hint="default" w:ascii="Times New Roman" w:hAnsi="Times New Roman" w:eastAsia="宋体" w:cs="Times New Roman"/>
                <w:color w:val="auto"/>
                <w:szCs w:val="21"/>
                <w:highlight w:val="none"/>
                <w:u w:val="single"/>
                <w:lang w:val="en-US" w:eastAsia="zh-CN"/>
              </w:rPr>
              <w:t>处罚</w:t>
            </w:r>
            <w:r>
              <w:rPr>
                <w:rFonts w:hint="eastAsia" w:cs="Times New Roman"/>
                <w:color w:val="auto"/>
                <w:szCs w:val="21"/>
                <w:highlight w:val="none"/>
                <w:u w:val="single"/>
                <w:lang w:val="en-US" w:eastAsia="zh-CN"/>
              </w:rPr>
              <w:t>，处罚文件及罚款缴纳材料见附件7、附件8</w:t>
            </w:r>
          </w:p>
        </w:tc>
        <w:tc>
          <w:tcPr>
            <w:tcW w:w="782" w:type="pct"/>
            <w:noWrap w:val="0"/>
            <w:tcMar>
              <w:top w:w="16" w:type="dxa"/>
              <w:left w:w="16" w:type="dxa"/>
              <w:right w:w="16" w:type="dxa"/>
            </w:tcMar>
            <w:vAlign w:val="center"/>
          </w:tcPr>
          <w:p w14:paraId="2F4C5515">
            <w:pPr>
              <w:adjustRightInd w:val="0"/>
              <w:snapToGrid w:val="0"/>
              <w:spacing w:line="240" w:lineRule="auto"/>
              <w:jc w:val="center"/>
              <w:rPr>
                <w:rFonts w:hint="default" w:ascii="Times New Roman" w:hAnsi="Times New Roman" w:eastAsia="宋体" w:cs="Times New Roman"/>
                <w:color w:val="auto"/>
                <w:spacing w:val="-6"/>
                <w:szCs w:val="21"/>
                <w:highlight w:val="none"/>
              </w:rPr>
            </w:pPr>
            <w:r>
              <w:rPr>
                <w:rFonts w:hint="default" w:ascii="Times New Roman" w:hAnsi="Times New Roman" w:eastAsia="宋体" w:cs="Times New Roman"/>
                <w:color w:val="auto"/>
                <w:spacing w:val="-6"/>
                <w:szCs w:val="21"/>
                <w:highlight w:val="none"/>
              </w:rPr>
              <w:t>用地（用海）</w:t>
            </w:r>
          </w:p>
          <w:p w14:paraId="614D31EF">
            <w:pPr>
              <w:adjustRightInd w:val="0"/>
              <w:snapToGrid w:val="0"/>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pacing w:val="-6"/>
                <w:szCs w:val="21"/>
                <w:highlight w:val="none"/>
              </w:rPr>
              <w:t>面积（</w:t>
            </w:r>
            <w:r>
              <w:rPr>
                <w:rFonts w:hint="default" w:ascii="Times New Roman" w:hAnsi="Times New Roman" w:cs="Times New Roman"/>
                <w:color w:val="auto"/>
                <w:spacing w:val="-6"/>
                <w:szCs w:val="21"/>
                <w:highlight w:val="none"/>
                <w:lang w:eastAsia="zh-CN"/>
              </w:rPr>
              <w:t>m</w:t>
            </w:r>
            <w:r>
              <w:rPr>
                <w:rFonts w:hint="default" w:ascii="Times New Roman" w:hAnsi="Times New Roman" w:cs="Times New Roman"/>
                <w:color w:val="auto"/>
                <w:spacing w:val="-6"/>
                <w:szCs w:val="21"/>
                <w:highlight w:val="none"/>
                <w:vertAlign w:val="superscript"/>
                <w:lang w:eastAsia="zh-CN"/>
              </w:rPr>
              <w:t>2</w:t>
            </w:r>
            <w:r>
              <w:rPr>
                <w:rFonts w:hint="default" w:ascii="Times New Roman" w:hAnsi="Times New Roman" w:eastAsia="宋体" w:cs="Times New Roman"/>
                <w:color w:val="auto"/>
                <w:spacing w:val="-6"/>
                <w:szCs w:val="21"/>
                <w:highlight w:val="none"/>
              </w:rPr>
              <w:t>）</w:t>
            </w:r>
          </w:p>
        </w:tc>
        <w:tc>
          <w:tcPr>
            <w:tcW w:w="1968" w:type="pct"/>
            <w:noWrap w:val="0"/>
            <w:vAlign w:val="center"/>
          </w:tcPr>
          <w:p w14:paraId="0450B794">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17500</w:t>
            </w:r>
          </w:p>
        </w:tc>
      </w:tr>
    </w:tbl>
    <w:p w14:paraId="354451E5">
      <w:pPr>
        <w:autoSpaceDE w:val="0"/>
        <w:autoSpaceDN w:val="0"/>
        <w:adjustRightInd w:val="0"/>
        <w:snapToGrid w:val="0"/>
        <w:spacing w:line="240" w:lineRule="auto"/>
        <w:jc w:val="center"/>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br w:type="page"/>
      </w:r>
    </w:p>
    <w:tbl>
      <w:tblPr>
        <w:tblStyle w:val="23"/>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22"/>
        <w:gridCol w:w="7298"/>
      </w:tblGrid>
      <w:tr w14:paraId="103BEB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noWrap w:val="0"/>
            <w:vAlign w:val="center"/>
          </w:tcPr>
          <w:p w14:paraId="61F02BB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专项评价设置情况</w:t>
            </w:r>
          </w:p>
        </w:tc>
        <w:tc>
          <w:tcPr>
            <w:tcW w:w="4282" w:type="pct"/>
            <w:noWrap w:val="0"/>
            <w:vAlign w:val="center"/>
          </w:tcPr>
          <w:p w14:paraId="76AB88EE">
            <w:pPr>
              <w:pStyle w:val="31"/>
              <w:keepNext w:val="0"/>
              <w:keepLines w:val="0"/>
              <w:pageBreakBefore w:val="0"/>
              <w:widowControl w:val="0"/>
              <w:kinsoku/>
              <w:wordWrap w:val="0"/>
              <w:overflowPunct/>
              <w:topLinePunct/>
              <w:autoSpaceDE/>
              <w:autoSpaceDN/>
              <w:bidi w:val="0"/>
              <w:adjustRightInd/>
              <w:snapToGrid/>
              <w:spacing w:before="157" w:beforeLines="50"/>
              <w:textAlignment w:val="auto"/>
              <w:rPr>
                <w:color w:val="auto"/>
                <w:highlight w:val="none"/>
              </w:rPr>
            </w:pPr>
            <w:r>
              <w:rPr>
                <w:color w:val="auto"/>
                <w:highlight w:val="none"/>
              </w:rPr>
              <w:t>根据《建设项目环境影响报告表</w:t>
            </w:r>
            <w:r>
              <w:rPr>
                <w:rFonts w:hint="eastAsia"/>
                <w:color w:val="auto"/>
                <w:highlight w:val="none"/>
              </w:rPr>
              <w:t>编制</w:t>
            </w:r>
            <w:r>
              <w:rPr>
                <w:color w:val="auto"/>
                <w:highlight w:val="none"/>
              </w:rPr>
              <w:t>技术指南（污染影响类）》（试行）可知，土壤、声环境不开展专项评价，地下水原则上不开展专项评价，本项目大气、地表水、环境风险、生态和海洋专项评价设置情况详见</w:t>
            </w:r>
            <w:r>
              <w:rPr>
                <w:rFonts w:hint="eastAsia"/>
                <w:color w:val="auto"/>
                <w:highlight w:val="none"/>
              </w:rPr>
              <w:t>下</w:t>
            </w:r>
            <w:r>
              <w:rPr>
                <w:color w:val="auto"/>
                <w:highlight w:val="none"/>
              </w:rPr>
              <w:t>表1-1。</w:t>
            </w:r>
          </w:p>
          <w:p w14:paraId="54CDD938">
            <w:pPr>
              <w:snapToGrid w:val="0"/>
              <w:spacing w:line="240" w:lineRule="auto"/>
              <w:jc w:val="center"/>
              <w:rPr>
                <w:rFonts w:ascii="Times New Roman" w:hAnsi="Times New Roman" w:eastAsia="宋体" w:cs="宋体"/>
                <w:b/>
                <w:color w:val="auto"/>
                <w:kern w:val="0"/>
                <w:highlight w:val="none"/>
              </w:rPr>
            </w:pPr>
            <w:r>
              <w:rPr>
                <w:rFonts w:hint="eastAsia" w:ascii="Times New Roman" w:hAnsi="Times New Roman" w:eastAsia="宋体" w:cs="宋体"/>
                <w:b/>
                <w:color w:val="auto"/>
                <w:kern w:val="0"/>
                <w:highlight w:val="none"/>
              </w:rPr>
              <w:t>表1-1本项目专项评价设置情况</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3079"/>
              <w:gridCol w:w="1915"/>
              <w:gridCol w:w="1026"/>
            </w:tblGrid>
            <w:tr w14:paraId="60FCF9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noWrap w:val="0"/>
                  <w:vAlign w:val="center"/>
                </w:tcPr>
                <w:p w14:paraId="046CA48F">
                  <w:pPr>
                    <w:wordWrap w:val="0"/>
                    <w:topLinePunct/>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专项评价的类别</w:t>
                  </w:r>
                </w:p>
              </w:tc>
              <w:tc>
                <w:tcPr>
                  <w:tcW w:w="2174" w:type="pct"/>
                  <w:noWrap w:val="0"/>
                  <w:vAlign w:val="center"/>
                </w:tcPr>
                <w:p w14:paraId="3E6D12DB">
                  <w:pPr>
                    <w:wordWrap w:val="0"/>
                    <w:topLinePunct/>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设置原则</w:t>
                  </w:r>
                </w:p>
              </w:tc>
              <w:tc>
                <w:tcPr>
                  <w:tcW w:w="1352" w:type="pct"/>
                  <w:noWrap w:val="0"/>
                  <w:vAlign w:val="center"/>
                </w:tcPr>
                <w:p w14:paraId="4D43C020">
                  <w:pPr>
                    <w:wordWrap w:val="0"/>
                    <w:topLinePunct/>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本项目设置情况</w:t>
                  </w:r>
                </w:p>
              </w:tc>
              <w:tc>
                <w:tcPr>
                  <w:tcW w:w="722" w:type="pct"/>
                  <w:noWrap w:val="0"/>
                  <w:vAlign w:val="center"/>
                </w:tcPr>
                <w:p w14:paraId="79B2A01F">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是否设置专项</w:t>
                  </w:r>
                </w:p>
              </w:tc>
            </w:tr>
            <w:tr w14:paraId="5CF703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noWrap w:val="0"/>
                  <w:vAlign w:val="center"/>
                </w:tcPr>
                <w:p w14:paraId="1B8E664D">
                  <w:pPr>
                    <w:wordWrap w:val="0"/>
                    <w:topLinePunct/>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w:t>
                  </w:r>
                </w:p>
              </w:tc>
              <w:tc>
                <w:tcPr>
                  <w:tcW w:w="2174" w:type="pct"/>
                  <w:noWrap w:val="0"/>
                  <w:vAlign w:val="center"/>
                </w:tcPr>
                <w:p w14:paraId="40B63F26">
                  <w:pPr>
                    <w:wordWrap w:val="0"/>
                    <w:topLinePunct/>
                    <w:spacing w:line="24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排放废气含有毒有害污染物、二噁英、苯并</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a</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芘、氰化物、氯气且厂界外500米范围内有环境空气保护目标的建设项目</w:t>
                  </w:r>
                </w:p>
              </w:tc>
              <w:tc>
                <w:tcPr>
                  <w:tcW w:w="1352" w:type="pct"/>
                  <w:noWrap w:val="0"/>
                  <w:vAlign w:val="center"/>
                </w:tcPr>
                <w:p w14:paraId="4CE073E0">
                  <w:pPr>
                    <w:pStyle w:val="3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本项目不涉及大气专项设置原则中提及的有毒有害物质。</w:t>
                  </w:r>
                </w:p>
              </w:tc>
              <w:tc>
                <w:tcPr>
                  <w:tcW w:w="722" w:type="pct"/>
                  <w:noWrap w:val="0"/>
                  <w:vAlign w:val="center"/>
                </w:tcPr>
                <w:p w14:paraId="239D4A65">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否</w:t>
                  </w:r>
                </w:p>
              </w:tc>
            </w:tr>
            <w:tr w14:paraId="076C5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noWrap w:val="0"/>
                  <w:vAlign w:val="center"/>
                </w:tcPr>
                <w:p w14:paraId="26DD8CF0">
                  <w:pPr>
                    <w:wordWrap w:val="0"/>
                    <w:topLinePunct/>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w:t>
                  </w:r>
                </w:p>
              </w:tc>
              <w:tc>
                <w:tcPr>
                  <w:tcW w:w="2174" w:type="pct"/>
                  <w:noWrap w:val="0"/>
                  <w:vAlign w:val="center"/>
                </w:tcPr>
                <w:p w14:paraId="7DC96A96">
                  <w:pPr>
                    <w:wordWrap w:val="0"/>
                    <w:topLinePunct/>
                    <w:spacing w:line="24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新增工业废水直排建设项目（槽罐车外送污水处理厂的除外）；新增废水直排的污水集中处理厂</w:t>
                  </w:r>
                </w:p>
              </w:tc>
              <w:tc>
                <w:tcPr>
                  <w:tcW w:w="1352" w:type="pct"/>
                  <w:noWrap w:val="0"/>
                  <w:vAlign w:val="center"/>
                </w:tcPr>
                <w:p w14:paraId="0AC02508">
                  <w:pPr>
                    <w:pStyle w:val="3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本项目不属于工业废水直排建设项目以及废水直排的污水集中处理厂。</w:t>
                  </w:r>
                </w:p>
              </w:tc>
              <w:tc>
                <w:tcPr>
                  <w:tcW w:w="722" w:type="pct"/>
                  <w:noWrap w:val="0"/>
                  <w:vAlign w:val="center"/>
                </w:tcPr>
                <w:p w14:paraId="6E0EEAE3">
                  <w:pPr>
                    <w:pStyle w:val="3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否</w:t>
                  </w:r>
                </w:p>
              </w:tc>
            </w:tr>
            <w:tr w14:paraId="2701D7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noWrap w:val="0"/>
                  <w:vAlign w:val="center"/>
                </w:tcPr>
                <w:p w14:paraId="44614DC6">
                  <w:pPr>
                    <w:wordWrap w:val="0"/>
                    <w:topLinePunct/>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w:t>
                  </w:r>
                </w:p>
              </w:tc>
              <w:tc>
                <w:tcPr>
                  <w:tcW w:w="2174" w:type="pct"/>
                  <w:noWrap w:val="0"/>
                  <w:vAlign w:val="center"/>
                </w:tcPr>
                <w:p w14:paraId="03FD4548">
                  <w:pPr>
                    <w:wordWrap w:val="0"/>
                    <w:topLinePunct/>
                    <w:spacing w:line="24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有毒有害和易燃易爆危险物质存储量超过临界量的建设项目</w:t>
                  </w:r>
                </w:p>
              </w:tc>
              <w:tc>
                <w:tcPr>
                  <w:tcW w:w="1352" w:type="pct"/>
                  <w:noWrap w:val="0"/>
                  <w:vAlign w:val="center"/>
                </w:tcPr>
                <w:p w14:paraId="31D0843B">
                  <w:pPr>
                    <w:pStyle w:val="3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本项目有毒有害和易燃易爆危险物质未超过临界量。</w:t>
                  </w:r>
                </w:p>
              </w:tc>
              <w:tc>
                <w:tcPr>
                  <w:tcW w:w="722" w:type="pct"/>
                  <w:noWrap w:val="0"/>
                  <w:vAlign w:val="center"/>
                </w:tcPr>
                <w:p w14:paraId="07EFC8AD">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否</w:t>
                  </w:r>
                </w:p>
              </w:tc>
            </w:tr>
            <w:tr w14:paraId="0254A3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noWrap w:val="0"/>
                  <w:vAlign w:val="center"/>
                </w:tcPr>
                <w:p w14:paraId="43D1D3C2">
                  <w:pPr>
                    <w:wordWrap w:val="0"/>
                    <w:topLinePunct/>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w:t>
                  </w:r>
                </w:p>
              </w:tc>
              <w:tc>
                <w:tcPr>
                  <w:tcW w:w="2174" w:type="pct"/>
                  <w:noWrap w:val="0"/>
                  <w:vAlign w:val="center"/>
                </w:tcPr>
                <w:p w14:paraId="611C9F37">
                  <w:pPr>
                    <w:wordWrap w:val="0"/>
                    <w:topLinePunct/>
                    <w:spacing w:line="24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取水口下游500米范围内有重要水生生物的自然产卵场、索饵场、越冬场和洄游通道的新增河道取水的污染类建设项目</w:t>
                  </w:r>
                </w:p>
              </w:tc>
              <w:tc>
                <w:tcPr>
                  <w:tcW w:w="1352" w:type="pct"/>
                  <w:noWrap w:val="0"/>
                  <w:vAlign w:val="center"/>
                </w:tcPr>
                <w:p w14:paraId="27CFD11E">
                  <w:pPr>
                    <w:pStyle w:val="3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本项目不涉及取水口</w:t>
                  </w:r>
                  <w:r>
                    <w:rPr>
                      <w:rFonts w:hint="default" w:ascii="Times New Roman" w:hAnsi="Times New Roman" w:cs="Times New Roman"/>
                      <w:color w:val="auto"/>
                      <w:highlight w:val="none"/>
                      <w:lang w:eastAsia="zh-CN"/>
                    </w:rPr>
                    <w:t>。</w:t>
                  </w:r>
                </w:p>
              </w:tc>
              <w:tc>
                <w:tcPr>
                  <w:tcW w:w="722" w:type="pct"/>
                  <w:noWrap w:val="0"/>
                  <w:vAlign w:val="center"/>
                </w:tcPr>
                <w:p w14:paraId="64B444A5">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否</w:t>
                  </w:r>
                </w:p>
              </w:tc>
            </w:tr>
            <w:tr w14:paraId="006B6D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noWrap w:val="0"/>
                  <w:vAlign w:val="center"/>
                </w:tcPr>
                <w:p w14:paraId="5DBF9266">
                  <w:pPr>
                    <w:wordWrap w:val="0"/>
                    <w:topLinePunct/>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海洋</w:t>
                  </w:r>
                </w:p>
              </w:tc>
              <w:tc>
                <w:tcPr>
                  <w:tcW w:w="2174" w:type="pct"/>
                  <w:noWrap w:val="0"/>
                  <w:vAlign w:val="center"/>
                </w:tcPr>
                <w:p w14:paraId="2E7E828C">
                  <w:pPr>
                    <w:wordWrap w:val="0"/>
                    <w:topLinePunct/>
                    <w:spacing w:line="24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直接向海排放污染物的海洋工程建设项目</w:t>
                  </w:r>
                </w:p>
              </w:tc>
              <w:tc>
                <w:tcPr>
                  <w:tcW w:w="1352" w:type="pct"/>
                  <w:noWrap w:val="0"/>
                  <w:vAlign w:val="center"/>
                </w:tcPr>
                <w:p w14:paraId="01156CD0">
                  <w:pPr>
                    <w:pStyle w:val="3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本项目不属于向海洋排放污染物的海洋工程建设项目。</w:t>
                  </w:r>
                </w:p>
              </w:tc>
              <w:tc>
                <w:tcPr>
                  <w:tcW w:w="722" w:type="pct"/>
                  <w:noWrap w:val="0"/>
                  <w:vAlign w:val="center"/>
                </w:tcPr>
                <w:p w14:paraId="4141F58C">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否</w:t>
                  </w:r>
                </w:p>
              </w:tc>
            </w:tr>
            <w:tr w14:paraId="329CA9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noWrap w:val="0"/>
                  <w:vAlign w:val="center"/>
                </w:tcPr>
                <w:p w14:paraId="758482CE">
                  <w:pPr>
                    <w:pStyle w:val="35"/>
                    <w:bidi w:val="0"/>
                    <w:ind w:left="0" w:leftChars="0"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注：①废气中有毒有害污染物指纳入《有毒有害大气污染物名录》的污染物（不包括无排放标准的污染物）。</w:t>
                  </w:r>
                </w:p>
                <w:p w14:paraId="63E737BF">
                  <w:pPr>
                    <w:pStyle w:val="35"/>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②环境空气保护目标指自然保护区、风景名胜区、居住区、文化区和农村地区中人群较集中的区域。</w:t>
                  </w:r>
                </w:p>
                <w:p w14:paraId="1ED1F062">
                  <w:pPr>
                    <w:pStyle w:val="3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18"/>
                      <w:szCs w:val="18"/>
                      <w:highlight w:val="none"/>
                    </w:rPr>
                    <w:t>③临界量及其计算方法参考《建设项目环境风险评价技术导则》（</w:t>
                  </w:r>
                  <w:r>
                    <w:rPr>
                      <w:rFonts w:hint="default" w:ascii="Times New Roman" w:hAnsi="Times New Roman" w:cs="Times New Roman"/>
                      <w:color w:val="auto"/>
                      <w:sz w:val="18"/>
                      <w:szCs w:val="18"/>
                      <w:highlight w:val="none"/>
                      <w:lang w:eastAsia="zh-CN"/>
                    </w:rPr>
                    <w:t>HJ</w:t>
                  </w:r>
                  <w:r>
                    <w:rPr>
                      <w:rFonts w:hint="default" w:ascii="Times New Roman" w:hAnsi="Times New Roman" w:cs="Times New Roman"/>
                      <w:color w:val="auto"/>
                      <w:sz w:val="18"/>
                      <w:szCs w:val="18"/>
                      <w:highlight w:val="none"/>
                    </w:rPr>
                    <w:t>169）附录B、附录C。</w:t>
                  </w:r>
                </w:p>
              </w:tc>
            </w:tr>
          </w:tbl>
          <w:p w14:paraId="759CFCA4">
            <w:pPr>
              <w:pStyle w:val="33"/>
              <w:keepNext w:val="0"/>
              <w:keepLines w:val="0"/>
              <w:pageBreakBefore w:val="0"/>
              <w:widowControl w:val="0"/>
              <w:kinsoku/>
              <w:wordWrap w:val="0"/>
              <w:overflowPunct/>
              <w:topLinePunct/>
              <w:autoSpaceDE/>
              <w:autoSpaceDN/>
              <w:bidi w:val="0"/>
              <w:adjustRightInd/>
              <w:snapToGrid/>
              <w:spacing w:before="157" w:beforeLines="50"/>
              <w:textAlignment w:val="auto"/>
              <w:rPr>
                <w:rFonts w:hint="eastAsia" w:ascii="Times New Roman" w:hAnsi="Times New Roman" w:eastAsia="宋体" w:cs="宋体"/>
                <w:color w:val="auto"/>
                <w:kern w:val="0"/>
                <w:szCs w:val="21"/>
                <w:highlight w:val="none"/>
              </w:rPr>
            </w:pPr>
            <w:r>
              <w:rPr>
                <w:rFonts w:hint="default" w:ascii="Times New Roman" w:hAnsi="Times New Roman" w:cs="Times New Roman"/>
                <w:color w:val="auto"/>
                <w:highlight w:val="none"/>
                <w:lang w:val="en-US" w:eastAsia="zh-CN"/>
              </w:rPr>
              <w:t>本项目不涉及集中式饮用水水源和热水、矿泉水、温泉等特殊地下水资源保护区。</w:t>
            </w:r>
            <w:r>
              <w:rPr>
                <w:rFonts w:hint="default" w:ascii="Times New Roman" w:hAnsi="Times New Roman" w:cs="Times New Roman"/>
                <w:color w:val="auto"/>
                <w:highlight w:val="none"/>
              </w:rPr>
              <w:t>根据上表分析可知，本项目无需开展专项评价工作。</w:t>
            </w:r>
          </w:p>
        </w:tc>
      </w:tr>
      <w:tr w14:paraId="478028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3" w:hRule="atLeast"/>
          <w:jc w:val="center"/>
        </w:trPr>
        <w:tc>
          <w:tcPr>
            <w:tcW w:w="717" w:type="pct"/>
            <w:noWrap w:val="0"/>
            <w:vAlign w:val="center"/>
          </w:tcPr>
          <w:p w14:paraId="45629C0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szCs w:val="21"/>
                <w:highlight w:val="none"/>
              </w:rPr>
              <w:t>规划情况</w:t>
            </w:r>
          </w:p>
        </w:tc>
        <w:tc>
          <w:tcPr>
            <w:tcW w:w="4282" w:type="pct"/>
            <w:noWrap w:val="0"/>
            <w:vAlign w:val="center"/>
          </w:tcPr>
          <w:p w14:paraId="4C77A33D">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宋体"/>
                <w:color w:val="auto"/>
                <w:kern w:val="0"/>
                <w:szCs w:val="21"/>
                <w:highlight w:val="none"/>
                <w:lang w:val="en-US" w:eastAsia="zh-CN"/>
              </w:rPr>
            </w:pPr>
            <w:r>
              <w:rPr>
                <w:rFonts w:hint="eastAsia" w:cs="宋体"/>
                <w:color w:val="auto"/>
                <w:kern w:val="0"/>
                <w:szCs w:val="21"/>
                <w:highlight w:val="none"/>
                <w:lang w:val="en-US" w:eastAsia="zh-CN"/>
              </w:rPr>
              <w:t>双鸭山集宏商品混凝土制造有限公司位于</w:t>
            </w:r>
            <w:r>
              <w:rPr>
                <w:rFonts w:hint="default" w:ascii="Times New Roman" w:hAnsi="Times New Roman" w:eastAsia="宋体" w:cs="Times New Roman"/>
                <w:color w:val="auto"/>
                <w:szCs w:val="21"/>
                <w:highlight w:val="none"/>
              </w:rPr>
              <w:t>黑龙江省</w:t>
            </w:r>
            <w:r>
              <w:rPr>
                <w:rFonts w:hint="eastAsia" w:ascii="Times New Roman" w:hAnsi="Times New Roman" w:cs="Times New Roman"/>
                <w:color w:val="auto"/>
                <w:szCs w:val="21"/>
                <w:highlight w:val="none"/>
                <w:lang w:val="en-US" w:eastAsia="zh-CN"/>
              </w:rPr>
              <w:t>双鸭山</w:t>
            </w:r>
            <w:r>
              <w:rPr>
                <w:rFonts w:hint="default" w:ascii="Times New Roman" w:hAnsi="Times New Roman" w:eastAsia="宋体" w:cs="Times New Roman"/>
                <w:color w:val="auto"/>
                <w:szCs w:val="21"/>
                <w:highlight w:val="none"/>
              </w:rPr>
              <w:t>市四方台区三江农资东侧</w:t>
            </w:r>
            <w:r>
              <w:rPr>
                <w:rFonts w:hint="eastAsia" w:cs="宋体"/>
                <w:color w:val="auto"/>
                <w:kern w:val="0"/>
                <w:szCs w:val="21"/>
                <w:highlight w:val="none"/>
                <w:lang w:val="en-US" w:eastAsia="zh-CN"/>
              </w:rPr>
              <w:t>，选址位于原双鸭山市绿色食品及新材料产业园区，现已不再按市级园区管理，见附件5。</w:t>
            </w:r>
          </w:p>
        </w:tc>
      </w:tr>
      <w:tr w14:paraId="55AC3D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717" w:type="pct"/>
            <w:noWrap w:val="0"/>
            <w:vAlign w:val="center"/>
          </w:tcPr>
          <w:p w14:paraId="789FED2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宋体"/>
                <w:color w:val="auto"/>
                <w:szCs w:val="21"/>
                <w:highlight w:val="none"/>
              </w:rPr>
            </w:pPr>
            <w:r>
              <w:rPr>
                <w:rFonts w:hint="eastAsia" w:ascii="Times New Roman" w:hAnsi="Times New Roman" w:eastAsia="宋体" w:cs="宋体"/>
                <w:color w:val="auto"/>
                <w:szCs w:val="21"/>
                <w:highlight w:val="none"/>
              </w:rPr>
              <w:t>规划环境影响评价情况</w:t>
            </w:r>
          </w:p>
        </w:tc>
        <w:tc>
          <w:tcPr>
            <w:tcW w:w="4282" w:type="pct"/>
            <w:noWrap w:val="0"/>
            <w:vAlign w:val="center"/>
          </w:tcPr>
          <w:p w14:paraId="08176FD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宋体"/>
                <w:color w:val="auto"/>
                <w:szCs w:val="21"/>
                <w:highlight w:val="none"/>
                <w:lang w:eastAsia="zh-CN"/>
              </w:rPr>
            </w:pPr>
            <w:r>
              <w:rPr>
                <w:rFonts w:hint="eastAsia" w:ascii="Times New Roman" w:hAnsi="Times New Roman" w:eastAsia="宋体" w:cs="宋体"/>
                <w:color w:val="auto"/>
                <w:szCs w:val="21"/>
                <w:highlight w:val="none"/>
                <w:lang w:val="en-US" w:eastAsia="zh-CN"/>
              </w:rPr>
              <w:t>无</w:t>
            </w:r>
          </w:p>
        </w:tc>
      </w:tr>
      <w:tr w14:paraId="343B0D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noWrap w:val="0"/>
            <w:vAlign w:val="center"/>
          </w:tcPr>
          <w:p w14:paraId="6453660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宋体"/>
                <w:color w:val="auto"/>
                <w:szCs w:val="21"/>
                <w:highlight w:val="none"/>
              </w:rPr>
            </w:pPr>
            <w:r>
              <w:rPr>
                <w:rFonts w:hint="eastAsia" w:ascii="Times New Roman" w:hAnsi="Times New Roman" w:eastAsia="宋体" w:cs="宋体"/>
                <w:color w:val="auto"/>
                <w:szCs w:val="21"/>
                <w:highlight w:val="none"/>
              </w:rPr>
              <w:t>规划及规划环境影响评价符合性分析</w:t>
            </w:r>
          </w:p>
        </w:tc>
        <w:tc>
          <w:tcPr>
            <w:tcW w:w="4282" w:type="pct"/>
            <w:noWrap w:val="0"/>
            <w:vAlign w:val="center"/>
          </w:tcPr>
          <w:p w14:paraId="3DAC356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宋体"/>
                <w:color w:val="auto"/>
                <w:szCs w:val="21"/>
                <w:highlight w:val="none"/>
                <w:lang w:eastAsia="zh-CN"/>
              </w:rPr>
            </w:pPr>
            <w:r>
              <w:rPr>
                <w:rFonts w:hint="eastAsia" w:ascii="Times New Roman" w:hAnsi="Times New Roman" w:eastAsia="宋体" w:cs="宋体"/>
                <w:color w:val="auto"/>
                <w:szCs w:val="21"/>
                <w:highlight w:val="none"/>
                <w:lang w:val="en-US" w:eastAsia="zh-CN"/>
              </w:rPr>
              <w:t>无</w:t>
            </w:r>
          </w:p>
        </w:tc>
      </w:tr>
      <w:tr w14:paraId="63DB58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noWrap w:val="0"/>
            <w:vAlign w:val="center"/>
          </w:tcPr>
          <w:p w14:paraId="1B38553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其他符合性分析</w:t>
            </w:r>
          </w:p>
        </w:tc>
        <w:tc>
          <w:tcPr>
            <w:tcW w:w="4282" w:type="pct"/>
            <w:noWrap w:val="0"/>
            <w:vAlign w:val="center"/>
          </w:tcPr>
          <w:p w14:paraId="2CB33708">
            <w:pPr>
              <w:pStyle w:val="14"/>
              <w:keepNext w:val="0"/>
              <w:keepLines w:val="0"/>
              <w:pageBreakBefore w:val="0"/>
              <w:widowControl w:val="0"/>
              <w:kinsoku/>
              <w:wordWrap w:val="0"/>
              <w:overflowPunct/>
              <w:topLinePunct w:val="0"/>
              <w:autoSpaceDE/>
              <w:autoSpaceDN/>
              <w:bidi w:val="0"/>
              <w:adjustRightInd/>
              <w:snapToGrid/>
              <w:spacing w:before="157" w:beforeLines="50"/>
              <w:textAlignment w:val="auto"/>
              <w:rPr>
                <w:b/>
                <w:bCs/>
                <w:color w:val="auto"/>
                <w:highlight w:val="none"/>
              </w:rPr>
            </w:pPr>
            <w:r>
              <w:rPr>
                <w:b/>
                <w:bCs/>
                <w:color w:val="auto"/>
                <w:highlight w:val="none"/>
              </w:rPr>
              <w:t>一、与产业政策相符性分析</w:t>
            </w:r>
          </w:p>
          <w:p w14:paraId="2EA5FBB1">
            <w:pPr>
              <w:pStyle w:val="14"/>
              <w:bidi w:val="0"/>
              <w:rPr>
                <w:color w:val="auto"/>
                <w:highlight w:val="none"/>
              </w:rPr>
            </w:pPr>
            <w:r>
              <w:rPr>
                <w:color w:val="auto"/>
                <w:highlight w:val="none"/>
              </w:rPr>
              <w:t>根据国家发改委发布的《产业结构调整指导目录（20</w:t>
            </w:r>
            <w:r>
              <w:rPr>
                <w:rFonts w:hint="eastAsia"/>
                <w:color w:val="auto"/>
                <w:highlight w:val="none"/>
              </w:rPr>
              <w:t>24</w:t>
            </w:r>
            <w:r>
              <w:rPr>
                <w:color w:val="auto"/>
                <w:highlight w:val="none"/>
              </w:rPr>
              <w:t>年本）》， 本项目不属于其中的淘汰类和限制类，本项目属于允许类项目。因此，本项目符合国家产业政策的要求。并且所用设备亦无《产业结构调整指导目录（20</w:t>
            </w:r>
            <w:r>
              <w:rPr>
                <w:rFonts w:hint="eastAsia"/>
                <w:color w:val="auto"/>
                <w:highlight w:val="none"/>
              </w:rPr>
              <w:t>24</w:t>
            </w:r>
            <w:r>
              <w:rPr>
                <w:color w:val="auto"/>
                <w:highlight w:val="none"/>
              </w:rPr>
              <w:t>年本）》中限制、淘汰类设备</w:t>
            </w:r>
            <w:r>
              <w:rPr>
                <w:rFonts w:hint="eastAsia"/>
                <w:color w:val="auto"/>
                <w:highlight w:val="none"/>
              </w:rPr>
              <w:t>。</w:t>
            </w:r>
            <w:r>
              <w:rPr>
                <w:color w:val="auto"/>
                <w:highlight w:val="none"/>
              </w:rPr>
              <w:t>因此，符合国家产业政策要求。</w:t>
            </w:r>
          </w:p>
          <w:p w14:paraId="324857D6">
            <w:pPr>
              <w:pStyle w:val="14"/>
              <w:bidi w:val="0"/>
              <w:rPr>
                <w:b/>
                <w:bCs/>
                <w:color w:val="auto"/>
                <w:highlight w:val="none"/>
              </w:rPr>
            </w:pPr>
            <w:r>
              <w:rPr>
                <w:rFonts w:hint="eastAsia"/>
                <w:b/>
                <w:bCs/>
                <w:color w:val="auto"/>
                <w:highlight w:val="none"/>
              </w:rPr>
              <w:t>二、生态环境分区管控的符合性分析</w:t>
            </w:r>
          </w:p>
          <w:p w14:paraId="723638C2">
            <w:pPr>
              <w:pStyle w:val="14"/>
              <w:bidi w:val="0"/>
              <w:rPr>
                <w:rFonts w:hint="eastAsia"/>
                <w:color w:val="auto"/>
                <w:highlight w:val="none"/>
                <w:lang w:eastAsia="zh-CN"/>
              </w:rPr>
            </w:pPr>
            <w:r>
              <w:rPr>
                <w:color w:val="auto"/>
                <w:highlight w:val="none"/>
              </w:rPr>
              <w:t>本项目位于</w:t>
            </w:r>
            <w:r>
              <w:rPr>
                <w:rFonts w:hint="eastAsia"/>
                <w:color w:val="auto"/>
                <w:highlight w:val="none"/>
                <w:lang w:eastAsia="zh-CN"/>
              </w:rPr>
              <w:t>黑龙江省双鸭山市四方台区三江农资东侧</w:t>
            </w:r>
            <w:r>
              <w:rPr>
                <w:color w:val="auto"/>
                <w:highlight w:val="none"/>
              </w:rPr>
              <w:t>。根据《黑龙江省人民政府关于实施“三线一单”生态环境分区管控的意见》（黑政发</w:t>
            </w:r>
            <w:r>
              <w:rPr>
                <w:rFonts w:hint="eastAsia"/>
                <w:color w:val="auto"/>
                <w:highlight w:val="none"/>
                <w:lang w:eastAsia="zh-CN"/>
              </w:rPr>
              <w:t>〔2020〕14号</w:t>
            </w:r>
            <w:r>
              <w:rPr>
                <w:color w:val="auto"/>
                <w:highlight w:val="none"/>
              </w:rPr>
              <w:t>）和《</w:t>
            </w:r>
            <w:r>
              <w:rPr>
                <w:rFonts w:hint="eastAsia"/>
                <w:color w:val="auto"/>
                <w:highlight w:val="none"/>
              </w:rPr>
              <w:t>双鸭山市人民政府关于实施“三线一单”生态环境分区管控的意见</w:t>
            </w:r>
            <w:r>
              <w:rPr>
                <w:color w:val="auto"/>
                <w:highlight w:val="none"/>
              </w:rPr>
              <w:t>》（双政规〔2021〕2号）及《</w:t>
            </w:r>
            <w:bookmarkStart w:id="5" w:name="_Toc26531"/>
            <w:bookmarkStart w:id="6" w:name="_Toc12967"/>
            <w:r>
              <w:rPr>
                <w:rFonts w:hint="eastAsia"/>
                <w:color w:val="auto"/>
                <w:highlight w:val="none"/>
              </w:rPr>
              <w:t>双鸭山市生态环境准入清单</w:t>
            </w:r>
            <w:bookmarkEnd w:id="5"/>
            <w:bookmarkEnd w:id="6"/>
            <w:r>
              <w:rPr>
                <w:color w:val="auto"/>
                <w:highlight w:val="none"/>
              </w:rPr>
              <w:t>（2023年版）》中要求，依据黑龙江省生态环境分区管控平台所出具的《</w:t>
            </w:r>
            <w:r>
              <w:rPr>
                <w:rFonts w:hint="eastAsia"/>
                <w:color w:val="auto"/>
                <w:highlight w:val="none"/>
                <w:lang w:eastAsia="zh-CN"/>
              </w:rPr>
              <w:t>双鸭山集宏商品混凝土制造有限公司建设项目</w:t>
            </w:r>
            <w:r>
              <w:rPr>
                <w:color w:val="auto"/>
                <w:highlight w:val="none"/>
              </w:rPr>
              <w:t>生态环境分区管控分析报告》。本项目位于</w:t>
            </w:r>
            <w:r>
              <w:rPr>
                <w:rFonts w:hint="eastAsia"/>
                <w:color w:val="auto"/>
                <w:highlight w:val="none"/>
                <w:lang w:val="en-US" w:eastAsia="zh-CN"/>
              </w:rPr>
              <w:t>四方台区大气环境布局敏感重点管控区</w:t>
            </w:r>
            <w:r>
              <w:rPr>
                <w:color w:val="auto"/>
                <w:highlight w:val="none"/>
              </w:rPr>
              <w:t>。项目不在风景名胜区、自然保护区、水源保护区及其他需要特别保护的区域内，没有明显的环境制约因素，项目选址合理</w:t>
            </w:r>
            <w:r>
              <w:rPr>
                <w:rFonts w:hint="eastAsia"/>
                <w:color w:val="auto"/>
                <w:highlight w:val="none"/>
                <w:lang w:eastAsia="zh-CN"/>
              </w:rPr>
              <w:t>。</w:t>
            </w:r>
          </w:p>
          <w:p w14:paraId="62934966">
            <w:pPr>
              <w:pStyle w:val="31"/>
              <w:bidi w:val="0"/>
              <w:rPr>
                <w:rFonts w:hint="eastAsia"/>
                <w:color w:val="auto"/>
                <w:highlight w:val="none"/>
                <w:lang w:eastAsia="zh-CN"/>
              </w:rPr>
            </w:pPr>
            <w:r>
              <w:rPr>
                <w:rFonts w:hint="eastAsia"/>
                <w:color w:val="auto"/>
                <w:highlight w:val="none"/>
                <w:lang w:val="en-US" w:eastAsia="zh-CN"/>
              </w:rPr>
              <w:t>（1）“一图”</w:t>
            </w:r>
          </w:p>
          <w:p w14:paraId="591D20FD">
            <w:pPr>
              <w:pStyle w:val="36"/>
              <w:bidi w:val="0"/>
              <w:rPr>
                <w:color w:val="auto"/>
                <w:highlight w:val="none"/>
              </w:rPr>
            </w:pPr>
            <w:r>
              <w:rPr>
                <w:color w:val="auto"/>
                <w:highlight w:val="none"/>
              </w:rPr>
              <w:drawing>
                <wp:inline distT="0" distB="0" distL="114300" distR="114300">
                  <wp:extent cx="3990975" cy="2038350"/>
                  <wp:effectExtent l="0" t="0" r="9525" b="0"/>
                  <wp:docPr id="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1"/>
                          </pic:cNvPicPr>
                        </pic:nvPicPr>
                        <pic:blipFill>
                          <a:blip r:embed="rId19"/>
                          <a:stretch>
                            <a:fillRect/>
                          </a:stretch>
                        </pic:blipFill>
                        <pic:spPr>
                          <a:xfrm>
                            <a:off x="0" y="0"/>
                            <a:ext cx="3990975" cy="2038350"/>
                          </a:xfrm>
                          <a:prstGeom prst="rect">
                            <a:avLst/>
                          </a:prstGeom>
                          <a:noFill/>
                          <a:ln>
                            <a:noFill/>
                          </a:ln>
                        </pic:spPr>
                      </pic:pic>
                    </a:graphicData>
                  </a:graphic>
                </wp:inline>
              </w:drawing>
            </w:r>
          </w:p>
          <w:p w14:paraId="4A1B49E4">
            <w:pPr>
              <w:pStyle w:val="36"/>
              <w:bidi w:val="0"/>
              <w:rPr>
                <w:rFonts w:hint="eastAsia"/>
                <w:color w:val="auto"/>
                <w:highlight w:val="none"/>
                <w:lang w:eastAsia="zh-CN"/>
              </w:rPr>
            </w:pPr>
            <w:r>
              <w:rPr>
                <w:rFonts w:hint="eastAsia"/>
                <w:color w:val="auto"/>
                <w:highlight w:val="none"/>
                <w:lang w:val="en-US" w:eastAsia="zh-CN"/>
              </w:rPr>
              <w:t>图1-1</w:t>
            </w:r>
            <w:r>
              <w:rPr>
                <w:rFonts w:hint="eastAsia"/>
                <w:color w:val="auto"/>
                <w:highlight w:val="none"/>
                <w:lang w:eastAsia="zh-CN"/>
              </w:rPr>
              <w:t>项目与环境管控单元叠加图</w:t>
            </w:r>
          </w:p>
          <w:p w14:paraId="15BF541C">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eastAsia" w:ascii="Times New Roman" w:hAnsi="Times New Roman" w:eastAsia="宋体" w:cs="宋体"/>
                <w:color w:val="auto"/>
                <w:kern w:val="0"/>
                <w:sz w:val="24"/>
                <w:szCs w:val="24"/>
                <w:highlight w:val="none"/>
                <w:lang w:val="en-US" w:eastAsia="zh-CN" w:bidi="ar"/>
              </w:rPr>
            </w:pPr>
            <w:r>
              <w:rPr>
                <w:rFonts w:hint="eastAsia" w:cs="宋体"/>
                <w:color w:val="auto"/>
                <w:kern w:val="0"/>
                <w:sz w:val="24"/>
                <w:szCs w:val="24"/>
                <w:highlight w:val="none"/>
                <w:lang w:val="en-US" w:eastAsia="zh-CN" w:bidi="ar"/>
              </w:rPr>
              <w:t>（2）</w:t>
            </w:r>
            <w:r>
              <w:rPr>
                <w:rFonts w:hint="eastAsia" w:ascii="Times New Roman" w:hAnsi="Times New Roman" w:eastAsia="宋体" w:cs="宋体"/>
                <w:color w:val="auto"/>
                <w:kern w:val="0"/>
                <w:sz w:val="24"/>
                <w:szCs w:val="24"/>
                <w:highlight w:val="none"/>
                <w:lang w:val="en-US" w:eastAsia="zh-CN" w:bidi="ar"/>
              </w:rPr>
              <w:t>“一表”</w:t>
            </w:r>
          </w:p>
          <w:p w14:paraId="2B3EE9B3">
            <w:pPr>
              <w:pStyle w:val="36"/>
              <w:bidi w:val="0"/>
              <w:rPr>
                <w:color w:val="auto"/>
                <w:highlight w:val="none"/>
              </w:rPr>
            </w:pPr>
            <w:r>
              <w:rPr>
                <w:color w:val="auto"/>
                <w:highlight w:val="none"/>
              </w:rPr>
              <w:t>表1-</w:t>
            </w:r>
            <w:r>
              <w:rPr>
                <w:rFonts w:hint="eastAsia"/>
                <w:color w:val="auto"/>
                <w:highlight w:val="none"/>
                <w:lang w:val="en-US" w:eastAsia="zh-CN"/>
              </w:rPr>
              <w:t>2</w:t>
            </w:r>
            <w:r>
              <w:rPr>
                <w:color w:val="auto"/>
                <w:highlight w:val="none"/>
              </w:rPr>
              <w:t>生态环境准入清单管控要求符合性分析</w:t>
            </w:r>
          </w:p>
          <w:tbl>
            <w:tblPr>
              <w:tblStyle w:val="24"/>
              <w:tblW w:w="5000" w:type="pct"/>
              <w:jc w:val="center"/>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1"/>
              <w:gridCol w:w="542"/>
              <w:gridCol w:w="112"/>
              <w:gridCol w:w="822"/>
              <w:gridCol w:w="751"/>
              <w:gridCol w:w="778"/>
              <w:gridCol w:w="3576"/>
            </w:tblGrid>
            <w:tr w14:paraId="0842FF98">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tcBorders>
                    <w:tl2br w:val="nil"/>
                    <w:tr2bl w:val="nil"/>
                  </w:tcBorders>
                  <w:noWrap w:val="0"/>
                  <w:vAlign w:val="center"/>
                </w:tcPr>
                <w:p w14:paraId="5F506D68">
                  <w:pPr>
                    <w:pStyle w:val="34"/>
                    <w:bidi w:val="0"/>
                    <w:rPr>
                      <w:rFonts w:hint="default"/>
                      <w:color w:val="auto"/>
                      <w:sz w:val="18"/>
                      <w:szCs w:val="18"/>
                      <w:highlight w:val="none"/>
                      <w:lang w:val="en-US" w:eastAsia="zh-CN"/>
                    </w:rPr>
                  </w:pPr>
                  <w:r>
                    <w:rPr>
                      <w:rFonts w:hint="default"/>
                      <w:color w:val="auto"/>
                      <w:sz w:val="18"/>
                      <w:szCs w:val="18"/>
                      <w:highlight w:val="none"/>
                      <w:lang w:val="en-US" w:eastAsia="zh-CN"/>
                    </w:rPr>
                    <w:t>一、生态保护红线</w:t>
                  </w:r>
                </w:p>
              </w:tc>
            </w:tr>
            <w:tr w14:paraId="496B626E">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pct"/>
                  <w:gridSpan w:val="2"/>
                  <w:tcBorders>
                    <w:tl2br w:val="nil"/>
                    <w:tr2bl w:val="nil"/>
                  </w:tcBorders>
                  <w:noWrap w:val="0"/>
                  <w:vAlign w:val="center"/>
                </w:tcPr>
                <w:p w14:paraId="004B2558">
                  <w:pPr>
                    <w:pStyle w:val="34"/>
                    <w:bidi w:val="0"/>
                    <w:rPr>
                      <w:rFonts w:hint="default"/>
                      <w:color w:val="auto"/>
                      <w:sz w:val="18"/>
                      <w:szCs w:val="18"/>
                      <w:highlight w:val="none"/>
                      <w:lang w:val="en-US" w:eastAsia="zh-CN"/>
                    </w:rPr>
                  </w:pPr>
                  <w:r>
                    <w:rPr>
                      <w:rFonts w:hint="default"/>
                      <w:color w:val="auto"/>
                      <w:sz w:val="18"/>
                      <w:szCs w:val="18"/>
                      <w:highlight w:val="none"/>
                      <w:lang w:val="en-US" w:eastAsia="zh-CN"/>
                    </w:rPr>
                    <w:t>管控单元类别</w:t>
                  </w:r>
                </w:p>
              </w:tc>
              <w:tc>
                <w:tcPr>
                  <w:tcW w:w="4263" w:type="pct"/>
                  <w:gridSpan w:val="5"/>
                  <w:tcBorders>
                    <w:tl2br w:val="nil"/>
                    <w:tr2bl w:val="nil"/>
                  </w:tcBorders>
                  <w:noWrap w:val="0"/>
                  <w:vAlign w:val="center"/>
                </w:tcPr>
                <w:p w14:paraId="70BDD5DD">
                  <w:pPr>
                    <w:pStyle w:val="34"/>
                    <w:bidi w:val="0"/>
                    <w:rPr>
                      <w:rFonts w:hint="default"/>
                      <w:color w:val="auto"/>
                      <w:sz w:val="18"/>
                      <w:szCs w:val="18"/>
                      <w:highlight w:val="none"/>
                      <w:lang w:val="en-US" w:eastAsia="zh-CN"/>
                    </w:rPr>
                  </w:pPr>
                  <w:r>
                    <w:rPr>
                      <w:color w:val="auto"/>
                      <w:sz w:val="18"/>
                      <w:szCs w:val="18"/>
                      <w:highlight w:val="none"/>
                    </w:rPr>
                    <w:t>重点管控单元</w:t>
                  </w:r>
                </w:p>
              </w:tc>
            </w:tr>
            <w:tr w14:paraId="2D09C8EC">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pct"/>
                  <w:gridSpan w:val="2"/>
                  <w:tcBorders>
                    <w:tl2br w:val="nil"/>
                    <w:tr2bl w:val="nil"/>
                  </w:tcBorders>
                  <w:noWrap w:val="0"/>
                  <w:vAlign w:val="center"/>
                </w:tcPr>
                <w:p w14:paraId="41CDA190">
                  <w:pPr>
                    <w:pStyle w:val="34"/>
                    <w:bidi w:val="0"/>
                    <w:rPr>
                      <w:rFonts w:hint="default"/>
                      <w:color w:val="auto"/>
                      <w:sz w:val="18"/>
                      <w:szCs w:val="18"/>
                      <w:highlight w:val="none"/>
                      <w:lang w:val="en-US" w:eastAsia="zh-CN"/>
                    </w:rPr>
                  </w:pPr>
                  <w:r>
                    <w:rPr>
                      <w:rFonts w:hint="default"/>
                      <w:color w:val="auto"/>
                      <w:sz w:val="18"/>
                      <w:szCs w:val="18"/>
                      <w:highlight w:val="none"/>
                      <w:lang w:val="en-US" w:eastAsia="zh-CN"/>
                    </w:rPr>
                    <w:t>管控要求</w:t>
                  </w:r>
                </w:p>
              </w:tc>
              <w:tc>
                <w:tcPr>
                  <w:tcW w:w="4263" w:type="pct"/>
                  <w:gridSpan w:val="5"/>
                  <w:tcBorders>
                    <w:tl2br w:val="nil"/>
                    <w:tr2bl w:val="nil"/>
                  </w:tcBorders>
                  <w:noWrap w:val="0"/>
                  <w:vAlign w:val="center"/>
                </w:tcPr>
                <w:p w14:paraId="3F44966E">
                  <w:pPr>
                    <w:pStyle w:val="34"/>
                    <w:bidi w:val="0"/>
                    <w:rPr>
                      <w:rFonts w:hint="default"/>
                      <w:color w:val="auto"/>
                      <w:sz w:val="18"/>
                      <w:szCs w:val="18"/>
                      <w:highlight w:val="none"/>
                      <w:lang w:val="en-US" w:eastAsia="zh-CN"/>
                    </w:rPr>
                  </w:pPr>
                  <w:r>
                    <w:rPr>
                      <w:rFonts w:hint="default"/>
                      <w:color w:val="auto"/>
                      <w:sz w:val="18"/>
                      <w:szCs w:val="18"/>
                      <w:highlight w:val="none"/>
                      <w:lang w:val="en-US" w:eastAsia="zh-CN"/>
                    </w:rPr>
                    <w:t>生态空间包括生态保护红线和一般生态空间，生态保护红线及一般生态空间均属于优先保护区，其余区域属于一般管控区。</w:t>
                  </w:r>
                </w:p>
              </w:tc>
            </w:tr>
            <w:tr w14:paraId="2A5AC3E3">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pct"/>
                  <w:gridSpan w:val="2"/>
                  <w:tcBorders>
                    <w:tl2br w:val="nil"/>
                    <w:tr2bl w:val="nil"/>
                  </w:tcBorders>
                  <w:noWrap w:val="0"/>
                  <w:vAlign w:val="center"/>
                </w:tcPr>
                <w:p w14:paraId="671A53C5">
                  <w:pPr>
                    <w:pStyle w:val="34"/>
                    <w:bidi w:val="0"/>
                    <w:rPr>
                      <w:rFonts w:hint="default"/>
                      <w:color w:val="auto"/>
                      <w:sz w:val="18"/>
                      <w:szCs w:val="18"/>
                      <w:highlight w:val="none"/>
                      <w:lang w:val="en-US" w:eastAsia="zh-CN"/>
                    </w:rPr>
                  </w:pPr>
                  <w:r>
                    <w:rPr>
                      <w:rFonts w:hint="default"/>
                      <w:color w:val="auto"/>
                      <w:sz w:val="18"/>
                      <w:szCs w:val="18"/>
                      <w:highlight w:val="none"/>
                      <w:lang w:val="en-US" w:eastAsia="zh-CN"/>
                    </w:rPr>
                    <w:t>符合性分析</w:t>
                  </w:r>
                </w:p>
              </w:tc>
              <w:tc>
                <w:tcPr>
                  <w:tcW w:w="4263" w:type="pct"/>
                  <w:gridSpan w:val="5"/>
                  <w:tcBorders>
                    <w:tl2br w:val="nil"/>
                    <w:tr2bl w:val="nil"/>
                  </w:tcBorders>
                  <w:noWrap w:val="0"/>
                  <w:vAlign w:val="center"/>
                </w:tcPr>
                <w:p w14:paraId="2B66B6EC">
                  <w:pPr>
                    <w:pStyle w:val="34"/>
                    <w:bidi w:val="0"/>
                    <w:rPr>
                      <w:rFonts w:hint="default"/>
                      <w:color w:val="auto"/>
                      <w:sz w:val="18"/>
                      <w:szCs w:val="18"/>
                      <w:highlight w:val="none"/>
                      <w:lang w:val="en-US" w:eastAsia="zh-CN"/>
                    </w:rPr>
                  </w:pPr>
                  <w:r>
                    <w:rPr>
                      <w:rFonts w:hint="default"/>
                      <w:color w:val="auto"/>
                      <w:sz w:val="18"/>
                      <w:szCs w:val="18"/>
                      <w:highlight w:val="none"/>
                      <w:lang w:val="en-US" w:eastAsia="zh-CN"/>
                    </w:rPr>
                    <w:t>本项目位于</w:t>
                  </w:r>
                  <w:r>
                    <w:rPr>
                      <w:rFonts w:hint="eastAsia"/>
                      <w:color w:val="auto"/>
                      <w:sz w:val="18"/>
                      <w:szCs w:val="18"/>
                      <w:highlight w:val="none"/>
                      <w:lang w:val="en-US" w:eastAsia="zh-CN"/>
                    </w:rPr>
                    <w:t>黑龙江省双鸭山市四方台区三江农资东侧</w:t>
                  </w:r>
                  <w:r>
                    <w:rPr>
                      <w:rFonts w:hint="default"/>
                      <w:color w:val="auto"/>
                      <w:sz w:val="18"/>
                      <w:szCs w:val="18"/>
                      <w:highlight w:val="none"/>
                      <w:lang w:val="en-US" w:eastAsia="zh-CN"/>
                    </w:rPr>
                    <w:t>，根据《</w:t>
                  </w:r>
                  <w:r>
                    <w:rPr>
                      <w:rFonts w:hint="eastAsia"/>
                      <w:color w:val="auto"/>
                      <w:sz w:val="18"/>
                      <w:szCs w:val="18"/>
                      <w:highlight w:val="none"/>
                      <w:lang w:val="en-US" w:eastAsia="zh-CN"/>
                    </w:rPr>
                    <w:t>双鸭山集宏商品混凝土制造有限公司建设项目</w:t>
                  </w:r>
                  <w:r>
                    <w:rPr>
                      <w:rFonts w:hint="default"/>
                      <w:color w:val="auto"/>
                      <w:sz w:val="18"/>
                      <w:szCs w:val="18"/>
                      <w:highlight w:val="none"/>
                      <w:lang w:val="en-US" w:eastAsia="zh-CN"/>
                    </w:rPr>
                    <w:t>生态环境分区管控分析报告》，本项目厂址与生态保护红线无交集。不涉及国家、省、市级自然保护区、自然文化遗产、风景名胜区、文物古迹、饮用水水源保护区、重要湿地、森林公园、水产种质资源保护区等区域。</w:t>
                  </w:r>
                </w:p>
              </w:tc>
            </w:tr>
            <w:tr w14:paraId="6D604301">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tcBorders>
                    <w:tl2br w:val="nil"/>
                    <w:tr2bl w:val="nil"/>
                  </w:tcBorders>
                  <w:noWrap w:val="0"/>
                  <w:vAlign w:val="center"/>
                </w:tcPr>
                <w:p w14:paraId="797290B3">
                  <w:pPr>
                    <w:pStyle w:val="34"/>
                    <w:bidi w:val="0"/>
                    <w:rPr>
                      <w:rFonts w:hint="default"/>
                      <w:color w:val="auto"/>
                      <w:sz w:val="18"/>
                      <w:szCs w:val="18"/>
                      <w:highlight w:val="none"/>
                      <w:lang w:val="en-US" w:eastAsia="zh-CN"/>
                    </w:rPr>
                  </w:pPr>
                  <w:r>
                    <w:rPr>
                      <w:rFonts w:hint="default"/>
                      <w:color w:val="auto"/>
                      <w:sz w:val="18"/>
                      <w:szCs w:val="18"/>
                      <w:highlight w:val="none"/>
                      <w:lang w:val="en-US" w:eastAsia="zh-CN"/>
                    </w:rPr>
                    <w:t>二、环境质量底线</w:t>
                  </w:r>
                </w:p>
              </w:tc>
            </w:tr>
            <w:tr w14:paraId="4A3E9AEB">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53" w:type="pct"/>
                  <w:tcBorders>
                    <w:tl2br w:val="nil"/>
                    <w:tr2bl w:val="nil"/>
                  </w:tcBorders>
                  <w:vAlign w:val="center"/>
                </w:tcPr>
                <w:p w14:paraId="3BF503DC">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一级分类</w:t>
                  </w:r>
                </w:p>
              </w:tc>
              <w:tc>
                <w:tcPr>
                  <w:tcW w:w="461" w:type="pct"/>
                  <w:gridSpan w:val="2"/>
                  <w:tcBorders>
                    <w:tl2br w:val="nil"/>
                    <w:tr2bl w:val="nil"/>
                  </w:tcBorders>
                  <w:vAlign w:val="center"/>
                </w:tcPr>
                <w:p w14:paraId="6F3AECC6">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二级分类</w:t>
                  </w:r>
                </w:p>
              </w:tc>
              <w:tc>
                <w:tcPr>
                  <w:tcW w:w="580" w:type="pct"/>
                  <w:tcBorders>
                    <w:tl2br w:val="nil"/>
                    <w:tr2bl w:val="nil"/>
                  </w:tcBorders>
                  <w:vAlign w:val="center"/>
                </w:tcPr>
                <w:p w14:paraId="3DC5A0E4">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相交</w:t>
                  </w:r>
                  <w:r>
                    <w:rPr>
                      <w:rFonts w:hint="eastAsia"/>
                      <w:color w:val="auto"/>
                      <w:sz w:val="18"/>
                      <w:szCs w:val="18"/>
                      <w:highlight w:val="none"/>
                      <w:lang w:eastAsia="zh-CN"/>
                    </w:rPr>
                    <w:t>单元</w:t>
                  </w:r>
                  <w:r>
                    <w:rPr>
                      <w:rFonts w:hint="eastAsia"/>
                      <w:color w:val="auto"/>
                      <w:sz w:val="18"/>
                      <w:szCs w:val="18"/>
                      <w:highlight w:val="none"/>
                      <w:lang w:val="en-US" w:eastAsia="zh-CN"/>
                    </w:rPr>
                    <w:t>名称</w:t>
                  </w:r>
                </w:p>
              </w:tc>
              <w:tc>
                <w:tcPr>
                  <w:tcW w:w="530" w:type="pct"/>
                  <w:tcBorders>
                    <w:tl2br w:val="nil"/>
                    <w:tr2bl w:val="nil"/>
                  </w:tcBorders>
                  <w:vAlign w:val="center"/>
                </w:tcPr>
                <w:p w14:paraId="28AE3134">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相交面积（km</w:t>
                  </w:r>
                  <w:r>
                    <w:rPr>
                      <w:rFonts w:hint="eastAsia"/>
                      <w:color w:val="auto"/>
                      <w:sz w:val="18"/>
                      <w:szCs w:val="18"/>
                      <w:highlight w:val="none"/>
                      <w:vertAlign w:val="superscript"/>
                      <w:lang w:val="en-US" w:eastAsia="zh-CN"/>
                    </w:rPr>
                    <w:t>2</w:t>
                  </w:r>
                  <w:r>
                    <w:rPr>
                      <w:rFonts w:hint="eastAsia"/>
                      <w:color w:val="auto"/>
                      <w:sz w:val="18"/>
                      <w:szCs w:val="18"/>
                      <w:highlight w:val="none"/>
                      <w:lang w:val="en-US" w:eastAsia="zh-CN"/>
                    </w:rPr>
                    <w:t>）</w:t>
                  </w:r>
                </w:p>
              </w:tc>
              <w:tc>
                <w:tcPr>
                  <w:tcW w:w="549" w:type="pct"/>
                  <w:tcBorders>
                    <w:tl2br w:val="nil"/>
                    <w:tr2bl w:val="nil"/>
                  </w:tcBorders>
                  <w:vAlign w:val="center"/>
                </w:tcPr>
                <w:p w14:paraId="4CFB4F5B">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相交面积占项目范围百分比（%）</w:t>
                  </w:r>
                </w:p>
              </w:tc>
              <w:tc>
                <w:tcPr>
                  <w:tcW w:w="2524" w:type="pct"/>
                  <w:tcBorders>
                    <w:tl2br w:val="nil"/>
                    <w:tr2bl w:val="nil"/>
                  </w:tcBorders>
                  <w:vAlign w:val="center"/>
                </w:tcPr>
                <w:p w14:paraId="5D999B2F">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符合性</w:t>
                  </w:r>
                </w:p>
              </w:tc>
            </w:tr>
            <w:tr w14:paraId="1629957E">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restart"/>
                  <w:tcBorders>
                    <w:tl2br w:val="nil"/>
                    <w:tr2bl w:val="nil"/>
                  </w:tcBorders>
                  <w:vAlign w:val="center"/>
                </w:tcPr>
                <w:p w14:paraId="395D4A40">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环境质量底线</w:t>
                  </w:r>
                </w:p>
              </w:tc>
              <w:tc>
                <w:tcPr>
                  <w:tcW w:w="461" w:type="pct"/>
                  <w:gridSpan w:val="2"/>
                  <w:tcBorders>
                    <w:tl2br w:val="nil"/>
                    <w:tr2bl w:val="nil"/>
                  </w:tcBorders>
                  <w:vAlign w:val="center"/>
                </w:tcPr>
                <w:p w14:paraId="02311339">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水环境工业污染重点管控区</w:t>
                  </w:r>
                </w:p>
              </w:tc>
              <w:tc>
                <w:tcPr>
                  <w:tcW w:w="580" w:type="pct"/>
                  <w:tcBorders>
                    <w:tl2br w:val="nil"/>
                    <w:tr2bl w:val="nil"/>
                  </w:tcBorders>
                  <w:vAlign w:val="center"/>
                </w:tcPr>
                <w:p w14:paraId="71EE6932">
                  <w:pPr>
                    <w:pStyle w:val="34"/>
                    <w:bidi w:val="0"/>
                    <w:rPr>
                      <w:rFonts w:hint="default"/>
                      <w:color w:val="auto"/>
                      <w:sz w:val="18"/>
                      <w:szCs w:val="18"/>
                      <w:highlight w:val="none"/>
                      <w:lang w:val="en-US" w:eastAsia="zh-CN"/>
                    </w:rPr>
                  </w:pPr>
                  <w:r>
                    <w:rPr>
                      <w:rFonts w:hint="default"/>
                      <w:color w:val="auto"/>
                      <w:sz w:val="18"/>
                      <w:szCs w:val="18"/>
                      <w:highlight w:val="none"/>
                      <w:lang w:val="en-US" w:eastAsia="zh-CN"/>
                    </w:rPr>
                    <w:t>双鸭山市绿色食品及新材料产业园</w:t>
                  </w:r>
                </w:p>
              </w:tc>
              <w:tc>
                <w:tcPr>
                  <w:tcW w:w="530" w:type="pct"/>
                  <w:tcBorders>
                    <w:tl2br w:val="nil"/>
                    <w:tr2bl w:val="nil"/>
                  </w:tcBorders>
                  <w:vAlign w:val="center"/>
                </w:tcPr>
                <w:p w14:paraId="365D8473">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0.02</w:t>
                  </w:r>
                </w:p>
              </w:tc>
              <w:tc>
                <w:tcPr>
                  <w:tcW w:w="549" w:type="pct"/>
                  <w:tcBorders>
                    <w:tl2br w:val="nil"/>
                    <w:tr2bl w:val="nil"/>
                  </w:tcBorders>
                  <w:vAlign w:val="center"/>
                </w:tcPr>
                <w:p w14:paraId="6BD51B6F">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100</w:t>
                  </w:r>
                </w:p>
              </w:tc>
              <w:tc>
                <w:tcPr>
                  <w:tcW w:w="2524" w:type="pct"/>
                  <w:tcBorders>
                    <w:tl2br w:val="nil"/>
                    <w:tr2bl w:val="nil"/>
                  </w:tcBorders>
                  <w:vAlign w:val="center"/>
                </w:tcPr>
                <w:p w14:paraId="52A25749">
                  <w:pPr>
                    <w:pStyle w:val="35"/>
                    <w:bidi w:val="0"/>
                    <w:rPr>
                      <w:rFonts w:hint="eastAsia"/>
                      <w:color w:val="auto"/>
                      <w:sz w:val="18"/>
                      <w:szCs w:val="18"/>
                      <w:highlight w:val="none"/>
                      <w:lang w:val="en-US" w:eastAsia="zh-CN"/>
                    </w:rPr>
                  </w:pPr>
                  <w:r>
                    <w:rPr>
                      <w:rFonts w:hint="eastAsia"/>
                      <w:color w:val="auto"/>
                      <w:sz w:val="18"/>
                      <w:szCs w:val="18"/>
                      <w:highlight w:val="none"/>
                      <w:lang w:val="en-US" w:eastAsia="zh-CN"/>
                    </w:rPr>
                    <w:t>本项目洒水抑尘用水全部自然蒸发消耗，设备冲洗水全部回用于生产进入产品，车辆冲洗废水经沉淀池沉淀后回用于车辆冲洗后全部自然蒸发消耗，搅拌用水全部</w:t>
                  </w:r>
                  <w:r>
                    <w:rPr>
                      <w:rFonts w:hint="eastAsia"/>
                      <w:color w:val="auto"/>
                      <w:sz w:val="18"/>
                      <w:szCs w:val="18"/>
                      <w:highlight w:val="none"/>
                      <w:lang w:eastAsia="zh-CN"/>
                    </w:rPr>
                    <w:t>进入产品，</w:t>
                  </w:r>
                  <w:r>
                    <w:rPr>
                      <w:rFonts w:hint="eastAsia"/>
                      <w:color w:val="auto"/>
                      <w:sz w:val="18"/>
                      <w:szCs w:val="18"/>
                      <w:highlight w:val="none"/>
                      <w:lang w:val="en-US" w:eastAsia="zh-CN"/>
                    </w:rPr>
                    <w:t>因此本项目无生产废水外排；生活污水排入防渗旱厕，定期清掏，外运堆肥；初期雨水通过厂区地势自然流入沉淀池后用于厂区洒水降尘，全部自然蒸发，不外排。</w:t>
                  </w:r>
                </w:p>
                <w:p w14:paraId="1618006E">
                  <w:pPr>
                    <w:pStyle w:val="35"/>
                    <w:bidi w:val="0"/>
                    <w:rPr>
                      <w:rFonts w:hint="eastAsia"/>
                      <w:color w:val="auto"/>
                      <w:sz w:val="18"/>
                      <w:szCs w:val="18"/>
                      <w:highlight w:val="none"/>
                      <w:lang w:val="en-US" w:eastAsia="zh-CN"/>
                    </w:rPr>
                  </w:pPr>
                  <w:r>
                    <w:rPr>
                      <w:rFonts w:hint="eastAsia"/>
                      <w:color w:val="auto"/>
                      <w:sz w:val="18"/>
                      <w:szCs w:val="18"/>
                      <w:highlight w:val="none"/>
                      <w:lang w:val="en-US" w:eastAsia="zh-CN"/>
                    </w:rPr>
                    <w:t>本项目不会地表水环境产生影响，项目建设符合地表水环境质量底线要求。</w:t>
                  </w:r>
                </w:p>
              </w:tc>
            </w:tr>
            <w:tr w14:paraId="790B64E3">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tcBorders>
                    <w:tl2br w:val="nil"/>
                    <w:tr2bl w:val="nil"/>
                  </w:tcBorders>
                  <w:vAlign w:val="center"/>
                </w:tcPr>
                <w:p w14:paraId="23CA5A3B">
                  <w:pPr>
                    <w:pStyle w:val="34"/>
                    <w:bidi w:val="0"/>
                    <w:rPr>
                      <w:rFonts w:hint="eastAsia"/>
                      <w:color w:val="auto"/>
                      <w:sz w:val="18"/>
                      <w:szCs w:val="18"/>
                      <w:highlight w:val="none"/>
                      <w:lang w:eastAsia="zh-CN"/>
                    </w:rPr>
                  </w:pPr>
                </w:p>
              </w:tc>
              <w:tc>
                <w:tcPr>
                  <w:tcW w:w="461" w:type="pct"/>
                  <w:gridSpan w:val="2"/>
                  <w:tcBorders>
                    <w:tl2br w:val="nil"/>
                    <w:tr2bl w:val="nil"/>
                  </w:tcBorders>
                  <w:shd w:val="clear" w:color="auto" w:fill="auto"/>
                  <w:vAlign w:val="center"/>
                </w:tcPr>
                <w:p w14:paraId="071ED291">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大气环境布局敏感重点管控区</w:t>
                  </w:r>
                </w:p>
              </w:tc>
              <w:tc>
                <w:tcPr>
                  <w:tcW w:w="580" w:type="pct"/>
                  <w:tcBorders>
                    <w:tl2br w:val="nil"/>
                    <w:tr2bl w:val="nil"/>
                  </w:tcBorders>
                  <w:shd w:val="clear" w:color="auto" w:fill="auto"/>
                  <w:vAlign w:val="center"/>
                </w:tcPr>
                <w:p w14:paraId="4D3E4B60">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四方台区大气环境布局敏感重点管控区</w:t>
                  </w:r>
                </w:p>
              </w:tc>
              <w:tc>
                <w:tcPr>
                  <w:tcW w:w="530" w:type="pct"/>
                  <w:tcBorders>
                    <w:tl2br w:val="nil"/>
                    <w:tr2bl w:val="nil"/>
                  </w:tcBorders>
                  <w:shd w:val="clear" w:color="auto" w:fill="auto"/>
                  <w:vAlign w:val="center"/>
                </w:tcPr>
                <w:p w14:paraId="1D9A1BD7">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0.02</w:t>
                  </w:r>
                </w:p>
              </w:tc>
              <w:tc>
                <w:tcPr>
                  <w:tcW w:w="549" w:type="pct"/>
                  <w:tcBorders>
                    <w:tl2br w:val="nil"/>
                    <w:tr2bl w:val="nil"/>
                  </w:tcBorders>
                  <w:shd w:val="clear" w:color="auto" w:fill="auto"/>
                  <w:vAlign w:val="center"/>
                </w:tcPr>
                <w:p w14:paraId="183307A8">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100</w:t>
                  </w:r>
                </w:p>
              </w:tc>
              <w:tc>
                <w:tcPr>
                  <w:tcW w:w="2524" w:type="pct"/>
                  <w:vMerge w:val="restart"/>
                  <w:tcBorders>
                    <w:tl2br w:val="nil"/>
                    <w:tr2bl w:val="nil"/>
                  </w:tcBorders>
                  <w:vAlign w:val="center"/>
                </w:tcPr>
                <w:p w14:paraId="3358FF40">
                  <w:pPr>
                    <w:pStyle w:val="35"/>
                    <w:bidi w:val="0"/>
                    <w:rPr>
                      <w:rFonts w:hint="eastAsia"/>
                      <w:color w:val="auto"/>
                      <w:sz w:val="18"/>
                      <w:szCs w:val="18"/>
                      <w:highlight w:val="none"/>
                      <w:lang w:eastAsia="zh-CN"/>
                    </w:rPr>
                  </w:pPr>
                  <w:r>
                    <w:rPr>
                      <w:rFonts w:hint="eastAsia"/>
                      <w:color w:val="auto"/>
                      <w:sz w:val="18"/>
                      <w:szCs w:val="18"/>
                      <w:highlight w:val="none"/>
                      <w:lang w:eastAsia="zh-CN"/>
                    </w:rPr>
                    <w:t>石子和砂子通过车辆运输进厂后卸料、贮存在堆场内，堆场内采取苫盖、洒水抑尘等措施，四周布置防风抑尘网；水泥筒仓、粉煤灰筒仓、外加剂罐自带的布袋除尘器，进料粉尘经布袋除尘器处理后通过罐顶通气孔无组织排放；砂、碎石等投料斗上方设置半封闭式罩棚与雾化喷淋装置，水泥、粉煤灰、外加剂等原料的输送、计量、投料等方式均为封闭式，物料计量后通过封闭输送机输送至搅拌站内，混合搅拌工序在密闭的搅拌站内，搅拌机投料口设置集气罩收集产生的颗粒物，经布袋除尘器处理后通过站顶排气口无组织排放；项目运输采取苫盖货车、密闭罐车运输，厂内及时清扫道路并定期洒水降尘，以减少道路扬尘的产生。</w:t>
                  </w:r>
                </w:p>
                <w:p w14:paraId="7738BFB0">
                  <w:pPr>
                    <w:pStyle w:val="35"/>
                    <w:bidi w:val="0"/>
                    <w:rPr>
                      <w:rFonts w:hint="eastAsia"/>
                      <w:color w:val="auto"/>
                      <w:sz w:val="18"/>
                      <w:szCs w:val="18"/>
                      <w:highlight w:val="none"/>
                      <w:lang w:val="en-US" w:eastAsia="zh-CN"/>
                    </w:rPr>
                  </w:pPr>
                  <w:r>
                    <w:rPr>
                      <w:rFonts w:hint="eastAsia"/>
                      <w:color w:val="auto"/>
                      <w:sz w:val="18"/>
                      <w:szCs w:val="18"/>
                      <w:highlight w:val="none"/>
                      <w:lang w:val="en-US" w:eastAsia="zh-CN"/>
                    </w:rPr>
                    <w:t>本项目废气排放对区域环境造成的不利影响较小，不会改变区域环境质量现状，因此，符合环境空气质量底线要求。</w:t>
                  </w:r>
                </w:p>
              </w:tc>
            </w:tr>
            <w:tr w14:paraId="5F0A9D8E">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tcBorders>
                    <w:tl2br w:val="nil"/>
                    <w:tr2bl w:val="nil"/>
                  </w:tcBorders>
                  <w:vAlign w:val="center"/>
                </w:tcPr>
                <w:p w14:paraId="2E97F890">
                  <w:pPr>
                    <w:pStyle w:val="34"/>
                    <w:bidi w:val="0"/>
                    <w:rPr>
                      <w:rFonts w:hint="eastAsia"/>
                      <w:color w:val="auto"/>
                      <w:sz w:val="18"/>
                      <w:szCs w:val="18"/>
                      <w:highlight w:val="none"/>
                      <w:lang w:eastAsia="zh-CN"/>
                    </w:rPr>
                  </w:pPr>
                </w:p>
              </w:tc>
              <w:tc>
                <w:tcPr>
                  <w:tcW w:w="461" w:type="pct"/>
                  <w:gridSpan w:val="2"/>
                  <w:tcBorders>
                    <w:tl2br w:val="nil"/>
                    <w:tr2bl w:val="nil"/>
                  </w:tcBorders>
                  <w:vAlign w:val="center"/>
                </w:tcPr>
                <w:p w14:paraId="31650B59">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大气环境受体敏感重点管控区</w:t>
                  </w:r>
                </w:p>
              </w:tc>
              <w:tc>
                <w:tcPr>
                  <w:tcW w:w="580" w:type="pct"/>
                  <w:tcBorders>
                    <w:tl2br w:val="nil"/>
                    <w:tr2bl w:val="nil"/>
                  </w:tcBorders>
                  <w:vAlign w:val="center"/>
                </w:tcPr>
                <w:p w14:paraId="40A4C596">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四方台区大气环境受体敏感重点管控区</w:t>
                  </w:r>
                </w:p>
              </w:tc>
              <w:tc>
                <w:tcPr>
                  <w:tcW w:w="530" w:type="pct"/>
                  <w:tcBorders>
                    <w:tl2br w:val="nil"/>
                    <w:tr2bl w:val="nil"/>
                  </w:tcBorders>
                  <w:vAlign w:val="center"/>
                </w:tcPr>
                <w:p w14:paraId="6C365AEC">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0.02</w:t>
                  </w:r>
                </w:p>
              </w:tc>
              <w:tc>
                <w:tcPr>
                  <w:tcW w:w="549" w:type="pct"/>
                  <w:tcBorders>
                    <w:tl2br w:val="nil"/>
                    <w:tr2bl w:val="nil"/>
                  </w:tcBorders>
                  <w:vAlign w:val="center"/>
                </w:tcPr>
                <w:p w14:paraId="00FCE5C6">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100</w:t>
                  </w:r>
                </w:p>
              </w:tc>
              <w:tc>
                <w:tcPr>
                  <w:tcW w:w="2524" w:type="pct"/>
                  <w:vMerge w:val="continue"/>
                  <w:tcBorders>
                    <w:tl2br w:val="nil"/>
                    <w:tr2bl w:val="nil"/>
                  </w:tcBorders>
                  <w:vAlign w:val="center"/>
                </w:tcPr>
                <w:p w14:paraId="59BEEA91">
                  <w:pPr>
                    <w:pStyle w:val="34"/>
                    <w:bidi w:val="0"/>
                    <w:rPr>
                      <w:rFonts w:hint="eastAsia"/>
                      <w:color w:val="auto"/>
                      <w:sz w:val="18"/>
                      <w:szCs w:val="18"/>
                      <w:highlight w:val="none"/>
                      <w:lang w:val="en-US" w:eastAsia="zh-CN"/>
                    </w:rPr>
                  </w:pPr>
                </w:p>
              </w:tc>
            </w:tr>
            <w:tr w14:paraId="2CC0CE7D">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tcBorders>
                    <w:tl2br w:val="nil"/>
                    <w:tr2bl w:val="nil"/>
                  </w:tcBorders>
                  <w:vAlign w:val="center"/>
                </w:tcPr>
                <w:p w14:paraId="6707E2DC">
                  <w:pPr>
                    <w:pStyle w:val="34"/>
                    <w:bidi w:val="0"/>
                    <w:rPr>
                      <w:rFonts w:hint="eastAsia"/>
                      <w:color w:val="auto"/>
                      <w:sz w:val="18"/>
                      <w:szCs w:val="18"/>
                      <w:highlight w:val="none"/>
                      <w:lang w:eastAsia="zh-CN"/>
                    </w:rPr>
                  </w:pPr>
                </w:p>
              </w:tc>
              <w:tc>
                <w:tcPr>
                  <w:tcW w:w="461" w:type="pct"/>
                  <w:gridSpan w:val="2"/>
                  <w:tcBorders>
                    <w:tl2br w:val="nil"/>
                    <w:tr2bl w:val="nil"/>
                  </w:tcBorders>
                  <w:vAlign w:val="center"/>
                </w:tcPr>
                <w:p w14:paraId="0498ACAB">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大气环境高排放重点管控区</w:t>
                  </w:r>
                </w:p>
              </w:tc>
              <w:tc>
                <w:tcPr>
                  <w:tcW w:w="580" w:type="pct"/>
                  <w:tcBorders>
                    <w:tl2br w:val="nil"/>
                    <w:tr2bl w:val="nil"/>
                  </w:tcBorders>
                  <w:vAlign w:val="center"/>
                </w:tcPr>
                <w:p w14:paraId="03EE424B">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四方台区大气环境高排放重点管控区</w:t>
                  </w:r>
                </w:p>
              </w:tc>
              <w:tc>
                <w:tcPr>
                  <w:tcW w:w="530" w:type="pct"/>
                  <w:tcBorders>
                    <w:tl2br w:val="nil"/>
                    <w:tr2bl w:val="nil"/>
                  </w:tcBorders>
                  <w:vAlign w:val="center"/>
                </w:tcPr>
                <w:p w14:paraId="4F10F93E">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0.02</w:t>
                  </w:r>
                </w:p>
              </w:tc>
              <w:tc>
                <w:tcPr>
                  <w:tcW w:w="549" w:type="pct"/>
                  <w:tcBorders>
                    <w:tl2br w:val="nil"/>
                    <w:tr2bl w:val="nil"/>
                  </w:tcBorders>
                  <w:vAlign w:val="center"/>
                </w:tcPr>
                <w:p w14:paraId="1934EB99">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100</w:t>
                  </w:r>
                </w:p>
              </w:tc>
              <w:tc>
                <w:tcPr>
                  <w:tcW w:w="2524" w:type="pct"/>
                  <w:vMerge w:val="continue"/>
                  <w:tcBorders>
                    <w:tl2br w:val="nil"/>
                    <w:tr2bl w:val="nil"/>
                  </w:tcBorders>
                  <w:vAlign w:val="center"/>
                </w:tcPr>
                <w:p w14:paraId="78FBF1D1">
                  <w:pPr>
                    <w:pStyle w:val="34"/>
                    <w:bidi w:val="0"/>
                    <w:rPr>
                      <w:rFonts w:hint="eastAsia"/>
                      <w:color w:val="auto"/>
                      <w:sz w:val="18"/>
                      <w:szCs w:val="18"/>
                      <w:highlight w:val="none"/>
                      <w:lang w:val="en-US" w:eastAsia="zh-CN"/>
                    </w:rPr>
                  </w:pPr>
                </w:p>
              </w:tc>
            </w:tr>
            <w:tr w14:paraId="3D1DBEAB">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tcBorders>
                    <w:tl2br w:val="nil"/>
                    <w:tr2bl w:val="nil"/>
                  </w:tcBorders>
                  <w:vAlign w:val="center"/>
                </w:tcPr>
                <w:p w14:paraId="37E5523D">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三</w:t>
                  </w:r>
                  <w:r>
                    <w:rPr>
                      <w:rFonts w:hint="default"/>
                      <w:color w:val="auto"/>
                      <w:sz w:val="18"/>
                      <w:szCs w:val="18"/>
                      <w:highlight w:val="none"/>
                      <w:lang w:val="en-US" w:eastAsia="zh-CN"/>
                    </w:rPr>
                    <w:t>、资源利用</w:t>
                  </w:r>
                  <w:r>
                    <w:rPr>
                      <w:rFonts w:hint="eastAsia"/>
                      <w:color w:val="auto"/>
                      <w:sz w:val="18"/>
                      <w:szCs w:val="18"/>
                      <w:highlight w:val="none"/>
                      <w:lang w:val="en-US" w:eastAsia="zh-CN"/>
                    </w:rPr>
                    <w:t>上线</w:t>
                  </w:r>
                </w:p>
              </w:tc>
            </w:tr>
            <w:tr w14:paraId="4EC0A558">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tcBorders>
                    <w:tl2br w:val="nil"/>
                    <w:tr2bl w:val="nil"/>
                  </w:tcBorders>
                  <w:vAlign w:val="center"/>
                </w:tcPr>
                <w:p w14:paraId="1E07B9D7">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资源利用上线</w:t>
                  </w:r>
                </w:p>
              </w:tc>
              <w:tc>
                <w:tcPr>
                  <w:tcW w:w="461" w:type="pct"/>
                  <w:gridSpan w:val="2"/>
                  <w:tcBorders>
                    <w:tl2br w:val="nil"/>
                    <w:tr2bl w:val="nil"/>
                  </w:tcBorders>
                  <w:vAlign w:val="center"/>
                </w:tcPr>
                <w:p w14:paraId="2F393B8B">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高污染燃料禁燃区</w:t>
                  </w:r>
                </w:p>
              </w:tc>
              <w:tc>
                <w:tcPr>
                  <w:tcW w:w="580" w:type="pct"/>
                  <w:tcBorders>
                    <w:tl2br w:val="nil"/>
                    <w:tr2bl w:val="nil"/>
                  </w:tcBorders>
                  <w:vAlign w:val="center"/>
                </w:tcPr>
                <w:p w14:paraId="6B1A21C6">
                  <w:pPr>
                    <w:pStyle w:val="34"/>
                    <w:bidi w:val="0"/>
                    <w:rPr>
                      <w:rFonts w:hint="eastAsia"/>
                      <w:color w:val="auto"/>
                      <w:sz w:val="18"/>
                      <w:szCs w:val="18"/>
                      <w:highlight w:val="none"/>
                      <w:lang w:eastAsia="zh-CN"/>
                    </w:rPr>
                  </w:pPr>
                  <w:r>
                    <w:rPr>
                      <w:rFonts w:hint="eastAsia"/>
                      <w:color w:val="auto"/>
                      <w:sz w:val="18"/>
                      <w:szCs w:val="18"/>
                      <w:highlight w:val="none"/>
                      <w:lang w:val="en-US" w:eastAsia="zh-CN"/>
                    </w:rPr>
                    <w:t>四方台区</w:t>
                  </w:r>
                  <w:r>
                    <w:rPr>
                      <w:rFonts w:hint="eastAsia"/>
                      <w:color w:val="auto"/>
                      <w:sz w:val="18"/>
                      <w:szCs w:val="18"/>
                      <w:highlight w:val="none"/>
                      <w:lang w:eastAsia="zh-CN"/>
                    </w:rPr>
                    <w:t>高污染燃料禁燃区</w:t>
                  </w:r>
                </w:p>
                <w:p w14:paraId="6275013C">
                  <w:pPr>
                    <w:pStyle w:val="34"/>
                    <w:bidi w:val="0"/>
                    <w:rPr>
                      <w:rFonts w:hint="eastAsia"/>
                      <w:color w:val="auto"/>
                      <w:sz w:val="18"/>
                      <w:szCs w:val="18"/>
                      <w:highlight w:val="none"/>
                      <w:lang w:eastAsia="zh-CN"/>
                    </w:rPr>
                  </w:pPr>
                </w:p>
              </w:tc>
              <w:tc>
                <w:tcPr>
                  <w:tcW w:w="751" w:type="dxa"/>
                  <w:tcBorders>
                    <w:tl2br w:val="nil"/>
                    <w:tr2bl w:val="nil"/>
                  </w:tcBorders>
                  <w:vAlign w:val="center"/>
                </w:tcPr>
                <w:p w14:paraId="609C8D4F">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0.02</w:t>
                  </w:r>
                </w:p>
              </w:tc>
              <w:tc>
                <w:tcPr>
                  <w:tcW w:w="778" w:type="dxa"/>
                  <w:tcBorders>
                    <w:tl2br w:val="nil"/>
                    <w:tr2bl w:val="nil"/>
                  </w:tcBorders>
                  <w:vAlign w:val="center"/>
                </w:tcPr>
                <w:p w14:paraId="1B088358">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100</w:t>
                  </w:r>
                </w:p>
              </w:tc>
              <w:tc>
                <w:tcPr>
                  <w:tcW w:w="2524" w:type="pct"/>
                  <w:tcBorders>
                    <w:tl2br w:val="nil"/>
                    <w:tr2bl w:val="nil"/>
                  </w:tcBorders>
                  <w:vAlign w:val="center"/>
                </w:tcPr>
                <w:p w14:paraId="501C1DF1">
                  <w:pPr>
                    <w:pStyle w:val="35"/>
                    <w:bidi w:val="0"/>
                    <w:rPr>
                      <w:rFonts w:hint="default"/>
                      <w:color w:val="auto"/>
                      <w:sz w:val="18"/>
                      <w:szCs w:val="18"/>
                      <w:highlight w:val="none"/>
                      <w:lang w:val="en-US" w:eastAsia="zh-CN"/>
                    </w:rPr>
                  </w:pPr>
                  <w:r>
                    <w:rPr>
                      <w:rFonts w:hint="eastAsia"/>
                      <w:color w:val="auto"/>
                      <w:sz w:val="18"/>
                      <w:szCs w:val="18"/>
                      <w:highlight w:val="none"/>
                      <w:lang w:val="en-US" w:eastAsia="zh-CN"/>
                    </w:rPr>
                    <w:t>本项目冬季不生产，无需供暖；生产设备均为电力设备，项目不使用高污染燃料。</w:t>
                  </w:r>
                </w:p>
                <w:p w14:paraId="163DACEC">
                  <w:pPr>
                    <w:pStyle w:val="35"/>
                    <w:bidi w:val="0"/>
                    <w:rPr>
                      <w:rFonts w:hint="eastAsia"/>
                      <w:color w:val="auto"/>
                      <w:sz w:val="18"/>
                      <w:szCs w:val="18"/>
                      <w:highlight w:val="none"/>
                      <w:lang w:val="en-US" w:eastAsia="zh-CN"/>
                    </w:rPr>
                  </w:pPr>
                  <w:r>
                    <w:rPr>
                      <w:rFonts w:hint="default"/>
                      <w:color w:val="auto"/>
                      <w:sz w:val="18"/>
                      <w:szCs w:val="18"/>
                      <w:highlight w:val="none"/>
                      <w:lang w:val="en-US" w:eastAsia="zh-CN"/>
                    </w:rPr>
                    <w:t>本项目用水</w:t>
                  </w:r>
                  <w:r>
                    <w:rPr>
                      <w:rFonts w:hint="eastAsia"/>
                      <w:color w:val="auto"/>
                      <w:sz w:val="18"/>
                      <w:szCs w:val="18"/>
                      <w:highlight w:val="none"/>
                      <w:lang w:val="en-US" w:eastAsia="zh-CN"/>
                    </w:rPr>
                    <w:t>量较少</w:t>
                  </w:r>
                  <w:r>
                    <w:rPr>
                      <w:rFonts w:hint="default"/>
                      <w:color w:val="auto"/>
                      <w:sz w:val="18"/>
                      <w:szCs w:val="18"/>
                      <w:highlight w:val="none"/>
                      <w:lang w:val="en-US" w:eastAsia="zh-CN"/>
                    </w:rPr>
                    <w:t>。供电电源为当地市政电网供电，供电电源可靠，本项目资源消耗量相对于区域资源利用总量较小，符合资源利用上线要求。</w:t>
                  </w:r>
                </w:p>
              </w:tc>
            </w:tr>
            <w:tr w14:paraId="07C84FBE">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tcBorders>
                    <w:tl2br w:val="nil"/>
                    <w:tr2bl w:val="nil"/>
                  </w:tcBorders>
                  <w:vAlign w:val="center"/>
                </w:tcPr>
                <w:p w14:paraId="43AD10C9">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四、</w:t>
                  </w:r>
                  <w:r>
                    <w:rPr>
                      <w:color w:val="auto"/>
                      <w:sz w:val="18"/>
                      <w:szCs w:val="18"/>
                      <w:highlight w:val="none"/>
                    </w:rPr>
                    <w:t>本项目与</w:t>
                  </w:r>
                  <w:r>
                    <w:rPr>
                      <w:rFonts w:hint="eastAsia"/>
                      <w:color w:val="auto"/>
                      <w:sz w:val="18"/>
                      <w:szCs w:val="18"/>
                      <w:highlight w:val="none"/>
                      <w:lang w:val="en-US" w:eastAsia="zh-CN"/>
                    </w:rPr>
                    <w:t>地下水管控区</w:t>
                  </w:r>
                  <w:r>
                    <w:rPr>
                      <w:color w:val="auto"/>
                      <w:sz w:val="18"/>
                      <w:szCs w:val="18"/>
                      <w:highlight w:val="none"/>
                    </w:rPr>
                    <w:t>符合性分析</w:t>
                  </w:r>
                </w:p>
              </w:tc>
            </w:tr>
          </w:tbl>
          <w:tbl>
            <w:tblPr>
              <w:tblStyle w:val="2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3"/>
              <w:gridCol w:w="409"/>
              <w:gridCol w:w="397"/>
              <w:gridCol w:w="4363"/>
              <w:gridCol w:w="1490"/>
            </w:tblGrid>
            <w:tr w14:paraId="2A0188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Borders>
                    <w:tl2br w:val="nil"/>
                    <w:tr2bl w:val="nil"/>
                  </w:tcBorders>
                  <w:noWrap w:val="0"/>
                  <w:vAlign w:val="center"/>
                </w:tcPr>
                <w:p w14:paraId="6F9D07DD">
                  <w:pPr>
                    <w:pStyle w:val="34"/>
                    <w:bidi w:val="0"/>
                    <w:rPr>
                      <w:color w:val="auto"/>
                      <w:sz w:val="18"/>
                      <w:szCs w:val="18"/>
                      <w:highlight w:val="none"/>
                    </w:rPr>
                  </w:pPr>
                  <w:r>
                    <w:rPr>
                      <w:rFonts w:hint="eastAsia"/>
                      <w:color w:val="auto"/>
                      <w:sz w:val="18"/>
                      <w:szCs w:val="18"/>
                      <w:highlight w:val="none"/>
                      <w:lang w:val="en-US" w:eastAsia="zh-CN"/>
                    </w:rPr>
                    <w:t>环境</w:t>
                  </w:r>
                  <w:r>
                    <w:rPr>
                      <w:color w:val="auto"/>
                      <w:sz w:val="18"/>
                      <w:szCs w:val="18"/>
                      <w:highlight w:val="none"/>
                    </w:rPr>
                    <w:t>管控</w:t>
                  </w:r>
                  <w:r>
                    <w:rPr>
                      <w:rFonts w:hint="eastAsia"/>
                      <w:color w:val="auto"/>
                      <w:sz w:val="18"/>
                      <w:szCs w:val="18"/>
                      <w:highlight w:val="none"/>
                      <w:lang w:val="en-US" w:eastAsia="zh-CN"/>
                    </w:rPr>
                    <w:t>区</w:t>
                  </w:r>
                  <w:r>
                    <w:rPr>
                      <w:color w:val="auto"/>
                      <w:sz w:val="18"/>
                      <w:szCs w:val="18"/>
                      <w:highlight w:val="none"/>
                    </w:rPr>
                    <w:t>编码</w:t>
                  </w:r>
                </w:p>
              </w:tc>
              <w:tc>
                <w:tcPr>
                  <w:tcW w:w="289" w:type="pct"/>
                  <w:tcBorders>
                    <w:tl2br w:val="nil"/>
                    <w:tr2bl w:val="nil"/>
                  </w:tcBorders>
                  <w:noWrap w:val="0"/>
                  <w:vAlign w:val="center"/>
                </w:tcPr>
                <w:p w14:paraId="768FD79A">
                  <w:pPr>
                    <w:pStyle w:val="34"/>
                    <w:bidi w:val="0"/>
                    <w:rPr>
                      <w:color w:val="auto"/>
                      <w:sz w:val="18"/>
                      <w:szCs w:val="18"/>
                      <w:highlight w:val="none"/>
                    </w:rPr>
                  </w:pPr>
                  <w:r>
                    <w:rPr>
                      <w:color w:val="auto"/>
                      <w:sz w:val="18"/>
                      <w:szCs w:val="18"/>
                      <w:highlight w:val="none"/>
                    </w:rPr>
                    <w:t>环境管控</w:t>
                  </w:r>
                  <w:r>
                    <w:rPr>
                      <w:rFonts w:hint="eastAsia"/>
                      <w:color w:val="auto"/>
                      <w:sz w:val="18"/>
                      <w:szCs w:val="18"/>
                      <w:highlight w:val="none"/>
                      <w:lang w:val="en-US" w:eastAsia="zh-CN"/>
                    </w:rPr>
                    <w:t>区</w:t>
                  </w:r>
                  <w:r>
                    <w:rPr>
                      <w:color w:val="auto"/>
                      <w:sz w:val="18"/>
                      <w:szCs w:val="18"/>
                      <w:highlight w:val="none"/>
                    </w:rPr>
                    <w:t>名称</w:t>
                  </w:r>
                </w:p>
              </w:tc>
              <w:tc>
                <w:tcPr>
                  <w:tcW w:w="280" w:type="pct"/>
                  <w:tcBorders>
                    <w:tl2br w:val="nil"/>
                    <w:tr2bl w:val="nil"/>
                  </w:tcBorders>
                  <w:noWrap w:val="0"/>
                  <w:vAlign w:val="center"/>
                </w:tcPr>
                <w:p w14:paraId="17111400">
                  <w:pPr>
                    <w:pStyle w:val="34"/>
                    <w:bidi w:val="0"/>
                    <w:rPr>
                      <w:rFonts w:hint="default"/>
                      <w:color w:val="auto"/>
                      <w:sz w:val="18"/>
                      <w:szCs w:val="18"/>
                      <w:highlight w:val="none"/>
                      <w:lang w:val="en-US" w:eastAsia="zh-CN"/>
                    </w:rPr>
                  </w:pPr>
                  <w:r>
                    <w:rPr>
                      <w:color w:val="auto"/>
                      <w:sz w:val="18"/>
                      <w:szCs w:val="18"/>
                      <w:highlight w:val="none"/>
                    </w:rPr>
                    <w:t>管控</w:t>
                  </w:r>
                  <w:r>
                    <w:rPr>
                      <w:rFonts w:hint="eastAsia"/>
                      <w:color w:val="auto"/>
                      <w:sz w:val="18"/>
                      <w:szCs w:val="18"/>
                      <w:highlight w:val="none"/>
                      <w:lang w:val="en-US" w:eastAsia="zh-CN"/>
                    </w:rPr>
                    <w:t>区类型</w:t>
                  </w:r>
                </w:p>
              </w:tc>
              <w:tc>
                <w:tcPr>
                  <w:tcW w:w="3080" w:type="pct"/>
                  <w:tcBorders>
                    <w:tl2br w:val="nil"/>
                    <w:tr2bl w:val="nil"/>
                  </w:tcBorders>
                  <w:noWrap w:val="0"/>
                  <w:vAlign w:val="center"/>
                </w:tcPr>
                <w:p w14:paraId="31EC48EE">
                  <w:pPr>
                    <w:pStyle w:val="34"/>
                    <w:bidi w:val="0"/>
                    <w:rPr>
                      <w:color w:val="auto"/>
                      <w:sz w:val="18"/>
                      <w:szCs w:val="18"/>
                      <w:highlight w:val="none"/>
                    </w:rPr>
                  </w:pPr>
                  <w:r>
                    <w:rPr>
                      <w:color w:val="auto"/>
                      <w:sz w:val="18"/>
                      <w:szCs w:val="18"/>
                      <w:highlight w:val="none"/>
                    </w:rPr>
                    <w:t>管控要求</w:t>
                  </w:r>
                </w:p>
              </w:tc>
              <w:tc>
                <w:tcPr>
                  <w:tcW w:w="1050" w:type="pct"/>
                  <w:tcBorders>
                    <w:tl2br w:val="nil"/>
                    <w:tr2bl w:val="nil"/>
                  </w:tcBorders>
                  <w:noWrap w:val="0"/>
                  <w:vAlign w:val="center"/>
                </w:tcPr>
                <w:p w14:paraId="6D4FF7F5">
                  <w:pPr>
                    <w:pStyle w:val="34"/>
                    <w:bidi w:val="0"/>
                    <w:rPr>
                      <w:color w:val="auto"/>
                      <w:sz w:val="18"/>
                      <w:szCs w:val="18"/>
                      <w:highlight w:val="none"/>
                    </w:rPr>
                  </w:pPr>
                  <w:r>
                    <w:rPr>
                      <w:color w:val="auto"/>
                      <w:sz w:val="18"/>
                      <w:szCs w:val="18"/>
                      <w:highlight w:val="none"/>
                    </w:rPr>
                    <w:t>符合性</w:t>
                  </w:r>
                </w:p>
              </w:tc>
            </w:tr>
            <w:tr w14:paraId="3CA5C7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Borders>
                    <w:tl2br w:val="nil"/>
                    <w:tr2bl w:val="nil"/>
                  </w:tcBorders>
                  <w:noWrap w:val="0"/>
                  <w:vAlign w:val="center"/>
                </w:tcPr>
                <w:p w14:paraId="6E87414E">
                  <w:pPr>
                    <w:pStyle w:val="34"/>
                    <w:bidi w:val="0"/>
                    <w:rPr>
                      <w:rFonts w:hint="default"/>
                      <w:color w:val="auto"/>
                      <w:sz w:val="18"/>
                      <w:szCs w:val="18"/>
                      <w:highlight w:val="none"/>
                      <w:lang w:val="en-US" w:eastAsia="zh-CN"/>
                    </w:rPr>
                  </w:pPr>
                  <w:r>
                    <w:rPr>
                      <w:rFonts w:hint="default"/>
                      <w:color w:val="auto"/>
                      <w:sz w:val="18"/>
                      <w:szCs w:val="18"/>
                      <w:highlight w:val="none"/>
                      <w:lang w:val="en-US" w:eastAsia="zh-CN"/>
                    </w:rPr>
                    <w:t>YS2305056220002</w:t>
                  </w:r>
                </w:p>
              </w:tc>
              <w:tc>
                <w:tcPr>
                  <w:tcW w:w="289" w:type="pct"/>
                  <w:tcBorders>
                    <w:tl2br w:val="nil"/>
                    <w:tr2bl w:val="nil"/>
                  </w:tcBorders>
                  <w:noWrap w:val="0"/>
                  <w:vAlign w:val="center"/>
                </w:tcPr>
                <w:p w14:paraId="158057D6">
                  <w:pPr>
                    <w:pStyle w:val="34"/>
                    <w:bidi w:val="0"/>
                    <w:rPr>
                      <w:color w:val="auto"/>
                      <w:sz w:val="18"/>
                      <w:szCs w:val="18"/>
                      <w:highlight w:val="none"/>
                    </w:rPr>
                  </w:pPr>
                  <w:r>
                    <w:rPr>
                      <w:rFonts w:hint="eastAsia"/>
                      <w:color w:val="auto"/>
                      <w:sz w:val="18"/>
                      <w:szCs w:val="18"/>
                      <w:highlight w:val="none"/>
                      <w:lang w:val="en-US" w:eastAsia="zh-CN"/>
                    </w:rPr>
                    <w:t>四方台区地下水环境二级管控区</w:t>
                  </w:r>
                </w:p>
              </w:tc>
              <w:tc>
                <w:tcPr>
                  <w:tcW w:w="280" w:type="pct"/>
                  <w:tcBorders>
                    <w:tl2br w:val="nil"/>
                    <w:tr2bl w:val="nil"/>
                  </w:tcBorders>
                  <w:noWrap w:val="0"/>
                  <w:vAlign w:val="center"/>
                </w:tcPr>
                <w:p w14:paraId="43410402">
                  <w:pPr>
                    <w:pStyle w:val="34"/>
                    <w:bidi w:val="0"/>
                    <w:rPr>
                      <w:color w:val="auto"/>
                      <w:sz w:val="18"/>
                      <w:szCs w:val="18"/>
                      <w:highlight w:val="none"/>
                    </w:rPr>
                  </w:pPr>
                  <w:r>
                    <w:rPr>
                      <w:rFonts w:hint="eastAsia"/>
                      <w:color w:val="auto"/>
                      <w:sz w:val="18"/>
                      <w:szCs w:val="18"/>
                      <w:highlight w:val="none"/>
                      <w:lang w:val="en-US" w:eastAsia="zh-CN"/>
                    </w:rPr>
                    <w:t>重点管控区</w:t>
                  </w:r>
                </w:p>
              </w:tc>
              <w:tc>
                <w:tcPr>
                  <w:tcW w:w="3080" w:type="pct"/>
                  <w:tcBorders>
                    <w:tl2br w:val="nil"/>
                    <w:tr2bl w:val="nil"/>
                  </w:tcBorders>
                  <w:noWrap w:val="0"/>
                  <w:vAlign w:val="center"/>
                </w:tcPr>
                <w:p w14:paraId="43277F90">
                  <w:pPr>
                    <w:pStyle w:val="35"/>
                    <w:bidi w:val="0"/>
                    <w:rPr>
                      <w:rFonts w:hint="eastAsia"/>
                      <w:color w:val="auto"/>
                      <w:sz w:val="18"/>
                      <w:szCs w:val="18"/>
                      <w:highlight w:val="none"/>
                    </w:rPr>
                  </w:pPr>
                  <w:r>
                    <w:rPr>
                      <w:rFonts w:hint="eastAsia"/>
                      <w:color w:val="auto"/>
                      <w:sz w:val="18"/>
                      <w:szCs w:val="18"/>
                      <w:highlight w:val="none"/>
                    </w:rPr>
                    <w:t>空间布局约束</w:t>
                  </w:r>
                </w:p>
                <w:p w14:paraId="00EA2790">
                  <w:pPr>
                    <w:pStyle w:val="35"/>
                    <w:bidi w:val="0"/>
                    <w:rPr>
                      <w:rFonts w:hint="eastAsia"/>
                      <w:color w:val="auto"/>
                      <w:sz w:val="18"/>
                      <w:szCs w:val="18"/>
                      <w:highlight w:val="none"/>
                    </w:rPr>
                  </w:pPr>
                  <w:r>
                    <w:rPr>
                      <w:rFonts w:hint="eastAsia"/>
                      <w:color w:val="auto"/>
                      <w:sz w:val="18"/>
                      <w:szCs w:val="18"/>
                      <w:highlight w:val="none"/>
                    </w:rPr>
                    <w:t>1.严格建设项目土壤环境影响评价制度。对涉及有毒有害物质可能造成土壤污染的新(改、扩)建项目，依法进行环境影响评价，提出并落实防腐蚀、防渗漏、防遗撒等土壤污染防治具体措施。2.合理规划污染地块用途，从严管控农药、化工等行业中的重度污染地块规划用途，确需开发利用的，鼓励用于拓展生态空间。3.污染地块未经治理与修复，或者经治理与修复但未达到相关规划用地土壤环境质量要求的，有关环境保护主管部门不予批准选址涉及该污染地块的建设项目环境影响报告书或者报告表。</w:t>
                  </w:r>
                </w:p>
                <w:p w14:paraId="6C558150">
                  <w:pPr>
                    <w:pStyle w:val="35"/>
                    <w:bidi w:val="0"/>
                    <w:rPr>
                      <w:rFonts w:hint="eastAsia"/>
                      <w:color w:val="auto"/>
                      <w:sz w:val="18"/>
                      <w:szCs w:val="18"/>
                      <w:highlight w:val="none"/>
                    </w:rPr>
                  </w:pPr>
                  <w:r>
                    <w:rPr>
                      <w:rFonts w:hint="eastAsia"/>
                      <w:color w:val="auto"/>
                      <w:sz w:val="18"/>
                      <w:szCs w:val="18"/>
                      <w:highlight w:val="none"/>
                    </w:rPr>
                    <w:t>环境风险防控</w:t>
                  </w:r>
                </w:p>
                <w:p w14:paraId="1B8319D3">
                  <w:pPr>
                    <w:pStyle w:val="35"/>
                    <w:bidi w:val="0"/>
                    <w:rPr>
                      <w:rFonts w:hint="eastAsia"/>
                      <w:color w:val="auto"/>
                      <w:sz w:val="18"/>
                      <w:szCs w:val="18"/>
                      <w:highlight w:val="none"/>
                    </w:rPr>
                  </w:pPr>
                  <w:r>
                    <w:rPr>
                      <w:rFonts w:hint="eastAsia"/>
                      <w:color w:val="auto"/>
                      <w:sz w:val="18"/>
                      <w:szCs w:val="18"/>
                      <w:highlight w:val="none"/>
                    </w:rPr>
                    <w:t>1.化学品生产企业以及工业集聚区、矿山开采区、尾矿库、危险废物处置场、垃圾填埋场等的运营、管理单位，应当采取防渗漏等措施，并建设地下水水质监测井进行监测，防止地下水污染。2.指导地下水污染防治重点排污单位优先开展地下水污染渗漏排查，针对存在问题的设施，采取污染防渗改造措施。3.重点单位在隐患排查、监测等活动中发现工矿用地土壤和地下水存在污染迹象的，应当排查污染源，查明污染原因，采取措施防止新增污染，并参照污染地块土壤环境管理有关规定及时开展土壤和地下水环境调查与风险评估，根据调查与风险评估结果采取风险管控或者治理与修复等措施。</w:t>
                  </w:r>
                </w:p>
                <w:p w14:paraId="20F3635F">
                  <w:pPr>
                    <w:pStyle w:val="35"/>
                    <w:bidi w:val="0"/>
                    <w:rPr>
                      <w:rFonts w:hint="eastAsia"/>
                      <w:color w:val="auto"/>
                      <w:sz w:val="18"/>
                      <w:szCs w:val="18"/>
                      <w:highlight w:val="none"/>
                    </w:rPr>
                  </w:pPr>
                  <w:r>
                    <w:rPr>
                      <w:rFonts w:hint="eastAsia"/>
                      <w:color w:val="auto"/>
                      <w:sz w:val="18"/>
                      <w:szCs w:val="18"/>
                      <w:highlight w:val="none"/>
                    </w:rPr>
                    <w:t>污染物排放管控</w:t>
                  </w:r>
                </w:p>
                <w:p w14:paraId="013D5DDB">
                  <w:pPr>
                    <w:pStyle w:val="35"/>
                    <w:bidi w:val="0"/>
                    <w:rPr>
                      <w:color w:val="auto"/>
                      <w:sz w:val="18"/>
                      <w:szCs w:val="18"/>
                      <w:highlight w:val="none"/>
                    </w:rPr>
                  </w:pPr>
                  <w:r>
                    <w:rPr>
                      <w:rFonts w:hint="eastAsia"/>
                      <w:color w:val="auto"/>
                      <w:sz w:val="18"/>
                      <w:szCs w:val="18"/>
                      <w:highlight w:val="none"/>
                    </w:rPr>
                    <w:t>新建、扩建“两高”项目应采用先进适用的工艺技术和装备，单位产品物耗、能耗、水耗等达到清洁生产先进水平，依法制定并严格落实防治地下水污染的措施。</w:t>
                  </w:r>
                </w:p>
              </w:tc>
              <w:tc>
                <w:tcPr>
                  <w:tcW w:w="1050" w:type="pct"/>
                  <w:tcBorders>
                    <w:tl2br w:val="nil"/>
                    <w:tr2bl w:val="nil"/>
                  </w:tcBorders>
                  <w:noWrap w:val="0"/>
                  <w:vAlign w:val="center"/>
                </w:tcPr>
                <w:p w14:paraId="18C498D0">
                  <w:pPr>
                    <w:pStyle w:val="34"/>
                    <w:bidi w:val="0"/>
                    <w:rPr>
                      <w:rFonts w:hint="eastAsia"/>
                      <w:color w:val="auto"/>
                      <w:sz w:val="18"/>
                      <w:szCs w:val="18"/>
                      <w:highlight w:val="none"/>
                      <w:lang w:eastAsia="zh-CN"/>
                    </w:rPr>
                  </w:pPr>
                  <w:r>
                    <w:rPr>
                      <w:rFonts w:hint="eastAsia"/>
                      <w:color w:val="auto"/>
                      <w:sz w:val="18"/>
                      <w:szCs w:val="18"/>
                      <w:highlight w:val="none"/>
                      <w:lang w:eastAsia="zh-CN"/>
                    </w:rPr>
                    <w:t>本项目厂区进行分区防渗，危废贮存点为重点防渗区，防渗层采用2mm厚高密度聚乙烯土工膜（HDPE），其渗透系数不大于1.0×10</w:t>
                  </w:r>
                  <w:r>
                    <w:rPr>
                      <w:rFonts w:hint="eastAsia"/>
                      <w:color w:val="auto"/>
                      <w:sz w:val="18"/>
                      <w:szCs w:val="18"/>
                      <w:highlight w:val="none"/>
                      <w:vertAlign w:val="superscript"/>
                      <w:lang w:eastAsia="zh-CN"/>
                    </w:rPr>
                    <w:t>-10</w:t>
                  </w:r>
                  <w:r>
                    <w:rPr>
                      <w:rFonts w:hint="eastAsia"/>
                      <w:color w:val="auto"/>
                      <w:sz w:val="18"/>
                      <w:szCs w:val="18"/>
                      <w:highlight w:val="none"/>
                      <w:lang w:eastAsia="zh-CN"/>
                    </w:rPr>
                    <w:t>cm/s。沉淀池进行一般防渗处理，其防渗技术要求可满足等效黏土防渗层Mb≥1.5m，K≤1×1</w:t>
                  </w:r>
                  <w:r>
                    <w:rPr>
                      <w:rFonts w:hint="eastAsia"/>
                      <w:color w:val="auto"/>
                      <w:sz w:val="18"/>
                      <w:szCs w:val="18"/>
                      <w:highlight w:val="none"/>
                      <w:vertAlign w:val="superscript"/>
                      <w:lang w:eastAsia="zh-CN"/>
                    </w:rPr>
                    <w:t>0-7</w:t>
                  </w:r>
                  <w:r>
                    <w:rPr>
                      <w:rFonts w:hint="eastAsia"/>
                      <w:color w:val="auto"/>
                      <w:sz w:val="18"/>
                      <w:szCs w:val="18"/>
                      <w:highlight w:val="none"/>
                      <w:lang w:eastAsia="zh-CN"/>
                    </w:rPr>
                    <w:t>cm/s的要求。</w:t>
                  </w:r>
                  <w:r>
                    <w:rPr>
                      <w:rFonts w:hint="eastAsia"/>
                      <w:color w:val="auto"/>
                      <w:sz w:val="18"/>
                      <w:szCs w:val="18"/>
                      <w:highlight w:val="none"/>
                      <w:lang w:val="en-US" w:eastAsia="zh-CN"/>
                    </w:rPr>
                    <w:t>其余场地及道路进行一般地面硬化，简单防渗处理。</w:t>
                  </w:r>
                </w:p>
                <w:p w14:paraId="5C6DC694">
                  <w:pPr>
                    <w:pStyle w:val="34"/>
                    <w:bidi w:val="0"/>
                    <w:rPr>
                      <w:rFonts w:hint="default"/>
                      <w:color w:val="auto"/>
                      <w:sz w:val="18"/>
                      <w:szCs w:val="18"/>
                      <w:highlight w:val="none"/>
                      <w:lang w:val="en-US" w:eastAsia="zh-CN"/>
                    </w:rPr>
                  </w:pPr>
                  <w:r>
                    <w:rPr>
                      <w:rFonts w:hint="eastAsia"/>
                      <w:color w:val="auto"/>
                      <w:sz w:val="18"/>
                      <w:szCs w:val="18"/>
                      <w:highlight w:val="none"/>
                      <w:lang w:eastAsia="zh-CN"/>
                    </w:rPr>
                    <w:t>本项目</w:t>
                  </w:r>
                  <w:r>
                    <w:rPr>
                      <w:rFonts w:hint="eastAsia"/>
                      <w:color w:val="auto"/>
                      <w:sz w:val="18"/>
                      <w:szCs w:val="18"/>
                      <w:highlight w:val="none"/>
                    </w:rPr>
                    <w:t>对地下水、土壤影响较小</w:t>
                  </w:r>
                  <w:r>
                    <w:rPr>
                      <w:color w:val="auto"/>
                      <w:sz w:val="18"/>
                      <w:szCs w:val="18"/>
                      <w:highlight w:val="none"/>
                    </w:rPr>
                    <w:t>。</w:t>
                  </w:r>
                </w:p>
              </w:tc>
            </w:tr>
            <w:tr w14:paraId="7E1C2A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noWrap w:val="0"/>
                  <w:vAlign w:val="center"/>
                </w:tcPr>
                <w:p w14:paraId="4E6013D6">
                  <w:pPr>
                    <w:pStyle w:val="34"/>
                    <w:bidi w:val="0"/>
                    <w:rPr>
                      <w:rFonts w:hint="default"/>
                      <w:color w:val="auto"/>
                      <w:sz w:val="18"/>
                      <w:szCs w:val="18"/>
                      <w:highlight w:val="none"/>
                      <w:lang w:val="en-US" w:eastAsia="zh-CN"/>
                    </w:rPr>
                  </w:pPr>
                  <w:r>
                    <w:rPr>
                      <w:rFonts w:hint="default"/>
                      <w:color w:val="auto"/>
                      <w:sz w:val="18"/>
                      <w:szCs w:val="18"/>
                      <w:highlight w:val="none"/>
                    </w:rPr>
                    <w:t>四、环境准入清单</w:t>
                  </w:r>
                </w:p>
              </w:tc>
            </w:tr>
          </w:tbl>
          <w:tbl>
            <w:tblPr>
              <w:tblStyle w:val="24"/>
              <w:tblW w:w="5000" w:type="pct"/>
              <w:jc w:val="center"/>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8"/>
              <w:gridCol w:w="433"/>
              <w:gridCol w:w="394"/>
              <w:gridCol w:w="4376"/>
              <w:gridCol w:w="1471"/>
            </w:tblGrid>
            <w:tr w14:paraId="12F0764D">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tcBorders>
                    <w:tl2br w:val="nil"/>
                    <w:tr2bl w:val="nil"/>
                  </w:tcBorders>
                  <w:noWrap w:val="0"/>
                  <w:vAlign w:val="center"/>
                </w:tcPr>
                <w:p w14:paraId="1DEFC944">
                  <w:pPr>
                    <w:pStyle w:val="34"/>
                    <w:bidi w:val="0"/>
                    <w:rPr>
                      <w:rFonts w:hint="default"/>
                      <w:color w:val="auto"/>
                      <w:sz w:val="18"/>
                      <w:szCs w:val="18"/>
                      <w:highlight w:val="none"/>
                      <w:lang w:val="en-US" w:eastAsia="zh-CN"/>
                    </w:rPr>
                  </w:pPr>
                  <w:r>
                    <w:rPr>
                      <w:rFonts w:hint="default"/>
                      <w:color w:val="auto"/>
                      <w:sz w:val="18"/>
                      <w:szCs w:val="18"/>
                      <w:highlight w:val="none"/>
                      <w:lang w:val="en-US" w:eastAsia="zh-CN"/>
                    </w:rPr>
                    <w:t>环境管控单元编码</w:t>
                  </w:r>
                </w:p>
              </w:tc>
              <w:tc>
                <w:tcPr>
                  <w:tcW w:w="305" w:type="pct"/>
                  <w:tcBorders>
                    <w:tl2br w:val="nil"/>
                    <w:tr2bl w:val="nil"/>
                  </w:tcBorders>
                  <w:noWrap w:val="0"/>
                  <w:vAlign w:val="center"/>
                </w:tcPr>
                <w:p w14:paraId="47F4E876">
                  <w:pPr>
                    <w:pStyle w:val="34"/>
                    <w:bidi w:val="0"/>
                    <w:rPr>
                      <w:rFonts w:hint="default"/>
                      <w:color w:val="auto"/>
                      <w:sz w:val="18"/>
                      <w:szCs w:val="18"/>
                      <w:highlight w:val="none"/>
                      <w:lang w:val="en-US" w:eastAsia="zh-CN"/>
                    </w:rPr>
                  </w:pPr>
                  <w:r>
                    <w:rPr>
                      <w:rFonts w:hint="default"/>
                      <w:color w:val="auto"/>
                      <w:sz w:val="18"/>
                      <w:szCs w:val="18"/>
                      <w:highlight w:val="none"/>
                      <w:lang w:val="en-US" w:eastAsia="zh-CN"/>
                    </w:rPr>
                    <w:t>环境管控单元名称</w:t>
                  </w:r>
                </w:p>
              </w:tc>
              <w:tc>
                <w:tcPr>
                  <w:tcW w:w="278" w:type="pct"/>
                  <w:tcBorders>
                    <w:tl2br w:val="nil"/>
                    <w:tr2bl w:val="nil"/>
                  </w:tcBorders>
                  <w:noWrap w:val="0"/>
                  <w:vAlign w:val="center"/>
                </w:tcPr>
                <w:p w14:paraId="41FAF8F2">
                  <w:pPr>
                    <w:pStyle w:val="34"/>
                    <w:bidi w:val="0"/>
                    <w:rPr>
                      <w:rFonts w:hint="default"/>
                      <w:color w:val="auto"/>
                      <w:sz w:val="18"/>
                      <w:szCs w:val="18"/>
                      <w:highlight w:val="none"/>
                      <w:lang w:val="en-US" w:eastAsia="zh-CN"/>
                    </w:rPr>
                  </w:pPr>
                  <w:r>
                    <w:rPr>
                      <w:rFonts w:hint="default"/>
                      <w:color w:val="auto"/>
                      <w:sz w:val="18"/>
                      <w:szCs w:val="18"/>
                      <w:highlight w:val="none"/>
                      <w:lang w:val="en-US" w:eastAsia="zh-CN"/>
                    </w:rPr>
                    <w:t>管控单元类别</w:t>
                  </w:r>
                </w:p>
              </w:tc>
              <w:tc>
                <w:tcPr>
                  <w:tcW w:w="3089" w:type="pct"/>
                  <w:tcBorders>
                    <w:tl2br w:val="nil"/>
                    <w:tr2bl w:val="nil"/>
                  </w:tcBorders>
                  <w:noWrap w:val="0"/>
                  <w:vAlign w:val="center"/>
                </w:tcPr>
                <w:p w14:paraId="5A3F33A1">
                  <w:pPr>
                    <w:pStyle w:val="34"/>
                    <w:bidi w:val="0"/>
                    <w:rPr>
                      <w:rFonts w:hint="default"/>
                      <w:color w:val="auto"/>
                      <w:sz w:val="18"/>
                      <w:szCs w:val="18"/>
                      <w:highlight w:val="none"/>
                      <w:lang w:val="en-US" w:eastAsia="zh-CN"/>
                    </w:rPr>
                  </w:pPr>
                  <w:r>
                    <w:rPr>
                      <w:rFonts w:hint="default"/>
                      <w:color w:val="auto"/>
                      <w:sz w:val="18"/>
                      <w:szCs w:val="18"/>
                      <w:highlight w:val="none"/>
                    </w:rPr>
                    <w:t>管控要求</w:t>
                  </w:r>
                </w:p>
              </w:tc>
              <w:tc>
                <w:tcPr>
                  <w:tcW w:w="1038" w:type="pct"/>
                  <w:tcBorders>
                    <w:tl2br w:val="nil"/>
                    <w:tr2bl w:val="nil"/>
                  </w:tcBorders>
                  <w:noWrap w:val="0"/>
                  <w:vAlign w:val="center"/>
                </w:tcPr>
                <w:p w14:paraId="06B4A4C7">
                  <w:pPr>
                    <w:pStyle w:val="34"/>
                    <w:bidi w:val="0"/>
                    <w:rPr>
                      <w:rFonts w:hint="default"/>
                      <w:color w:val="auto"/>
                      <w:sz w:val="18"/>
                      <w:szCs w:val="18"/>
                      <w:highlight w:val="none"/>
                      <w:lang w:val="en-US" w:eastAsia="zh-CN"/>
                    </w:rPr>
                  </w:pPr>
                  <w:r>
                    <w:rPr>
                      <w:rFonts w:hint="default"/>
                      <w:color w:val="auto"/>
                      <w:sz w:val="18"/>
                      <w:szCs w:val="18"/>
                      <w:highlight w:val="none"/>
                    </w:rPr>
                    <w:t>符合性分析</w:t>
                  </w:r>
                </w:p>
              </w:tc>
            </w:tr>
            <w:tr w14:paraId="31B221CD">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8" w:type="dxa"/>
                  <w:tcBorders>
                    <w:tl2br w:val="nil"/>
                    <w:tr2bl w:val="nil"/>
                  </w:tcBorders>
                  <w:noWrap w:val="0"/>
                  <w:vAlign w:val="center"/>
                </w:tcPr>
                <w:p w14:paraId="3FABE8FB">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ZH23050520002</w:t>
                  </w:r>
                </w:p>
              </w:tc>
              <w:tc>
                <w:tcPr>
                  <w:tcW w:w="433" w:type="dxa"/>
                  <w:tcBorders>
                    <w:tl2br w:val="nil"/>
                    <w:tr2bl w:val="nil"/>
                  </w:tcBorders>
                  <w:noWrap w:val="0"/>
                  <w:vAlign w:val="center"/>
                </w:tcPr>
                <w:p w14:paraId="73ABF8AA">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双鸭山市绿色食品及新材料产业园</w:t>
                  </w:r>
                </w:p>
              </w:tc>
              <w:tc>
                <w:tcPr>
                  <w:tcW w:w="394" w:type="dxa"/>
                  <w:tcBorders>
                    <w:tl2br w:val="nil"/>
                    <w:tr2bl w:val="nil"/>
                  </w:tcBorders>
                  <w:noWrap w:val="0"/>
                  <w:vAlign w:val="center"/>
                </w:tcPr>
                <w:p w14:paraId="7DCC1A9F">
                  <w:pPr>
                    <w:pStyle w:val="34"/>
                    <w:bidi w:val="0"/>
                    <w:ind w:firstLine="0" w:firstLineChars="0"/>
                    <w:rPr>
                      <w:rFonts w:hint="default"/>
                      <w:color w:val="auto"/>
                      <w:sz w:val="18"/>
                      <w:szCs w:val="18"/>
                      <w:highlight w:val="none"/>
                      <w:lang w:val="en-US" w:eastAsia="zh-CN"/>
                    </w:rPr>
                  </w:pPr>
                  <w:r>
                    <w:rPr>
                      <w:color w:val="auto"/>
                      <w:sz w:val="18"/>
                      <w:szCs w:val="18"/>
                      <w:highlight w:val="none"/>
                    </w:rPr>
                    <w:t>重点管控单元</w:t>
                  </w:r>
                </w:p>
              </w:tc>
              <w:tc>
                <w:tcPr>
                  <w:tcW w:w="4376" w:type="dxa"/>
                  <w:tcBorders>
                    <w:tl2br w:val="nil"/>
                    <w:tr2bl w:val="nil"/>
                  </w:tcBorders>
                  <w:noWrap w:val="0"/>
                  <w:vAlign w:val="center"/>
                </w:tcPr>
                <w:p w14:paraId="4B888BD3">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一、空间布局约束</w:t>
                  </w:r>
                </w:p>
                <w:p w14:paraId="14A6FCEB">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1.详见双鸭山市绿色食品及新材料产业园布局规划、产业规划和环境准入负面清单。2.新、改、扩建项目的环境影响评价，应满足区域、规划环评要求。3.水环境工业污染重点管控区同时执行“1）区域内严格控制高耗水、高污染行业发展。2）加快淘汰落后产能，大力推进产业结构调整和优化升级。3）根据水资源和水环境承载能力，以水定城、以水定地、以水定人、以水定产。”4.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5.同时执行“1）入园建设项目开展环评工作时，应以产业园区规划环评为依据，重点分析项目环评与规划环评结论及审查意见的符合性；产业园区招商引资、入园建设项目环评审批等应将规划环评结论及审查意见作为重要依据。2）新建、扩建石化、化工、焦化、有色金属冶炼、平板玻璃项目应布设在依法合规设立并经规划环评的产业园区。煤化工产业项目选址及污染控制措施等须满足安全、环境准入要求，新建项目需布局在一般或较低安全风险等级的化工园区。3）重大制造业项目、依托能源和矿产资源的资源加工业项目原则上布局在重点开发区。4）未纳入国家有关领域产业规划的，一律不得新建改扩建炼油和新建乙烯、对二甲苯、煤制烯烃项目。5）禁止引进国家产业政策明令淘汰和限制的产品、技术、工艺、设备及行为。6）编制产业园区开发建设规划时应依法开展规划环评。7）规划审批机关在审批规划时，应将规划环评结论及审查意见作为决策的重要依据，在审批中未采纳环境影响报告书结论及审查意见的，应当作出说明并存档备查。8）产业园区招商引资、入园建设项目环评审批等应将规划环评结论及审查意见作为重要依据。9）产业园区开发建设规划应符合国家政策和相关法律法规要求，规划发生重大调整或修订的，应当依法重新或补充开展规划环评工作。”</w:t>
                  </w:r>
                </w:p>
                <w:p w14:paraId="3C12B341">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二、污染物排放管控</w:t>
                  </w:r>
                </w:p>
                <w:p w14:paraId="7FFBB175">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1.入驻企业需满足清洁生产要求，要求企业开展清洁生产审核。2.新建工业窑炉和生产供汽锅炉需使用电、天然气等清洁能源；燃煤电厂需满足超低排放要求，提高煤电高效清洁利用水平。3.落实项目环境影响报告及其批复文件制定的生态环境保护措施和排污许可证制度，强化挥发性有机物污染治理和废气无组织排放控制管理。4.生产废水（含地面冲洗水）、生活污水和受污染的初期雨水需满足园区污水处理厂进水指标（有行业标准的需同时满足行业标准）方可进入园区污水处理厂，园区污水处理厂出水满足《城镇污水处理厂污染物排放标准》（GB18918-2002）中一级标准A标准后作为工业水源实现全部回用，不外排；进水口和出水口均安装自动在线监控装置。5.大气污染物排放总量：热电联产工程SO2、NOx和烟尘（近期建议值）排放量分别为182.10t/a、620.14t/a、52.03t/a。其它入驻项目大气污染物总量指标不得超过热电联产工程总量指标的20%。6.水污染物排放总量（近期）：区域内实现回用，不外排至地表水环境。7.水环境工业污染重点管控区同时执行“1）新建、改建和扩建项目应当优先采用资源利用率高以及污染物产生量少的清洁生产技术、工艺和设备。2）集中治理工业集聚区内工业废水，区内工业废水必须经预处理达到集中处理要求后，方可进入污水集中处理设施。新建、升级工业集聚区应同步规划和建设污水、垃圾集中处理等污染治理设施。”8.大气环境布局敏感重点管控区同时执行“1）对以煤、石焦油、渣油、重油等为燃料的锅炉和工业炉窑，加快使用清洁低碳能源以及工厂余热、电力热力等进行替代。2）3）到2025年，在用65蒸吨/小时以上的燃煤锅炉（含电力）实现超低排放，钢铁企业基本实现超低排放。”（含电力）实现超低排放，钢铁企业基本实现超低排放。”9.同时执行：1）应按规定建设污水集中处理设施，并安装自动在线监控装置。2）新建、扩建“两高”项目应采用先进适用的工艺技术和装备，单位产品物耗、能耗、水耗等达到清洁生产先进水平，依法制定并严格落实防治土壤与地下水污染的措施。严把新上项目碳排放关，新建、改建、扩建煤电、石化、化工、钢铁、有色冶炼、建材等高耗能、高排放项目，要充分论证，确保能耗、物耗、水耗达到清洁生产先进水平。3）新、改、扩建涉重金属重点行业建设项目必须遵循重点重金属污染物排放“减量置换”或“等量替换”原则。4）对于含有毒有害水污染物的工业废水和生活污水混合处理的污水处理厂产生的污泥，不能采用土地利用方式。5）加强消耗臭氧层物质和氢氟碳化物环境管理，加强泡沫、制冷、氟化工等行业治理，逐步淘汰氢氯氟烃使用。6）新建煤制烯烃、新建煤制对二甲苯(PX)项目纳入《现代煤化工产业创新发展布局方案》后，由省级政府核准。新建年产超过100万吨的煤制甲醇项目，由省级政府核准。7）各地不得新建、扩建二氟甲烷、1,1,1,2-四氟乙烷、五氟乙烷、1,1,1-三氟乙烷、1.1.1.3.3-五氟丙烷用作制冷剂、发泡剂等受控用途的HFCs化工生产设施（不含副立设施），环境影响报告书（表）已通过审批的除外。</w:t>
                  </w:r>
                </w:p>
                <w:p w14:paraId="6380C649">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三、环境风险防控</w:t>
                  </w:r>
                </w:p>
                <w:p w14:paraId="2212F221">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1.强化应急物资储备和救援队伍建设。2.要求企业在选址、总图布置、建筑安全、危险化学品贮存安全、自动控制设计安全、电气和电讯安全、消防和火灾报警系统、人员培训等方面完善各项环境风险防范措施和制度，突出全防全控，确保将风险防范融入日常环境管理制度体系；园区管理部门应加强执法监督，建立危险源数据库并动态更新，实现对重点企业和主要环境风险类型的动态监控。3.园区管理部门应当组织建设有毒有害气体环境风险预警体系，建设园区环境风险防范设施，强化区域环境风险应急防范能力。4.加强环境应急预案管理。园区和园区内企业应当结合经营性质、规模、组织体系，建立健全环境应急预案体系，并强化企业、园区以及上级政府环境应急预案之间的衔接；加强环境应急预案演练、评估与修订；编制园区重污染天气应急预案，与双鸭山市重污染天气应急预案做好衔接，当预污染重点管控区同时执行“排放《有毒有害水污染物名录》所列有毒有害水污染物的企业事业单位和其他生产经营者，应当对排污口和周边环境进行监测，评估环境风险，排查环境安全隐患，并公开有毒有害水污染物信息，采取有效措施防范环境风险。”6.大气环境布局敏感重点管控区同时执行“禁止在居民区、学校、医疗和养老机构等周边新建有色金属冶炼、焦化等行业企业。”7.同时执行“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w:t>
                  </w:r>
                </w:p>
                <w:p w14:paraId="36BFA2D6">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四、资源开发效率要求</w:t>
                  </w:r>
                </w:p>
                <w:p w14:paraId="6B96A347">
                  <w:pPr>
                    <w:pStyle w:val="34"/>
                    <w:bidi w:val="0"/>
                    <w:rPr>
                      <w:rFonts w:hint="eastAsia"/>
                      <w:color w:val="auto"/>
                      <w:sz w:val="18"/>
                      <w:szCs w:val="18"/>
                      <w:highlight w:val="none"/>
                      <w:lang w:eastAsia="zh-CN"/>
                    </w:rPr>
                  </w:pPr>
                  <w:r>
                    <w:rPr>
                      <w:rFonts w:hint="eastAsia"/>
                      <w:color w:val="auto"/>
                      <w:sz w:val="18"/>
                      <w:szCs w:val="18"/>
                      <w:highlight w:val="none"/>
                      <w:lang w:val="en-US" w:eastAsia="zh-CN"/>
                    </w:rPr>
                    <w:t>1.入驻企业需满足清洁生产要求；要求企业开展清洁生产审核，不断提高企业清洁生产水平。2.单位产品（产值）物耗、能耗、水耗要达到国内先进水平3.落实最严格的水资源管理制度，实行水资源消耗总量和强度双控；加强节水管理，提高中水回用率，延长产业链，优化布局。4.工业用水优先使用园区污水处理厂中水。5.除产业园热电厂外禁止销售、燃用高污染燃料；禁止新建、改建、扩建任何燃用高污染燃料的项目和设备；已建成使用高污染燃料的各类设备应当拆除或者改用管道天然气、页岩气、液化石油气、电或者其他清洁能源；现有燃用高污染燃料设备在拆除或改造之前，应确保排放的大气污染物达到国家规定的大气污染物排放标准。6.用水量上限：新鲜水（按照园区污水处理厂中水用于园区外企业工业用水考虑）：近期为4万m</w:t>
                  </w:r>
                  <w:r>
                    <w:rPr>
                      <w:rFonts w:hint="eastAsia"/>
                      <w:color w:val="auto"/>
                      <w:sz w:val="18"/>
                      <w:szCs w:val="18"/>
                      <w:highlight w:val="none"/>
                      <w:vertAlign w:val="superscript"/>
                      <w:lang w:val="en-US" w:eastAsia="zh-CN"/>
                    </w:rPr>
                    <w:t>3</w:t>
                  </w:r>
                  <w:r>
                    <w:rPr>
                      <w:rFonts w:hint="eastAsia"/>
                      <w:color w:val="auto"/>
                      <w:sz w:val="18"/>
                      <w:szCs w:val="18"/>
                      <w:highlight w:val="none"/>
                      <w:lang w:val="en-US" w:eastAsia="zh-CN"/>
                    </w:rPr>
                    <w:t>/d，远期为5.3万m</w:t>
                  </w:r>
                  <w:r>
                    <w:rPr>
                      <w:rFonts w:hint="eastAsia"/>
                      <w:color w:val="auto"/>
                      <w:sz w:val="18"/>
                      <w:szCs w:val="18"/>
                      <w:highlight w:val="none"/>
                      <w:vertAlign w:val="superscript"/>
                      <w:lang w:val="en-US" w:eastAsia="zh-CN"/>
                    </w:rPr>
                    <w:t>3</w:t>
                  </w:r>
                  <w:r>
                    <w:rPr>
                      <w:rFonts w:hint="eastAsia"/>
                      <w:color w:val="auto"/>
                      <w:sz w:val="18"/>
                      <w:szCs w:val="18"/>
                      <w:highlight w:val="none"/>
                      <w:lang w:val="en-US" w:eastAsia="zh-CN"/>
                    </w:rPr>
                    <w:t>/d。7.建设用地土地资源总量上限：168.90hm2，工业用地总量上限：775.09hm2。8.能耗上限为0.5吨标煤/万元。9.高污染燃料禁燃区同时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10.同时执行“1）落实最严格的水资源管理制度，实行水资源消耗总量和强度双控。2）全面推行清洁生产，依法在“双超双有高耗能”行业实施强制性清洁生产审核。”</w:t>
                  </w:r>
                </w:p>
                <w:p w14:paraId="216B778F">
                  <w:pPr>
                    <w:pStyle w:val="34"/>
                    <w:bidi w:val="0"/>
                    <w:ind w:firstLine="0" w:firstLineChars="0"/>
                    <w:rPr>
                      <w:rFonts w:hint="default"/>
                      <w:color w:val="auto"/>
                      <w:sz w:val="18"/>
                      <w:szCs w:val="18"/>
                      <w:highlight w:val="none"/>
                    </w:rPr>
                  </w:pPr>
                </w:p>
              </w:tc>
              <w:tc>
                <w:tcPr>
                  <w:tcW w:w="1471" w:type="dxa"/>
                  <w:tcBorders>
                    <w:tl2br w:val="nil"/>
                    <w:tr2bl w:val="nil"/>
                  </w:tcBorders>
                  <w:noWrap w:val="0"/>
                  <w:vAlign w:val="center"/>
                </w:tcPr>
                <w:p w14:paraId="068091C7">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本项目洒水抑尘用水全部自然蒸发消耗，设备冲洗水全部回用于生产进入产品，车辆冲洗废水经沉淀池沉淀后回用于车辆冲洗后全部自然蒸发消耗，搅拌用水全部</w:t>
                  </w:r>
                  <w:r>
                    <w:rPr>
                      <w:rFonts w:hint="eastAsia"/>
                      <w:color w:val="auto"/>
                      <w:sz w:val="18"/>
                      <w:szCs w:val="18"/>
                      <w:highlight w:val="none"/>
                      <w:lang w:eastAsia="zh-CN"/>
                    </w:rPr>
                    <w:t>进入产品，</w:t>
                  </w:r>
                  <w:r>
                    <w:rPr>
                      <w:rFonts w:hint="eastAsia"/>
                      <w:color w:val="auto"/>
                      <w:sz w:val="18"/>
                      <w:szCs w:val="18"/>
                      <w:highlight w:val="none"/>
                      <w:lang w:val="en-US" w:eastAsia="zh-CN"/>
                    </w:rPr>
                    <w:t>因此本项目无生产废水外排；</w:t>
                  </w:r>
                </w:p>
                <w:p w14:paraId="76903F17">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生活污水排入防渗旱厕，定期清掏，外运堆肥；</w:t>
                  </w:r>
                </w:p>
                <w:p w14:paraId="1D12D6AF">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初期雨水通过厂区地势自然流入沉淀池后用于厂区洒水降尘，全部自然蒸发，不外排。</w:t>
                  </w:r>
                </w:p>
                <w:p w14:paraId="54F42D21">
                  <w:pPr>
                    <w:pStyle w:val="34"/>
                    <w:bidi w:val="0"/>
                    <w:rPr>
                      <w:rFonts w:hint="eastAsia"/>
                      <w:color w:val="auto"/>
                      <w:sz w:val="18"/>
                      <w:szCs w:val="18"/>
                      <w:highlight w:val="none"/>
                      <w:lang w:eastAsia="zh-CN"/>
                    </w:rPr>
                  </w:pPr>
                  <w:r>
                    <w:rPr>
                      <w:rFonts w:hint="eastAsia"/>
                      <w:color w:val="auto"/>
                      <w:sz w:val="18"/>
                      <w:szCs w:val="18"/>
                      <w:highlight w:val="none"/>
                      <w:lang w:eastAsia="zh-CN"/>
                    </w:rPr>
                    <w:t>石子和砂子通过车辆运输进厂后卸料、贮存在堆场内，堆场内采取苫盖、洒水抑尘等措施，四周布置防风抑尘网；水泥筒仓、粉煤灰筒仓、外加剂罐自带的布袋除尘器，进料粉尘经布袋除尘器处理后通过罐顶通气孔无组织排放；砂、碎石等投料斗上方设置半封闭式罩棚与雾化喷淋装置，水泥、粉煤灰、外加剂等原料的输送、计量、投料等方式均为封闭式，物料计量后通过封闭输送机输送至搅拌站内，混合搅拌工序在密闭的搅拌站内，搅拌机投料口设置集气罩收集产生的颗粒物，经布袋除尘器处理后通过站顶排气口无组织排放；项目运输采取苫盖货车、密闭罐车运输，厂内及时清扫道路并定期洒水降尘，以减少道路扬尘的产生。</w:t>
                  </w:r>
                </w:p>
                <w:p w14:paraId="177DC416">
                  <w:pPr>
                    <w:pStyle w:val="34"/>
                    <w:bidi w:val="0"/>
                    <w:rPr>
                      <w:rFonts w:hint="eastAsia"/>
                      <w:color w:val="auto"/>
                      <w:sz w:val="18"/>
                      <w:szCs w:val="18"/>
                      <w:highlight w:val="none"/>
                      <w:lang w:eastAsia="zh-CN"/>
                    </w:rPr>
                  </w:pPr>
                  <w:r>
                    <w:rPr>
                      <w:rFonts w:hint="eastAsia"/>
                      <w:color w:val="auto"/>
                      <w:sz w:val="18"/>
                      <w:szCs w:val="18"/>
                      <w:highlight w:val="none"/>
                      <w:lang w:eastAsia="zh-CN"/>
                    </w:rPr>
                    <w:t>采用低噪声设备、基础减振输车辆厂区内降低车速、禁止鸣笛</w:t>
                  </w:r>
                </w:p>
                <w:p w14:paraId="009D5326">
                  <w:pPr>
                    <w:pStyle w:val="34"/>
                    <w:bidi w:val="0"/>
                    <w:rPr>
                      <w:rFonts w:hint="eastAsia"/>
                      <w:color w:val="auto"/>
                      <w:sz w:val="18"/>
                      <w:szCs w:val="18"/>
                      <w:highlight w:val="none"/>
                      <w:lang w:eastAsia="zh-CN"/>
                    </w:rPr>
                  </w:pPr>
                  <w:r>
                    <w:rPr>
                      <w:rFonts w:hint="eastAsia"/>
                      <w:color w:val="auto"/>
                      <w:sz w:val="18"/>
                      <w:szCs w:val="18"/>
                      <w:highlight w:val="none"/>
                      <w:lang w:eastAsia="zh-CN"/>
                    </w:rPr>
                    <w:t>本项目生活垃圾交由市政部门统一处理；水泥筒仓、粉煤灰筒仓、外加剂罐、搅拌机布袋除尘器收尘作为原料回用于生产；实验室废料，由骨料供应商回收破碎后重新利用；废布袋由厂家回收处置；沉淀池中的污泥定期自然晾干挖出后交由市政部门统一处理。本项目设备维修、保养产生的废润滑油、废油桶、含油抹布及棉纱手套收集至危废贮存点，定期委托有资质单位处理。</w:t>
                  </w:r>
                </w:p>
                <w:p w14:paraId="14E923C5">
                  <w:pPr>
                    <w:pStyle w:val="34"/>
                    <w:bidi w:val="0"/>
                    <w:rPr>
                      <w:rFonts w:hint="eastAsia"/>
                      <w:color w:val="auto"/>
                      <w:sz w:val="18"/>
                      <w:szCs w:val="18"/>
                      <w:highlight w:val="none"/>
                      <w:lang w:eastAsia="zh-CN"/>
                    </w:rPr>
                  </w:pPr>
                  <w:r>
                    <w:rPr>
                      <w:rFonts w:hint="eastAsia"/>
                      <w:color w:val="auto"/>
                      <w:sz w:val="18"/>
                      <w:szCs w:val="18"/>
                      <w:highlight w:val="none"/>
                      <w:lang w:eastAsia="zh-CN"/>
                    </w:rPr>
                    <w:t>本项目厂区进行分区防渗，危废贮存点为重点防渗区，防渗层采用2mm厚高密度聚乙烯土工膜（HDPE），其渗透系数不大于1.0×10</w:t>
                  </w:r>
                  <w:r>
                    <w:rPr>
                      <w:rFonts w:hint="eastAsia"/>
                      <w:color w:val="auto"/>
                      <w:sz w:val="18"/>
                      <w:szCs w:val="18"/>
                      <w:highlight w:val="none"/>
                      <w:vertAlign w:val="superscript"/>
                      <w:lang w:eastAsia="zh-CN"/>
                    </w:rPr>
                    <w:t>-10</w:t>
                  </w:r>
                  <w:r>
                    <w:rPr>
                      <w:rFonts w:hint="eastAsia"/>
                      <w:color w:val="auto"/>
                      <w:sz w:val="18"/>
                      <w:szCs w:val="18"/>
                      <w:highlight w:val="none"/>
                      <w:lang w:eastAsia="zh-CN"/>
                    </w:rPr>
                    <w:t>cm/s。沉淀池进行一般防渗处理，其防渗技术要求可满足等效黏土防渗层Mb≥1.5m，K≤1×1</w:t>
                  </w:r>
                  <w:r>
                    <w:rPr>
                      <w:rFonts w:hint="eastAsia"/>
                      <w:color w:val="auto"/>
                      <w:sz w:val="18"/>
                      <w:szCs w:val="18"/>
                      <w:highlight w:val="none"/>
                      <w:vertAlign w:val="superscript"/>
                      <w:lang w:eastAsia="zh-CN"/>
                    </w:rPr>
                    <w:t>0-7</w:t>
                  </w:r>
                  <w:r>
                    <w:rPr>
                      <w:rFonts w:hint="eastAsia"/>
                      <w:color w:val="auto"/>
                      <w:sz w:val="18"/>
                      <w:szCs w:val="18"/>
                      <w:highlight w:val="none"/>
                      <w:lang w:eastAsia="zh-CN"/>
                    </w:rPr>
                    <w:t>cm/s的要求。</w:t>
                  </w:r>
                  <w:r>
                    <w:rPr>
                      <w:rFonts w:hint="eastAsia"/>
                      <w:color w:val="auto"/>
                      <w:sz w:val="18"/>
                      <w:szCs w:val="18"/>
                      <w:highlight w:val="none"/>
                      <w:lang w:val="en-US" w:eastAsia="zh-CN"/>
                    </w:rPr>
                    <w:t>其余场地及道路进行一般地面硬化，简单防渗处理。</w:t>
                  </w:r>
                </w:p>
                <w:p w14:paraId="273DEFC0">
                  <w:pPr>
                    <w:pStyle w:val="34"/>
                    <w:bidi w:val="0"/>
                    <w:ind w:firstLine="0" w:firstLineChars="0"/>
                    <w:rPr>
                      <w:rFonts w:hint="default"/>
                      <w:color w:val="auto"/>
                      <w:sz w:val="18"/>
                      <w:szCs w:val="18"/>
                      <w:highlight w:val="none"/>
                    </w:rPr>
                  </w:pPr>
                  <w:r>
                    <w:rPr>
                      <w:color w:val="auto"/>
                      <w:sz w:val="18"/>
                      <w:szCs w:val="18"/>
                      <w:highlight w:val="none"/>
                    </w:rPr>
                    <w:t>因此，本项目符合管控要求。</w:t>
                  </w:r>
                </w:p>
              </w:tc>
            </w:tr>
          </w:tbl>
          <w:p w14:paraId="55F3862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157" w:beforeLines="50" w:beforeAutospacing="0" w:after="0" w:afterAutospacing="0" w:line="360" w:lineRule="auto"/>
              <w:ind w:leftChars="200" w:right="0" w:rightChars="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“一说明”</w:t>
            </w:r>
          </w:p>
          <w:p w14:paraId="206E0A7E">
            <w:pPr>
              <w:pStyle w:val="31"/>
              <w:bidi w:val="0"/>
              <w:rPr>
                <w:color w:val="auto"/>
                <w:highlight w:val="none"/>
              </w:rPr>
            </w:pPr>
            <w:r>
              <w:rPr>
                <w:color w:val="auto"/>
                <w:highlight w:val="none"/>
              </w:rPr>
              <w:t>本项目位于</w:t>
            </w:r>
            <w:r>
              <w:rPr>
                <w:rFonts w:hint="eastAsia"/>
                <w:color w:val="auto"/>
                <w:highlight w:val="none"/>
                <w:lang w:eastAsia="zh-CN"/>
              </w:rPr>
              <w:t>黑龙江省双鸭山市四方台区三江农资东侧</w:t>
            </w:r>
            <w:r>
              <w:rPr>
                <w:color w:val="auto"/>
                <w:highlight w:val="none"/>
              </w:rPr>
              <w:t>，根据黑龙江省生态环境分区管控数据应用平台所出具的《</w:t>
            </w:r>
            <w:r>
              <w:rPr>
                <w:rFonts w:hint="eastAsia"/>
                <w:color w:val="auto"/>
                <w:highlight w:val="none"/>
                <w:lang w:eastAsia="zh-CN"/>
              </w:rPr>
              <w:t>双鸭山集宏商品混凝土制造有限公司建设项目</w:t>
            </w:r>
            <w:r>
              <w:rPr>
                <w:color w:val="auto"/>
                <w:highlight w:val="none"/>
              </w:rPr>
              <w:t>生态环境分区管控分析报告》和《自然资源部办公厅关于依据“三区三线”划定成果报批建设项目用地用海有关事宜的函》（自然资办函〔2022〕2072号），项目选址不在</w:t>
            </w:r>
            <w:r>
              <w:rPr>
                <w:rFonts w:hint="eastAsia"/>
                <w:color w:val="auto"/>
                <w:highlight w:val="none"/>
              </w:rPr>
              <w:t>双鸭山市</w:t>
            </w:r>
            <w:r>
              <w:rPr>
                <w:color w:val="auto"/>
                <w:highlight w:val="none"/>
              </w:rPr>
              <w:t>生态空间划定的生态保护红线内，在</w:t>
            </w:r>
            <w:r>
              <w:rPr>
                <w:rFonts w:hint="eastAsia"/>
                <w:color w:val="auto"/>
                <w:highlight w:val="none"/>
                <w:lang w:val="en-US" w:eastAsia="zh-CN"/>
              </w:rPr>
              <w:t>四方台区大气环境布局敏感重点管控区</w:t>
            </w:r>
            <w:r>
              <w:rPr>
                <w:color w:val="auto"/>
                <w:highlight w:val="none"/>
              </w:rPr>
              <w:t>重点管控单元，本项目建设不涉及生态保护红线，本项目加强环境管理水平，减少污染物的排放，本项目不侵占生态保护红线-水源涵养功能极重要区、生物多样性维护功能极重要区、建设用地污染风险管控区内。项目选址符合“三线一单”中生态保护红线的相关要求。</w:t>
            </w:r>
          </w:p>
          <w:p w14:paraId="1FC86C2E">
            <w:pPr>
              <w:pStyle w:val="31"/>
              <w:bidi w:val="0"/>
              <w:rPr>
                <w:color w:val="auto"/>
                <w:highlight w:val="none"/>
              </w:rPr>
            </w:pPr>
            <w:r>
              <w:rPr>
                <w:color w:val="auto"/>
                <w:highlight w:val="none"/>
              </w:rPr>
              <w:t>本项目运营期针对各类污染物均采取了有效的防治措施确保达标排放，对周围环境影响较小，不会改变项目所在地周边环境的环境功能质量现状，符合环境质量控制底线要求。</w:t>
            </w:r>
          </w:p>
          <w:p w14:paraId="46EDCB01">
            <w:pPr>
              <w:pStyle w:val="31"/>
              <w:bidi w:val="0"/>
              <w:rPr>
                <w:color w:val="auto"/>
                <w:highlight w:val="none"/>
              </w:rPr>
            </w:pPr>
            <w:r>
              <w:rPr>
                <w:rFonts w:hint="eastAsia"/>
                <w:color w:val="auto"/>
                <w:highlight w:val="none"/>
                <w:lang w:val="en-US" w:eastAsia="zh-CN"/>
              </w:rPr>
              <w:t>本项目生产用水和生活用水来自厂区现有水井。初期雨水回用于厂区降尘用水。</w:t>
            </w:r>
            <w:r>
              <w:rPr>
                <w:color w:val="auto"/>
                <w:highlight w:val="none"/>
              </w:rPr>
              <w:t>供电由</w:t>
            </w:r>
            <w:r>
              <w:rPr>
                <w:rFonts w:hint="eastAsia"/>
                <w:color w:val="auto"/>
                <w:highlight w:val="none"/>
              </w:rPr>
              <w:t>当地供电所</w:t>
            </w:r>
            <w:r>
              <w:rPr>
                <w:color w:val="auto"/>
                <w:highlight w:val="none"/>
              </w:rPr>
              <w:t>供给。用水水源及供电电源可靠，本项目资源消耗量相对于区域资源利用总量较小，符合资源利用上线要求。</w:t>
            </w:r>
          </w:p>
          <w:p w14:paraId="1DB731CE">
            <w:pPr>
              <w:pStyle w:val="31"/>
              <w:bidi w:val="0"/>
              <w:rPr>
                <w:rFonts w:hint="default"/>
                <w:color w:val="auto"/>
                <w:highlight w:val="none"/>
                <w:lang w:val="en-US" w:eastAsia="zh-CN"/>
              </w:rPr>
            </w:pPr>
            <w:r>
              <w:rPr>
                <w:rFonts w:hint="eastAsia"/>
                <w:color w:val="auto"/>
                <w:highlight w:val="none"/>
                <w:lang w:val="en-US" w:eastAsia="zh-CN"/>
              </w:rPr>
              <w:t>综上，本项目符合生态环境分区管控要求。</w:t>
            </w:r>
          </w:p>
          <w:p w14:paraId="7BC86EC0">
            <w:pPr>
              <w:pStyle w:val="31"/>
              <w:bidi w:val="0"/>
              <w:rPr>
                <w:rFonts w:hint="eastAsia"/>
                <w:b/>
                <w:bCs/>
                <w:color w:val="auto"/>
                <w:highlight w:val="none"/>
              </w:rPr>
            </w:pPr>
            <w:r>
              <w:rPr>
                <w:rFonts w:hint="eastAsia"/>
                <w:b/>
                <w:bCs/>
                <w:color w:val="auto"/>
                <w:highlight w:val="none"/>
              </w:rPr>
              <w:t>三、与《黑龙江省大气污染防治条例》的符合性分析</w:t>
            </w:r>
          </w:p>
          <w:p w14:paraId="77161D10">
            <w:pPr>
              <w:pStyle w:val="14"/>
              <w:bidi w:val="0"/>
              <w:rPr>
                <w:rFonts w:hint="eastAsia"/>
                <w:color w:val="auto"/>
                <w:highlight w:val="none"/>
              </w:rPr>
            </w:pPr>
            <w:r>
              <w:rPr>
                <w:rFonts w:hint="eastAsia"/>
                <w:color w:val="auto"/>
                <w:highlight w:val="none"/>
              </w:rPr>
              <w:t>根据《黑龙江省大气污染防治条例》第五十四条 各级人民政府应当科学合理扩大绿地、水面、湿地和地面铺装面积，规划、组织建设建筑垃圾和工程渣土处置场，防治扬尘污染。</w:t>
            </w:r>
          </w:p>
          <w:p w14:paraId="6ABA67A1">
            <w:pPr>
              <w:pStyle w:val="14"/>
              <w:bidi w:val="0"/>
              <w:rPr>
                <w:rFonts w:hint="eastAsia"/>
                <w:color w:val="auto"/>
                <w:highlight w:val="none"/>
              </w:rPr>
            </w:pPr>
            <w:r>
              <w:rPr>
                <w:rFonts w:hint="eastAsia"/>
                <w:color w:val="auto"/>
                <w:highlight w:val="none"/>
              </w:rPr>
              <w:t>县级以上有关行政主管部门应当按照下列规定履行扬尘污染防治职责：（一）住房和城乡建设部门负责对房屋建筑、市政基础设施建设等施工工地扬尘污染防治实施监督管理；（二）市容环境卫生行政主管部门负责对城市公共区域道路清扫、园林绿化等领域扬尘污染防治实施监督管理；（三）生态环境主管部门负责对企业物料堆场扬尘污染防治实施监督管理；（四）煤炭管理部门负责对煤炭矿山的扬尘污染防治实施监督管理；（五）应急管理部门负责对非煤矿山扬尘污染防治实施监督管理；（六）县级以上人民政府确定的监督管理部门负责对运输煤炭、垃圾、渣土、砂石、土方、灰浆等散装、流体物料车辆扬尘污染防治实施监督管理。</w:t>
            </w:r>
          </w:p>
          <w:p w14:paraId="2470C789">
            <w:pPr>
              <w:pStyle w:val="14"/>
              <w:bidi w:val="0"/>
              <w:rPr>
                <w:rFonts w:hint="eastAsia"/>
                <w:color w:val="auto"/>
                <w:highlight w:val="none"/>
              </w:rPr>
            </w:pPr>
            <w:r>
              <w:rPr>
                <w:rFonts w:hint="eastAsia"/>
                <w:color w:val="auto"/>
                <w:highlight w:val="none"/>
              </w:rPr>
              <w:t>第五十六条在道路、广场、停车场和其他公共场所进行清扫保洁作业的单位和个人，应当执行清扫保洁作业有关标准，防治扬尘污染。市容环境卫生行政主管部门应当及时巡查，对清扫不达标的，按照有关规定予以处理。运输煤炭、垃圾、渣土、砂石、土方、灰浆等散装、流体物料的车辆，应当采取密闭或者其他措施防止物料遗撒、泄漏，并按照规定的路线和时间行驶。</w:t>
            </w:r>
          </w:p>
          <w:p w14:paraId="47656F69">
            <w:pPr>
              <w:pStyle w:val="31"/>
              <w:bidi w:val="0"/>
              <w:rPr>
                <w:rFonts w:hint="eastAsia"/>
                <w:color w:val="auto"/>
                <w:highlight w:val="none"/>
                <w:lang w:eastAsia="zh-CN"/>
              </w:rPr>
            </w:pPr>
            <w:r>
              <w:rPr>
                <w:rFonts w:hint="eastAsia"/>
                <w:color w:val="auto"/>
                <w:highlight w:val="none"/>
                <w:lang w:eastAsia="zh-CN"/>
              </w:rPr>
              <w:t>本项目石子和砂子通过车辆运输进厂后卸料、贮存在堆场内，堆场内采取苫盖、洒水抑尘等措施，四周布置防风抑尘网；水泥筒仓、粉煤灰筒仓、外加剂罐自带的布袋除尘器，进料粉尘经布袋除尘器处理后通过罐顶通气孔无组织排放；砂、碎石等投料斗上方设置半封闭式罩棚与雾化喷淋装置，水泥、粉煤灰、外加剂等原料的输送、计量、投料等方式均为封闭式，物料计量后通过封闭输送机输送至搅拌站内，混合搅拌工序在密闭的搅拌站内，搅拌机投料口设置集气罩收集产生的颗粒物，经布袋除尘器处理后通过站顶排气口无组织排放；项目运输采取苫盖货车、密闭罐车运输，厂内及时清扫道路并定期洒水降尘，以减少道路扬尘的产生。</w:t>
            </w:r>
          </w:p>
          <w:p w14:paraId="5180C5E6">
            <w:pPr>
              <w:pStyle w:val="14"/>
              <w:bidi w:val="0"/>
              <w:rPr>
                <w:rFonts w:hint="eastAsia"/>
                <w:color w:val="auto"/>
                <w:highlight w:val="none"/>
                <w:lang w:eastAsia="zh-CN"/>
              </w:rPr>
            </w:pPr>
            <w:r>
              <w:rPr>
                <w:rFonts w:hint="eastAsia"/>
                <w:color w:val="auto"/>
                <w:highlight w:val="none"/>
              </w:rPr>
              <w:t>因此，项目建设与《黑龙江省大气污染防治条例》政策相符。</w:t>
            </w:r>
          </w:p>
          <w:p w14:paraId="1551B032">
            <w:pPr>
              <w:pStyle w:val="14"/>
              <w:bidi w:val="0"/>
              <w:rPr>
                <w:rFonts w:hint="eastAsia"/>
                <w:b/>
                <w:bCs/>
                <w:color w:val="auto"/>
                <w:highlight w:val="none"/>
              </w:rPr>
            </w:pPr>
            <w:r>
              <w:rPr>
                <w:rFonts w:hint="eastAsia"/>
                <w:b/>
                <w:bCs/>
                <w:color w:val="auto"/>
                <w:highlight w:val="none"/>
                <w:lang w:val="en-US" w:eastAsia="zh-CN"/>
              </w:rPr>
              <w:t>四</w:t>
            </w:r>
            <w:r>
              <w:rPr>
                <w:rFonts w:hint="eastAsia"/>
                <w:b/>
                <w:bCs/>
                <w:color w:val="auto"/>
                <w:highlight w:val="none"/>
              </w:rPr>
              <w:t>、与《关于“十四五”大宗固体废弃物综合利用的指导意见》（发改环资〔2021〕381号）的符合性分析</w:t>
            </w:r>
          </w:p>
          <w:p w14:paraId="21A0ED59">
            <w:pPr>
              <w:pStyle w:val="14"/>
              <w:bidi w:val="0"/>
              <w:rPr>
                <w:rFonts w:hint="eastAsia"/>
                <w:color w:val="auto"/>
                <w:highlight w:val="none"/>
              </w:rPr>
            </w:pPr>
            <w:r>
              <w:rPr>
                <w:rFonts w:hint="eastAsia"/>
                <w:color w:val="auto"/>
                <w:highlight w:val="none"/>
              </w:rPr>
              <w:t>《关于“十四五”大宗固体废弃物综合利用的指导意见》（发改环资〔2021〕381号）中要求：三、提高大宗固废资源利用效率（六）煤矸石和粉煤灰。持续提高煤矸石和粉煤灰综合利用水平，推进煤矸石和粉煤灰在工程建设、塌陷区治理、矿井充填以及盐碱地、沙漠化土地生态修复等领域的利用，有序引导利用煤矸石、粉煤灰生产新型墙体材料、装饰装修材料等绿色建材，在风险可控前提下深入推动农业领域应用和有价组分提取，加强大掺量和高附加值产品应用推广。</w:t>
            </w:r>
          </w:p>
          <w:p w14:paraId="7C93E113">
            <w:pPr>
              <w:pStyle w:val="14"/>
              <w:bidi w:val="0"/>
              <w:rPr>
                <w:rFonts w:hint="eastAsia"/>
                <w:color w:val="auto"/>
                <w:highlight w:val="none"/>
              </w:rPr>
            </w:pPr>
            <w:r>
              <w:rPr>
                <w:rFonts w:hint="eastAsia"/>
                <w:color w:val="auto"/>
                <w:highlight w:val="none"/>
              </w:rPr>
              <w:t>本项目</w:t>
            </w:r>
            <w:r>
              <w:rPr>
                <w:rFonts w:hint="eastAsia"/>
                <w:color w:val="auto"/>
                <w:highlight w:val="none"/>
                <w:lang w:eastAsia="zh-CN"/>
              </w:rPr>
              <w:t>水泥筒仓、粉煤灰筒仓、外加剂罐、搅拌机布袋除尘器收尘作为原料回用于生产</w:t>
            </w:r>
            <w:r>
              <w:rPr>
                <w:rFonts w:hint="eastAsia"/>
                <w:color w:val="auto"/>
                <w:highlight w:val="none"/>
              </w:rPr>
              <w:t>，提高资源利用率。符合《关于“十四五”大宗固体废弃物综合利用的指导意见》（发改环资〔2021〕381号）要求。</w:t>
            </w:r>
          </w:p>
          <w:p w14:paraId="04A9C83B">
            <w:pPr>
              <w:pStyle w:val="14"/>
              <w:bidi w:val="0"/>
              <w:rPr>
                <w:b/>
                <w:bCs/>
                <w:color w:val="auto"/>
                <w:highlight w:val="none"/>
              </w:rPr>
            </w:pPr>
            <w:r>
              <w:rPr>
                <w:rFonts w:hint="eastAsia"/>
                <w:b/>
                <w:bCs/>
                <w:color w:val="auto"/>
                <w:highlight w:val="none"/>
                <w:lang w:val="en-US" w:eastAsia="zh-CN"/>
              </w:rPr>
              <w:t>五</w:t>
            </w:r>
            <w:r>
              <w:rPr>
                <w:rFonts w:hint="eastAsia"/>
                <w:b/>
                <w:bCs/>
                <w:color w:val="auto"/>
                <w:highlight w:val="none"/>
              </w:rPr>
              <w:t>、与《黑龙江省</w:t>
            </w:r>
            <w:r>
              <w:rPr>
                <w:b/>
                <w:bCs/>
                <w:color w:val="auto"/>
                <w:highlight w:val="none"/>
              </w:rPr>
              <w:t>“</w:t>
            </w:r>
            <w:r>
              <w:rPr>
                <w:rFonts w:hint="eastAsia"/>
                <w:b/>
                <w:bCs/>
                <w:color w:val="auto"/>
                <w:highlight w:val="none"/>
              </w:rPr>
              <w:t>十四五</w:t>
            </w:r>
            <w:r>
              <w:rPr>
                <w:b/>
                <w:bCs/>
                <w:color w:val="auto"/>
                <w:highlight w:val="none"/>
              </w:rPr>
              <w:t>”</w:t>
            </w:r>
            <w:r>
              <w:rPr>
                <w:rFonts w:hint="eastAsia"/>
                <w:b/>
                <w:bCs/>
                <w:color w:val="auto"/>
                <w:highlight w:val="none"/>
              </w:rPr>
              <w:t>生态环境保护规划》的符合性分析</w:t>
            </w:r>
          </w:p>
          <w:p w14:paraId="090D059B">
            <w:pPr>
              <w:pStyle w:val="14"/>
              <w:bidi w:val="0"/>
              <w:rPr>
                <w:rFonts w:hint="eastAsia"/>
                <w:color w:val="auto"/>
                <w:highlight w:val="none"/>
              </w:rPr>
            </w:pPr>
            <w:r>
              <w:rPr>
                <w:rFonts w:hint="eastAsia"/>
                <w:color w:val="auto"/>
                <w:highlight w:val="none"/>
              </w:rPr>
              <w:t>《黑龙江省</w:t>
            </w:r>
            <w:r>
              <w:rPr>
                <w:color w:val="auto"/>
                <w:highlight w:val="none"/>
              </w:rPr>
              <w:t>“</w:t>
            </w:r>
            <w:r>
              <w:rPr>
                <w:rFonts w:hint="eastAsia"/>
                <w:color w:val="auto"/>
                <w:highlight w:val="none"/>
              </w:rPr>
              <w:t>十四五</w:t>
            </w:r>
            <w:r>
              <w:rPr>
                <w:color w:val="auto"/>
                <w:highlight w:val="none"/>
              </w:rPr>
              <w:t>”</w:t>
            </w:r>
            <w:r>
              <w:rPr>
                <w:rFonts w:hint="eastAsia"/>
                <w:color w:val="auto"/>
                <w:highlight w:val="none"/>
              </w:rPr>
              <w:t>生态环境保护规划》中要求：</w:t>
            </w:r>
            <w:r>
              <w:rPr>
                <w:color w:val="auto"/>
                <w:highlight w:val="none"/>
              </w:rPr>
              <w:t>3.</w:t>
            </w:r>
            <w:r>
              <w:rPr>
                <w:rFonts w:hint="eastAsia"/>
                <w:color w:val="auto"/>
                <w:highlight w:val="none"/>
              </w:rPr>
              <w:t>构建清洁低碳能源体系。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优化电力生产和输送通道布局，提高能源输配效率。优化风电、光伏发电布局。优先发展新能源产业，推进核能供暖示范，探索可再生能源制氢，开展绿色氢能利用。实施终端用能清洁化替代。重点削减小型燃煤锅炉、民用散煤与农业用煤消费量，降低煤炭在终端分散利用比例，对以煤、石焦油、渣油、重油等为燃料的锅炉和工业炉窑，加快使用清洁低碳能源以及工厂余热、电力热力等进行替代。深入实施“气化龙江”战略，率先在双鸭山市、齐齐哈尔市、大庆市、黑河市等城市以及工业园区推广应用分布式天然气供暖，重点将哈尔滨新区打造成天然气应用示范区。加快推进齐齐哈尔市、大庆市可再生能源综合应用示范区建设和四煤城新能源项目建设。到</w:t>
            </w:r>
            <w:r>
              <w:rPr>
                <w:color w:val="auto"/>
                <w:highlight w:val="none"/>
              </w:rPr>
              <w:t>2025</w:t>
            </w:r>
            <w:r>
              <w:rPr>
                <w:rFonts w:hint="eastAsia"/>
                <w:color w:val="auto"/>
                <w:highlight w:val="none"/>
              </w:rPr>
              <w:t>年，全省清洁取暖率提高到</w:t>
            </w:r>
            <w:r>
              <w:rPr>
                <w:color w:val="auto"/>
                <w:highlight w:val="none"/>
              </w:rPr>
              <w:t>75%</w:t>
            </w:r>
            <w:r>
              <w:rPr>
                <w:rFonts w:hint="eastAsia"/>
                <w:color w:val="auto"/>
                <w:highlight w:val="none"/>
              </w:rPr>
              <w:t>以上。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w:t>
            </w:r>
          </w:p>
          <w:p w14:paraId="4D6E61FC">
            <w:pPr>
              <w:pStyle w:val="31"/>
              <w:bidi w:val="0"/>
              <w:rPr>
                <w:rFonts w:hint="eastAsia"/>
                <w:color w:val="auto"/>
                <w:highlight w:val="none"/>
                <w:lang w:eastAsia="zh-CN"/>
              </w:rPr>
            </w:pPr>
            <w:r>
              <w:rPr>
                <w:rFonts w:hint="eastAsia"/>
                <w:color w:val="auto"/>
                <w:highlight w:val="none"/>
              </w:rPr>
              <w:t>本项目不新建锅炉，不涉及燃料燃烧产污。</w:t>
            </w:r>
            <w:r>
              <w:rPr>
                <w:rFonts w:hint="eastAsia"/>
                <w:color w:val="auto"/>
                <w:highlight w:val="none"/>
                <w:lang w:eastAsia="zh-CN"/>
              </w:rPr>
              <w:t>本项目石子和砂子通过车辆运输进厂后卸料、贮存在堆场内，堆场内采取苫盖、洒水抑尘等措施，四周布置防风抑尘网；水泥筒仓、粉煤灰筒仓、外加剂罐自带的布袋除尘器，进料粉尘经布袋除尘器处理后通过罐顶通气孔无组织排放；砂、碎石等投料斗上方设置半封闭式罩棚与雾化喷淋装置，水泥、粉煤灰、外加剂等原料的输送、计量、投料等方式均为封闭式，物料计量后通过封闭输送机输送至搅拌站内，混合搅拌工序在密闭的搅拌站内，搅拌机投料口设置集气罩收集产生的颗粒物，经布袋除尘器处理后通过站顶排气口无组织排放；项目运输采取苫盖货车、密闭罐车运输，厂内及时清扫道路并定期洒水降尘，以减少道路扬尘的产生。</w:t>
            </w:r>
          </w:p>
          <w:p w14:paraId="4660C7D7">
            <w:pPr>
              <w:pStyle w:val="14"/>
              <w:bidi w:val="0"/>
              <w:rPr>
                <w:color w:val="auto"/>
                <w:highlight w:val="none"/>
              </w:rPr>
            </w:pPr>
            <w:r>
              <w:rPr>
                <w:rFonts w:hint="eastAsia"/>
                <w:color w:val="auto"/>
                <w:highlight w:val="none"/>
              </w:rPr>
              <w:t>因此，本项目符合《黑龙江省</w:t>
            </w:r>
            <w:r>
              <w:rPr>
                <w:color w:val="auto"/>
                <w:highlight w:val="none"/>
              </w:rPr>
              <w:t>“</w:t>
            </w:r>
            <w:r>
              <w:rPr>
                <w:rFonts w:hint="eastAsia"/>
                <w:color w:val="auto"/>
                <w:highlight w:val="none"/>
              </w:rPr>
              <w:t>十四五</w:t>
            </w:r>
            <w:r>
              <w:rPr>
                <w:color w:val="auto"/>
                <w:highlight w:val="none"/>
              </w:rPr>
              <w:t>”</w:t>
            </w:r>
            <w:r>
              <w:rPr>
                <w:rFonts w:hint="eastAsia"/>
                <w:color w:val="auto"/>
                <w:highlight w:val="none"/>
              </w:rPr>
              <w:t>生态环境保护规划》要求。</w:t>
            </w:r>
          </w:p>
          <w:p w14:paraId="3C71BD4D">
            <w:pPr>
              <w:pStyle w:val="14"/>
              <w:bidi w:val="0"/>
              <w:rPr>
                <w:rFonts w:hint="eastAsia"/>
                <w:b/>
                <w:bCs/>
                <w:color w:val="auto"/>
                <w:highlight w:val="none"/>
              </w:rPr>
            </w:pPr>
            <w:r>
              <w:rPr>
                <w:rFonts w:hint="eastAsia"/>
                <w:b/>
                <w:bCs/>
                <w:color w:val="auto"/>
                <w:highlight w:val="none"/>
                <w:lang w:val="en-US" w:eastAsia="zh-CN"/>
              </w:rPr>
              <w:t>六、</w:t>
            </w:r>
            <w:r>
              <w:rPr>
                <w:rFonts w:hint="eastAsia"/>
                <w:b/>
                <w:bCs/>
                <w:color w:val="auto"/>
                <w:highlight w:val="none"/>
              </w:rPr>
              <w:t>与双鸭山市生态环境局关于印发《双鸭山市扬尘源专项整治工作方案》的通知（双环发〔2020〕17号）的符合性分析</w:t>
            </w:r>
          </w:p>
          <w:p w14:paraId="69F2B97E">
            <w:pPr>
              <w:pStyle w:val="14"/>
              <w:bidi w:val="0"/>
              <w:rPr>
                <w:rFonts w:hint="default" w:eastAsia="宋体"/>
                <w:color w:val="auto"/>
                <w:highlight w:val="none"/>
                <w:lang w:val="en-US" w:eastAsia="zh-CN"/>
              </w:rPr>
            </w:pPr>
            <w:r>
              <w:rPr>
                <w:rFonts w:hint="eastAsia"/>
                <w:color w:val="auto"/>
                <w:highlight w:val="none"/>
              </w:rPr>
              <w:t>根据双鸭山市生态环境局关于印发《双鸭山市扬尘源专项整治工作方案》的通知（双环发〔2020〕17号）中</w:t>
            </w:r>
            <w:r>
              <w:rPr>
                <w:rFonts w:hint="eastAsia"/>
                <w:color w:val="auto"/>
                <w:highlight w:val="none"/>
                <w:lang w:eastAsia="zh-CN"/>
              </w:rPr>
              <w:t>，</w:t>
            </w:r>
            <w:r>
              <w:rPr>
                <w:rFonts w:hint="eastAsia"/>
                <w:color w:val="auto"/>
                <w:highlight w:val="none"/>
              </w:rPr>
              <w:t>附件3要求各行业扬尘污染控制要求</w:t>
            </w:r>
            <w:r>
              <w:rPr>
                <w:rFonts w:hint="eastAsia"/>
                <w:color w:val="auto"/>
                <w:highlight w:val="none"/>
                <w:lang w:eastAsia="zh-CN"/>
              </w:rPr>
              <w:t>，</w:t>
            </w:r>
            <w:r>
              <w:rPr>
                <w:rFonts w:hint="eastAsia"/>
                <w:color w:val="auto"/>
                <w:highlight w:val="none"/>
                <w:lang w:val="en-US" w:eastAsia="zh-CN"/>
              </w:rPr>
              <w:t>符合性分析如下</w:t>
            </w:r>
          </w:p>
          <w:p w14:paraId="03EE60F0">
            <w:pPr>
              <w:pStyle w:val="36"/>
              <w:bidi w:val="0"/>
              <w:rPr>
                <w:rFonts w:hint="default"/>
                <w:color w:val="auto"/>
                <w:highlight w:val="none"/>
                <w:lang w:val="en-US"/>
              </w:rPr>
            </w:pPr>
            <w:r>
              <w:rPr>
                <w:rFonts w:hint="eastAsia"/>
                <w:color w:val="auto"/>
                <w:highlight w:val="none"/>
                <w:lang w:val="en-US" w:eastAsia="zh-CN"/>
              </w:rPr>
              <w:t>表1-3项目与</w:t>
            </w:r>
            <w:r>
              <w:rPr>
                <w:rFonts w:hint="eastAsia"/>
                <w:color w:val="auto"/>
                <w:highlight w:val="none"/>
              </w:rPr>
              <w:t>《双鸭山市扬尘源专项整治工作方案》符合性分析</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3"/>
              <w:gridCol w:w="967"/>
              <w:gridCol w:w="4185"/>
              <w:gridCol w:w="1527"/>
            </w:tblGrid>
            <w:tr w14:paraId="57A806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dxa"/>
                  <w:tcBorders>
                    <w:tl2br w:val="nil"/>
                    <w:tr2bl w:val="nil"/>
                  </w:tcBorders>
                  <w:noWrap w:val="0"/>
                  <w:vAlign w:val="center"/>
                </w:tcPr>
                <w:p w14:paraId="7BB98F45">
                  <w:pPr>
                    <w:pStyle w:val="34"/>
                    <w:bidi w:val="0"/>
                    <w:rPr>
                      <w:rFonts w:hint="default"/>
                      <w:color w:val="auto"/>
                      <w:highlight w:val="none"/>
                    </w:rPr>
                  </w:pPr>
                  <w:r>
                    <w:rPr>
                      <w:rFonts w:hint="default"/>
                      <w:color w:val="auto"/>
                      <w:highlight w:val="none"/>
                    </w:rPr>
                    <w:t>序号</w:t>
                  </w:r>
                </w:p>
              </w:tc>
              <w:tc>
                <w:tcPr>
                  <w:tcW w:w="967" w:type="dxa"/>
                  <w:tcBorders>
                    <w:tl2br w:val="nil"/>
                    <w:tr2bl w:val="nil"/>
                  </w:tcBorders>
                  <w:noWrap w:val="0"/>
                  <w:vAlign w:val="center"/>
                </w:tcPr>
                <w:p w14:paraId="4EB77D6F">
                  <w:pPr>
                    <w:pStyle w:val="34"/>
                    <w:bidi w:val="0"/>
                    <w:rPr>
                      <w:rFonts w:hint="default"/>
                      <w:color w:val="auto"/>
                      <w:highlight w:val="none"/>
                    </w:rPr>
                  </w:pPr>
                  <w:r>
                    <w:rPr>
                      <w:rFonts w:hint="default"/>
                      <w:color w:val="auto"/>
                      <w:highlight w:val="none"/>
                    </w:rPr>
                    <w:t>主要生产单元</w:t>
                  </w:r>
                </w:p>
              </w:tc>
              <w:tc>
                <w:tcPr>
                  <w:tcW w:w="4185" w:type="dxa"/>
                  <w:tcBorders>
                    <w:tl2br w:val="nil"/>
                    <w:tr2bl w:val="nil"/>
                  </w:tcBorders>
                  <w:noWrap w:val="0"/>
                  <w:vAlign w:val="center"/>
                </w:tcPr>
                <w:p w14:paraId="06A2B9DA">
                  <w:pPr>
                    <w:pStyle w:val="34"/>
                    <w:bidi w:val="0"/>
                    <w:rPr>
                      <w:rFonts w:hint="default"/>
                      <w:color w:val="auto"/>
                      <w:highlight w:val="none"/>
                    </w:rPr>
                  </w:pPr>
                  <w:r>
                    <w:rPr>
                      <w:rFonts w:hint="default"/>
                      <w:color w:val="auto"/>
                      <w:highlight w:val="none"/>
                    </w:rPr>
                    <w:t>扬尘污染控制要求</w:t>
                  </w:r>
                </w:p>
              </w:tc>
              <w:tc>
                <w:tcPr>
                  <w:tcW w:w="1527" w:type="dxa"/>
                  <w:tcBorders>
                    <w:tl2br w:val="nil"/>
                    <w:tr2bl w:val="nil"/>
                  </w:tcBorders>
                  <w:noWrap w:val="0"/>
                  <w:vAlign w:val="center"/>
                </w:tcPr>
                <w:p w14:paraId="4F6D53E0">
                  <w:pPr>
                    <w:pStyle w:val="34"/>
                    <w:bidi w:val="0"/>
                    <w:rPr>
                      <w:rFonts w:hint="eastAsia" w:eastAsia="宋体"/>
                      <w:color w:val="auto"/>
                      <w:highlight w:val="none"/>
                      <w:lang w:val="en-US" w:eastAsia="zh-CN"/>
                    </w:rPr>
                  </w:pPr>
                  <w:r>
                    <w:rPr>
                      <w:rFonts w:hint="eastAsia"/>
                      <w:color w:val="auto"/>
                      <w:highlight w:val="none"/>
                      <w:lang w:val="en-US" w:eastAsia="zh-CN"/>
                    </w:rPr>
                    <w:t>符合性分析</w:t>
                  </w:r>
                </w:p>
              </w:tc>
            </w:tr>
            <w:tr w14:paraId="3236CF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dxa"/>
                  <w:tcBorders>
                    <w:tl2br w:val="nil"/>
                    <w:tr2bl w:val="nil"/>
                  </w:tcBorders>
                  <w:noWrap w:val="0"/>
                  <w:vAlign w:val="center"/>
                </w:tcPr>
                <w:p w14:paraId="35264D45">
                  <w:pPr>
                    <w:pStyle w:val="34"/>
                    <w:bidi w:val="0"/>
                    <w:rPr>
                      <w:rFonts w:hint="default"/>
                      <w:color w:val="auto"/>
                      <w:highlight w:val="none"/>
                      <w:lang w:val="en-US" w:eastAsia="zh-CN"/>
                    </w:rPr>
                  </w:pPr>
                  <w:r>
                    <w:rPr>
                      <w:rFonts w:hint="default"/>
                      <w:color w:val="auto"/>
                      <w:highlight w:val="none"/>
                      <w:lang w:val="en-US" w:eastAsia="zh-CN"/>
                    </w:rPr>
                    <w:t>1</w:t>
                  </w:r>
                </w:p>
              </w:tc>
              <w:tc>
                <w:tcPr>
                  <w:tcW w:w="967" w:type="dxa"/>
                  <w:tcBorders>
                    <w:tl2br w:val="nil"/>
                    <w:tr2bl w:val="nil"/>
                  </w:tcBorders>
                  <w:noWrap w:val="0"/>
                  <w:vAlign w:val="center"/>
                </w:tcPr>
                <w:p w14:paraId="64C8C524">
                  <w:pPr>
                    <w:pStyle w:val="34"/>
                    <w:bidi w:val="0"/>
                    <w:rPr>
                      <w:rFonts w:hint="default"/>
                      <w:color w:val="auto"/>
                      <w:highlight w:val="none"/>
                    </w:rPr>
                  </w:pPr>
                  <w:r>
                    <w:rPr>
                      <w:rFonts w:hint="default"/>
                      <w:color w:val="auto"/>
                      <w:highlight w:val="none"/>
                    </w:rPr>
                    <w:t>物料运输</w:t>
                  </w:r>
                </w:p>
              </w:tc>
              <w:tc>
                <w:tcPr>
                  <w:tcW w:w="4185" w:type="dxa"/>
                  <w:tcBorders>
                    <w:tl2br w:val="nil"/>
                    <w:tr2bl w:val="nil"/>
                  </w:tcBorders>
                  <w:noWrap w:val="0"/>
                  <w:vAlign w:val="center"/>
                </w:tcPr>
                <w:p w14:paraId="5674C6BA">
                  <w:pPr>
                    <w:pStyle w:val="47"/>
                    <w:bidi w:val="0"/>
                    <w:rPr>
                      <w:rFonts w:hint="default"/>
                      <w:color w:val="auto"/>
                      <w:highlight w:val="none"/>
                    </w:rPr>
                  </w:pPr>
                  <w:r>
                    <w:rPr>
                      <w:rFonts w:hint="eastAsia"/>
                      <w:color w:val="auto"/>
                      <w:highlight w:val="none"/>
                      <w:lang w:eastAsia="zh-CN"/>
                    </w:rPr>
                    <w:t>（</w:t>
                  </w:r>
                  <w:r>
                    <w:rPr>
                      <w:rFonts w:hint="default"/>
                      <w:color w:val="auto"/>
                      <w:highlight w:val="none"/>
                    </w:rPr>
                    <w:t>1</w:t>
                  </w:r>
                  <w:r>
                    <w:rPr>
                      <w:rFonts w:hint="eastAsia"/>
                      <w:color w:val="auto"/>
                      <w:highlight w:val="none"/>
                      <w:lang w:eastAsia="zh-CN"/>
                    </w:rPr>
                    <w:t>）</w:t>
                  </w:r>
                  <w:r>
                    <w:rPr>
                      <w:rFonts w:hint="default"/>
                      <w:color w:val="auto"/>
                      <w:highlight w:val="none"/>
                    </w:rPr>
                    <w:t>运输散装粉状物料应采用密闭车厢或罐车；</w:t>
                  </w:r>
                </w:p>
                <w:p w14:paraId="3AF18653">
                  <w:pPr>
                    <w:pStyle w:val="47"/>
                    <w:bidi w:val="0"/>
                    <w:rPr>
                      <w:rFonts w:hint="default"/>
                      <w:color w:val="auto"/>
                      <w:highlight w:val="none"/>
                    </w:rPr>
                  </w:pPr>
                  <w:r>
                    <w:rPr>
                      <w:rFonts w:hint="eastAsia"/>
                      <w:color w:val="auto"/>
                      <w:highlight w:val="none"/>
                      <w:lang w:eastAsia="zh-CN"/>
                    </w:rPr>
                    <w:t>（</w:t>
                  </w:r>
                  <w:r>
                    <w:rPr>
                      <w:rFonts w:hint="default"/>
                      <w:color w:val="auto"/>
                      <w:highlight w:val="none"/>
                    </w:rPr>
                    <w:t>2</w:t>
                  </w:r>
                  <w:r>
                    <w:rPr>
                      <w:rFonts w:hint="eastAsia"/>
                      <w:color w:val="auto"/>
                      <w:highlight w:val="none"/>
                      <w:lang w:eastAsia="zh-CN"/>
                    </w:rPr>
                    <w:t>）</w:t>
                  </w:r>
                  <w:r>
                    <w:rPr>
                      <w:rFonts w:hint="default"/>
                      <w:color w:val="auto"/>
                      <w:highlight w:val="none"/>
                    </w:rPr>
                    <w:t>运输袋装粉状物料，以及粒状、块状等易散发粉尘的物料应采用密闭车厢，或使用防尘布、防尘物料运输网覆盖物料，捆扎紧密，不得有物料遗撒；</w:t>
                  </w:r>
                </w:p>
                <w:p w14:paraId="1B3C8BCF">
                  <w:pPr>
                    <w:pStyle w:val="47"/>
                    <w:bidi w:val="0"/>
                    <w:rPr>
                      <w:rFonts w:hint="default"/>
                      <w:color w:val="auto"/>
                      <w:highlight w:val="none"/>
                    </w:rPr>
                  </w:pPr>
                  <w:r>
                    <w:rPr>
                      <w:rFonts w:hint="eastAsia"/>
                      <w:color w:val="auto"/>
                      <w:highlight w:val="none"/>
                      <w:lang w:eastAsia="zh-CN"/>
                    </w:rPr>
                    <w:t>（</w:t>
                  </w:r>
                  <w:r>
                    <w:rPr>
                      <w:rFonts w:hint="default"/>
                      <w:color w:val="auto"/>
                      <w:highlight w:val="none"/>
                    </w:rPr>
                    <w:t>3</w:t>
                  </w:r>
                  <w:r>
                    <w:rPr>
                      <w:rFonts w:hint="eastAsia"/>
                      <w:color w:val="auto"/>
                      <w:highlight w:val="none"/>
                      <w:lang w:eastAsia="zh-CN"/>
                    </w:rPr>
                    <w:t>）</w:t>
                  </w:r>
                  <w:r>
                    <w:rPr>
                      <w:rFonts w:hint="default"/>
                      <w:color w:val="auto"/>
                      <w:highlight w:val="none"/>
                    </w:rPr>
                    <w:t>厂区道路应硬化，并定期清扫、洒水保持清洁。车辆在驶离煤场、</w:t>
                  </w:r>
                  <w:r>
                    <w:rPr>
                      <w:rFonts w:hint="eastAsia"/>
                      <w:color w:val="auto"/>
                      <w:highlight w:val="none"/>
                      <w:lang w:eastAsia="zh-CN"/>
                    </w:rPr>
                    <w:t>堆场</w:t>
                  </w:r>
                  <w:r>
                    <w:rPr>
                      <w:rFonts w:hint="default"/>
                      <w:color w:val="auto"/>
                      <w:highlight w:val="none"/>
                    </w:rPr>
                    <w:t>、储库、堆棚前应清洗车轮、清洗车身。</w:t>
                  </w:r>
                </w:p>
              </w:tc>
              <w:tc>
                <w:tcPr>
                  <w:tcW w:w="1527" w:type="dxa"/>
                  <w:vMerge w:val="restart"/>
                  <w:tcBorders>
                    <w:tl2br w:val="nil"/>
                    <w:tr2bl w:val="nil"/>
                  </w:tcBorders>
                  <w:noWrap w:val="0"/>
                  <w:vAlign w:val="center"/>
                </w:tcPr>
                <w:p w14:paraId="1241CB32">
                  <w:pPr>
                    <w:pStyle w:val="34"/>
                    <w:bidi w:val="0"/>
                    <w:rPr>
                      <w:rFonts w:hint="eastAsia"/>
                      <w:color w:val="auto"/>
                      <w:highlight w:val="none"/>
                    </w:rPr>
                  </w:pPr>
                  <w:r>
                    <w:rPr>
                      <w:rFonts w:hint="eastAsia"/>
                      <w:color w:val="auto"/>
                      <w:highlight w:val="none"/>
                      <w:lang w:eastAsia="zh-CN"/>
                    </w:rPr>
                    <w:t>本项目石子和砂子通过车辆运输进厂后卸料、贮存在堆场内，堆场内采取苫盖、洒水抑尘等措施，四周布置防风抑尘网；水泥筒仓、粉煤灰筒仓、外加剂罐自带的布袋除尘器，进料粉尘经布袋除尘器处理后通过罐顶通气孔无组织排放；砂、碎石等投料斗上方设置半封闭式罩棚与雾化喷淋装置，水泥、粉煤灰、外加剂等原料的输送、计量、投料等方式均为封闭式，物料计量后通过封闭输送机输送至搅拌站内，混合搅拌工序在密闭的搅拌站内，搅拌机投料口设置集气罩收集产生的颗粒物，经布袋除尘器处理后通过站顶排气口无组织排放；项目运输采取苫盖货车、密闭罐车运输，厂内及时清扫道路并定期洒水降尘，以减少道路扬尘的产生。</w:t>
                  </w:r>
                  <w:r>
                    <w:rPr>
                      <w:rFonts w:hint="eastAsia"/>
                      <w:color w:val="auto"/>
                      <w:highlight w:val="none"/>
                    </w:rPr>
                    <w:t>因此，本项目符合双鸭山市生态环境局关于印发《双鸭山市扬尘源专项整治工作方案》的通知（双环发〔2020〕17号）要求。</w:t>
                  </w:r>
                </w:p>
                <w:p w14:paraId="5CB4B9EB">
                  <w:pPr>
                    <w:pStyle w:val="34"/>
                    <w:bidi w:val="0"/>
                    <w:rPr>
                      <w:rFonts w:hint="default"/>
                      <w:color w:val="auto"/>
                      <w:highlight w:val="none"/>
                    </w:rPr>
                  </w:pPr>
                </w:p>
              </w:tc>
            </w:tr>
            <w:tr w14:paraId="4A0797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dxa"/>
                  <w:tcBorders>
                    <w:tl2br w:val="nil"/>
                    <w:tr2bl w:val="nil"/>
                  </w:tcBorders>
                  <w:noWrap w:val="0"/>
                  <w:vAlign w:val="center"/>
                </w:tcPr>
                <w:p w14:paraId="5781F16B">
                  <w:pPr>
                    <w:pStyle w:val="34"/>
                    <w:bidi w:val="0"/>
                    <w:rPr>
                      <w:rFonts w:hint="default"/>
                      <w:color w:val="auto"/>
                      <w:highlight w:val="none"/>
                      <w:lang w:val="en-US" w:eastAsia="zh-CN"/>
                    </w:rPr>
                  </w:pPr>
                  <w:r>
                    <w:rPr>
                      <w:rFonts w:hint="default"/>
                      <w:color w:val="auto"/>
                      <w:highlight w:val="none"/>
                      <w:lang w:val="en-US" w:eastAsia="zh-CN"/>
                    </w:rPr>
                    <w:t>2</w:t>
                  </w:r>
                </w:p>
              </w:tc>
              <w:tc>
                <w:tcPr>
                  <w:tcW w:w="967" w:type="dxa"/>
                  <w:tcBorders>
                    <w:tl2br w:val="nil"/>
                    <w:tr2bl w:val="nil"/>
                  </w:tcBorders>
                  <w:noWrap w:val="0"/>
                  <w:vAlign w:val="center"/>
                </w:tcPr>
                <w:p w14:paraId="0E0B1538">
                  <w:pPr>
                    <w:pStyle w:val="34"/>
                    <w:bidi w:val="0"/>
                    <w:rPr>
                      <w:rFonts w:hint="default"/>
                      <w:color w:val="auto"/>
                      <w:highlight w:val="none"/>
                    </w:rPr>
                  </w:pPr>
                  <w:r>
                    <w:rPr>
                      <w:rFonts w:hint="default"/>
                      <w:color w:val="auto"/>
                      <w:highlight w:val="none"/>
                    </w:rPr>
                    <w:t>物料装卸</w:t>
                  </w:r>
                </w:p>
              </w:tc>
              <w:tc>
                <w:tcPr>
                  <w:tcW w:w="4185" w:type="dxa"/>
                  <w:tcBorders>
                    <w:tl2br w:val="nil"/>
                    <w:tr2bl w:val="nil"/>
                  </w:tcBorders>
                  <w:noWrap w:val="0"/>
                  <w:vAlign w:val="center"/>
                </w:tcPr>
                <w:p w14:paraId="750DBFFE">
                  <w:pPr>
                    <w:pStyle w:val="47"/>
                    <w:bidi w:val="0"/>
                    <w:rPr>
                      <w:rFonts w:hint="default"/>
                      <w:color w:val="auto"/>
                      <w:highlight w:val="none"/>
                    </w:rPr>
                  </w:pPr>
                  <w:r>
                    <w:rPr>
                      <w:rFonts w:hint="default"/>
                      <w:color w:val="auto"/>
                      <w:highlight w:val="none"/>
                    </w:rPr>
                    <w:t>装卸易散发粉尘的物料应采取以下方式之一</w:t>
                  </w:r>
                </w:p>
                <w:p w14:paraId="78220F68">
                  <w:pPr>
                    <w:pStyle w:val="47"/>
                    <w:bidi w:val="0"/>
                    <w:rPr>
                      <w:rFonts w:hint="default"/>
                      <w:color w:val="auto"/>
                      <w:highlight w:val="none"/>
                    </w:rPr>
                  </w:pPr>
                  <w:r>
                    <w:rPr>
                      <w:rFonts w:hint="eastAsia"/>
                      <w:color w:val="auto"/>
                      <w:highlight w:val="none"/>
                      <w:lang w:eastAsia="zh-CN"/>
                    </w:rPr>
                    <w:t>（</w:t>
                  </w:r>
                  <w:r>
                    <w:rPr>
                      <w:rFonts w:hint="default"/>
                      <w:color w:val="auto"/>
                      <w:highlight w:val="none"/>
                    </w:rPr>
                    <w:t>1</w:t>
                  </w:r>
                  <w:r>
                    <w:rPr>
                      <w:rFonts w:hint="eastAsia"/>
                      <w:color w:val="auto"/>
                      <w:highlight w:val="none"/>
                      <w:lang w:eastAsia="zh-CN"/>
                    </w:rPr>
                    <w:t>）</w:t>
                  </w:r>
                  <w:r>
                    <w:rPr>
                      <w:rFonts w:hint="default"/>
                      <w:color w:val="auto"/>
                      <w:highlight w:val="none"/>
                    </w:rPr>
                    <w:t>密闭操作；</w:t>
                  </w:r>
                </w:p>
                <w:p w14:paraId="0132AE7E">
                  <w:pPr>
                    <w:pStyle w:val="47"/>
                    <w:bidi w:val="0"/>
                    <w:rPr>
                      <w:rFonts w:hint="default"/>
                      <w:color w:val="auto"/>
                      <w:highlight w:val="none"/>
                    </w:rPr>
                  </w:pPr>
                  <w:r>
                    <w:rPr>
                      <w:rFonts w:hint="eastAsia"/>
                      <w:color w:val="auto"/>
                      <w:highlight w:val="none"/>
                      <w:lang w:eastAsia="zh-CN"/>
                    </w:rPr>
                    <w:t>（</w:t>
                  </w:r>
                  <w:r>
                    <w:rPr>
                      <w:rFonts w:hint="default"/>
                      <w:color w:val="auto"/>
                      <w:highlight w:val="none"/>
                    </w:rPr>
                    <w:t>2</w:t>
                  </w:r>
                  <w:r>
                    <w:rPr>
                      <w:rFonts w:hint="eastAsia"/>
                      <w:color w:val="auto"/>
                      <w:highlight w:val="none"/>
                      <w:lang w:eastAsia="zh-CN"/>
                    </w:rPr>
                    <w:t>）</w:t>
                  </w:r>
                  <w:r>
                    <w:rPr>
                      <w:rFonts w:hint="default"/>
                      <w:color w:val="auto"/>
                      <w:highlight w:val="none"/>
                    </w:rPr>
                    <w:t>在封闭式建筑物内进行物料装</w:t>
                  </w:r>
                  <w:r>
                    <w:rPr>
                      <w:rFonts w:hint="eastAsia"/>
                      <w:color w:val="auto"/>
                      <w:highlight w:val="none"/>
                      <w:lang w:val="en-US" w:eastAsia="zh-CN"/>
                    </w:rPr>
                    <w:t>卸</w:t>
                  </w:r>
                  <w:r>
                    <w:rPr>
                      <w:rFonts w:hint="default"/>
                      <w:color w:val="auto"/>
                      <w:highlight w:val="none"/>
                    </w:rPr>
                    <w:t>；</w:t>
                  </w:r>
                </w:p>
                <w:p w14:paraId="5A1AD21B">
                  <w:pPr>
                    <w:pStyle w:val="47"/>
                    <w:bidi w:val="0"/>
                    <w:rPr>
                      <w:rFonts w:hint="default"/>
                      <w:color w:val="auto"/>
                      <w:highlight w:val="none"/>
                    </w:rPr>
                  </w:pPr>
                  <w:r>
                    <w:rPr>
                      <w:rFonts w:hint="eastAsia"/>
                      <w:color w:val="auto"/>
                      <w:highlight w:val="none"/>
                      <w:lang w:eastAsia="zh-CN"/>
                    </w:rPr>
                    <w:t>（</w:t>
                  </w:r>
                  <w:r>
                    <w:rPr>
                      <w:rFonts w:hint="default"/>
                      <w:color w:val="auto"/>
                      <w:highlight w:val="none"/>
                    </w:rPr>
                    <w:t>3</w:t>
                  </w:r>
                  <w:r>
                    <w:rPr>
                      <w:rFonts w:hint="eastAsia"/>
                      <w:color w:val="auto"/>
                      <w:highlight w:val="none"/>
                      <w:lang w:eastAsia="zh-CN"/>
                    </w:rPr>
                    <w:t>）</w:t>
                  </w:r>
                  <w:r>
                    <w:rPr>
                      <w:rFonts w:hint="default"/>
                      <w:color w:val="auto"/>
                      <w:highlight w:val="none"/>
                    </w:rPr>
                    <w:t>在装卸位置采取局部气体收集处理、</w:t>
                  </w:r>
                  <w:r>
                    <w:rPr>
                      <w:rFonts w:hint="eastAsia"/>
                      <w:color w:val="auto"/>
                      <w:highlight w:val="none"/>
                      <w:lang w:eastAsia="zh-CN"/>
                    </w:rPr>
                    <w:t>洒水增湿</w:t>
                  </w:r>
                  <w:r>
                    <w:rPr>
                      <w:rFonts w:hint="default"/>
                      <w:color w:val="auto"/>
                      <w:highlight w:val="none"/>
                    </w:rPr>
                    <w:t>等控制措施。</w:t>
                  </w:r>
                </w:p>
              </w:tc>
              <w:tc>
                <w:tcPr>
                  <w:tcW w:w="1527" w:type="dxa"/>
                  <w:vMerge w:val="continue"/>
                  <w:tcBorders>
                    <w:tl2br w:val="nil"/>
                    <w:tr2bl w:val="nil"/>
                  </w:tcBorders>
                  <w:noWrap w:val="0"/>
                  <w:vAlign w:val="center"/>
                </w:tcPr>
                <w:p w14:paraId="5C81BE5A">
                  <w:pPr>
                    <w:pStyle w:val="34"/>
                    <w:bidi w:val="0"/>
                    <w:rPr>
                      <w:rFonts w:hint="default"/>
                      <w:color w:val="auto"/>
                      <w:highlight w:val="none"/>
                    </w:rPr>
                  </w:pPr>
                </w:p>
              </w:tc>
            </w:tr>
            <w:tr w14:paraId="0FBE5D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dxa"/>
                  <w:tcBorders>
                    <w:tl2br w:val="nil"/>
                    <w:tr2bl w:val="nil"/>
                  </w:tcBorders>
                  <w:noWrap w:val="0"/>
                  <w:vAlign w:val="center"/>
                </w:tcPr>
                <w:p w14:paraId="50714BE2">
                  <w:pPr>
                    <w:pStyle w:val="34"/>
                    <w:bidi w:val="0"/>
                    <w:rPr>
                      <w:rFonts w:hint="default"/>
                      <w:color w:val="auto"/>
                      <w:highlight w:val="none"/>
                      <w:lang w:val="en-US" w:eastAsia="zh-CN"/>
                    </w:rPr>
                  </w:pPr>
                  <w:r>
                    <w:rPr>
                      <w:rFonts w:hint="default"/>
                      <w:color w:val="auto"/>
                      <w:highlight w:val="none"/>
                      <w:lang w:val="en-US" w:eastAsia="zh-CN"/>
                    </w:rPr>
                    <w:t>3</w:t>
                  </w:r>
                </w:p>
              </w:tc>
              <w:tc>
                <w:tcPr>
                  <w:tcW w:w="967" w:type="dxa"/>
                  <w:tcBorders>
                    <w:tl2br w:val="nil"/>
                    <w:tr2bl w:val="nil"/>
                  </w:tcBorders>
                  <w:noWrap w:val="0"/>
                  <w:vAlign w:val="center"/>
                </w:tcPr>
                <w:p w14:paraId="0DF0438C">
                  <w:pPr>
                    <w:pStyle w:val="34"/>
                    <w:bidi w:val="0"/>
                    <w:rPr>
                      <w:rFonts w:hint="default"/>
                      <w:color w:val="auto"/>
                      <w:highlight w:val="none"/>
                    </w:rPr>
                  </w:pPr>
                  <w:r>
                    <w:rPr>
                      <w:rFonts w:hint="default"/>
                      <w:color w:val="auto"/>
                      <w:highlight w:val="none"/>
                    </w:rPr>
                    <w:t>物料存储</w:t>
                  </w:r>
                </w:p>
              </w:tc>
              <w:tc>
                <w:tcPr>
                  <w:tcW w:w="4185" w:type="dxa"/>
                  <w:tcBorders>
                    <w:tl2br w:val="nil"/>
                    <w:tr2bl w:val="nil"/>
                  </w:tcBorders>
                  <w:noWrap w:val="0"/>
                  <w:vAlign w:val="center"/>
                </w:tcPr>
                <w:p w14:paraId="16BC0A7E">
                  <w:pPr>
                    <w:pStyle w:val="47"/>
                    <w:bidi w:val="0"/>
                    <w:rPr>
                      <w:rFonts w:hint="default"/>
                      <w:color w:val="auto"/>
                      <w:highlight w:val="none"/>
                    </w:rPr>
                  </w:pPr>
                  <w:r>
                    <w:rPr>
                      <w:rFonts w:hint="eastAsia"/>
                      <w:color w:val="auto"/>
                      <w:highlight w:val="none"/>
                      <w:lang w:eastAsia="zh-CN"/>
                    </w:rPr>
                    <w:t>（</w:t>
                  </w:r>
                  <w:r>
                    <w:rPr>
                      <w:rFonts w:hint="default"/>
                      <w:color w:val="auto"/>
                      <w:highlight w:val="none"/>
                    </w:rPr>
                    <w:t>1</w:t>
                  </w:r>
                  <w:r>
                    <w:rPr>
                      <w:rFonts w:hint="eastAsia"/>
                      <w:color w:val="auto"/>
                      <w:highlight w:val="none"/>
                      <w:lang w:eastAsia="zh-CN"/>
                    </w:rPr>
                    <w:t>）</w:t>
                  </w:r>
                  <w:r>
                    <w:rPr>
                      <w:rFonts w:hint="default"/>
                      <w:color w:val="auto"/>
                      <w:highlight w:val="none"/>
                    </w:rPr>
                    <w:t>粉状物料应储存于密闭料仓或封闭式建筑物内</w:t>
                  </w:r>
                </w:p>
                <w:p w14:paraId="227329B8">
                  <w:pPr>
                    <w:pStyle w:val="47"/>
                    <w:bidi w:val="0"/>
                    <w:rPr>
                      <w:rFonts w:hint="default"/>
                      <w:color w:val="auto"/>
                      <w:highlight w:val="none"/>
                    </w:rPr>
                  </w:pPr>
                  <w:r>
                    <w:rPr>
                      <w:rFonts w:hint="eastAsia"/>
                      <w:color w:val="auto"/>
                      <w:highlight w:val="none"/>
                      <w:lang w:eastAsia="zh-CN"/>
                    </w:rPr>
                    <w:t>（</w:t>
                  </w:r>
                  <w:r>
                    <w:rPr>
                      <w:rFonts w:hint="default"/>
                      <w:color w:val="auto"/>
                      <w:highlight w:val="none"/>
                    </w:rPr>
                    <w:t>2</w:t>
                  </w:r>
                  <w:r>
                    <w:rPr>
                      <w:rFonts w:hint="eastAsia"/>
                      <w:color w:val="auto"/>
                      <w:highlight w:val="none"/>
                      <w:lang w:eastAsia="zh-CN"/>
                    </w:rPr>
                    <w:t>）</w:t>
                  </w:r>
                  <w:r>
                    <w:rPr>
                      <w:rFonts w:hint="default"/>
                      <w:color w:val="auto"/>
                      <w:highlight w:val="none"/>
                    </w:rPr>
                    <w:t>粒状、块状等易散发粉尘的物料储存于储库、</w:t>
                  </w:r>
                  <w:r>
                    <w:rPr>
                      <w:rFonts w:hint="eastAsia"/>
                      <w:color w:val="auto"/>
                      <w:highlight w:val="none"/>
                      <w:lang w:eastAsia="zh-CN"/>
                    </w:rPr>
                    <w:t>堆栈</w:t>
                  </w:r>
                  <w:r>
                    <w:rPr>
                      <w:rFonts w:hint="default"/>
                      <w:color w:val="auto"/>
                      <w:highlight w:val="none"/>
                    </w:rPr>
                    <w:t>中</w:t>
                  </w:r>
                  <w:r>
                    <w:rPr>
                      <w:rFonts w:hint="eastAsia"/>
                      <w:color w:val="auto"/>
                      <w:highlight w:val="none"/>
                      <w:lang w:eastAsia="zh-CN"/>
                    </w:rPr>
                    <w:t>，</w:t>
                  </w:r>
                  <w:r>
                    <w:rPr>
                      <w:rFonts w:hint="default"/>
                      <w:color w:val="auto"/>
                      <w:highlight w:val="none"/>
                    </w:rPr>
                    <w:t>或储存于密闭料仓中。储库、堆棚应至少三面有围墙</w:t>
                  </w:r>
                  <w:r>
                    <w:rPr>
                      <w:rFonts w:hint="eastAsia"/>
                      <w:color w:val="auto"/>
                      <w:highlight w:val="none"/>
                      <w:lang w:eastAsia="zh-CN"/>
                    </w:rPr>
                    <w:t>（</w:t>
                  </w:r>
                  <w:r>
                    <w:rPr>
                      <w:rFonts w:hint="default"/>
                      <w:color w:val="auto"/>
                      <w:highlight w:val="none"/>
                    </w:rPr>
                    <w:t>或围挡</w:t>
                  </w:r>
                  <w:r>
                    <w:rPr>
                      <w:rFonts w:hint="eastAsia"/>
                      <w:color w:val="auto"/>
                      <w:highlight w:val="none"/>
                      <w:lang w:eastAsia="zh-CN"/>
                    </w:rPr>
                    <w:t>）</w:t>
                  </w:r>
                  <w:r>
                    <w:rPr>
                      <w:rFonts w:hint="default"/>
                      <w:color w:val="auto"/>
                      <w:highlight w:val="none"/>
                    </w:rPr>
                    <w:t>及屋顶</w:t>
                  </w:r>
                  <w:r>
                    <w:rPr>
                      <w:rFonts w:hint="eastAsia"/>
                      <w:color w:val="auto"/>
                      <w:highlight w:val="none"/>
                      <w:lang w:eastAsia="zh-CN"/>
                    </w:rPr>
                    <w:t>，</w:t>
                  </w:r>
                  <w:r>
                    <w:rPr>
                      <w:rFonts w:hint="default"/>
                      <w:color w:val="auto"/>
                      <w:highlight w:val="none"/>
                    </w:rPr>
                    <w:t>敞开侧应避开常年主导风向的</w:t>
                  </w:r>
                  <w:r>
                    <w:rPr>
                      <w:rFonts w:hint="eastAsia"/>
                      <w:color w:val="auto"/>
                      <w:highlight w:val="none"/>
                      <w:lang w:eastAsia="zh-CN"/>
                    </w:rPr>
                    <w:t>地上</w:t>
                  </w:r>
                  <w:r>
                    <w:rPr>
                      <w:rFonts w:hint="default"/>
                      <w:color w:val="auto"/>
                      <w:highlight w:val="none"/>
                    </w:rPr>
                    <w:t>风风位。</w:t>
                  </w:r>
                </w:p>
                <w:p w14:paraId="02222A70">
                  <w:pPr>
                    <w:pStyle w:val="47"/>
                    <w:bidi w:val="0"/>
                    <w:rPr>
                      <w:rFonts w:hint="default"/>
                      <w:color w:val="auto"/>
                      <w:highlight w:val="none"/>
                    </w:rPr>
                  </w:pPr>
                  <w:r>
                    <w:rPr>
                      <w:rFonts w:hint="eastAsia"/>
                      <w:color w:val="auto"/>
                      <w:highlight w:val="none"/>
                      <w:lang w:eastAsia="zh-CN"/>
                    </w:rPr>
                    <w:t>（</w:t>
                  </w:r>
                  <w:r>
                    <w:rPr>
                      <w:rFonts w:hint="default"/>
                      <w:color w:val="auto"/>
                      <w:highlight w:val="none"/>
                    </w:rPr>
                    <w:t>3</w:t>
                  </w:r>
                  <w:r>
                    <w:rPr>
                      <w:rFonts w:hint="eastAsia"/>
                      <w:color w:val="auto"/>
                      <w:highlight w:val="none"/>
                      <w:lang w:eastAsia="zh-CN"/>
                    </w:rPr>
                    <w:t>）</w:t>
                  </w:r>
                  <w:r>
                    <w:rPr>
                      <w:rFonts w:hint="default"/>
                      <w:color w:val="auto"/>
                      <w:highlight w:val="none"/>
                    </w:rPr>
                    <w:t>露天储存粒状块状等易散发粉尘的物料，堆置区四周应以挡风墙、防风抑尘网等方式围挡</w:t>
                  </w:r>
                  <w:r>
                    <w:rPr>
                      <w:rFonts w:hint="eastAsia"/>
                      <w:color w:val="auto"/>
                      <w:highlight w:val="none"/>
                      <w:lang w:eastAsia="zh-CN"/>
                    </w:rPr>
                    <w:t>（</w:t>
                  </w:r>
                  <w:r>
                    <w:rPr>
                      <w:rFonts w:hint="default"/>
                      <w:color w:val="auto"/>
                      <w:highlight w:val="none"/>
                    </w:rPr>
                    <w:t>出入口除外</w:t>
                  </w:r>
                  <w:r>
                    <w:rPr>
                      <w:rFonts w:hint="eastAsia"/>
                      <w:color w:val="auto"/>
                      <w:highlight w:val="none"/>
                      <w:lang w:eastAsia="zh-CN"/>
                    </w:rPr>
                    <w:t>）</w:t>
                  </w:r>
                  <w:r>
                    <w:rPr>
                      <w:rFonts w:hint="default"/>
                      <w:color w:val="auto"/>
                      <w:highlight w:val="none"/>
                    </w:rPr>
                    <w:t>围挡高度不应低于堆存物料高度的1.1倍，同时采取</w:t>
                  </w:r>
                  <w:r>
                    <w:rPr>
                      <w:rFonts w:hint="eastAsia"/>
                      <w:color w:val="auto"/>
                      <w:highlight w:val="none"/>
                      <w:lang w:eastAsia="zh-CN"/>
                    </w:rPr>
                    <w:t>洒水</w:t>
                  </w:r>
                  <w:r>
                    <w:rPr>
                      <w:rFonts w:hint="default"/>
                      <w:color w:val="auto"/>
                      <w:highlight w:val="none"/>
                    </w:rPr>
                    <w:t>、覆盖防尘布</w:t>
                  </w:r>
                  <w:r>
                    <w:rPr>
                      <w:rFonts w:hint="eastAsia"/>
                      <w:color w:val="auto"/>
                      <w:highlight w:val="none"/>
                      <w:lang w:eastAsia="zh-CN"/>
                    </w:rPr>
                    <w:t>（</w:t>
                  </w:r>
                  <w:r>
                    <w:rPr>
                      <w:rFonts w:hint="default"/>
                      <w:color w:val="auto"/>
                      <w:highlight w:val="none"/>
                    </w:rPr>
                    <w:t>网</w:t>
                  </w:r>
                  <w:r>
                    <w:rPr>
                      <w:rFonts w:hint="eastAsia"/>
                      <w:color w:val="auto"/>
                      <w:highlight w:val="none"/>
                      <w:lang w:eastAsia="zh-CN"/>
                    </w:rPr>
                    <w:t>）</w:t>
                  </w:r>
                  <w:r>
                    <w:rPr>
                      <w:rFonts w:hint="default"/>
                      <w:color w:val="auto"/>
                      <w:highlight w:val="none"/>
                    </w:rPr>
                    <w:t>剂等控制措施。</w:t>
                  </w:r>
                </w:p>
                <w:p w14:paraId="713D7ABB">
                  <w:pPr>
                    <w:pStyle w:val="47"/>
                    <w:bidi w:val="0"/>
                    <w:rPr>
                      <w:rFonts w:hint="default"/>
                      <w:color w:val="auto"/>
                      <w:highlight w:val="none"/>
                    </w:rPr>
                  </w:pPr>
                  <w:r>
                    <w:rPr>
                      <w:rFonts w:hint="eastAsia"/>
                      <w:color w:val="auto"/>
                      <w:highlight w:val="none"/>
                      <w:lang w:eastAsia="zh-CN"/>
                    </w:rPr>
                    <w:t>（</w:t>
                  </w:r>
                  <w:r>
                    <w:rPr>
                      <w:rFonts w:hint="default"/>
                      <w:color w:val="auto"/>
                      <w:highlight w:val="none"/>
                    </w:rPr>
                    <w:t>4</w:t>
                  </w:r>
                  <w:r>
                    <w:rPr>
                      <w:rFonts w:hint="eastAsia"/>
                      <w:color w:val="auto"/>
                      <w:highlight w:val="none"/>
                      <w:lang w:eastAsia="zh-CN"/>
                    </w:rPr>
                    <w:t>）</w:t>
                  </w:r>
                  <w:r>
                    <w:rPr>
                      <w:rFonts w:hint="default"/>
                      <w:color w:val="auto"/>
                      <w:highlight w:val="none"/>
                    </w:rPr>
                    <w:t>临时露天堆存粒状、块状等易散发粉尘的物料，应使用防尘布、防尘网覆盖严密。</w:t>
                  </w:r>
                </w:p>
              </w:tc>
              <w:tc>
                <w:tcPr>
                  <w:tcW w:w="1527" w:type="dxa"/>
                  <w:vMerge w:val="continue"/>
                  <w:tcBorders>
                    <w:tl2br w:val="nil"/>
                    <w:tr2bl w:val="nil"/>
                  </w:tcBorders>
                  <w:noWrap w:val="0"/>
                  <w:vAlign w:val="center"/>
                </w:tcPr>
                <w:p w14:paraId="57DB22D7">
                  <w:pPr>
                    <w:pStyle w:val="34"/>
                    <w:bidi w:val="0"/>
                    <w:rPr>
                      <w:rFonts w:hint="default"/>
                      <w:color w:val="auto"/>
                      <w:highlight w:val="none"/>
                    </w:rPr>
                  </w:pPr>
                </w:p>
              </w:tc>
            </w:tr>
            <w:tr w14:paraId="2B86A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dxa"/>
                  <w:tcBorders>
                    <w:tl2br w:val="nil"/>
                    <w:tr2bl w:val="nil"/>
                  </w:tcBorders>
                  <w:noWrap w:val="0"/>
                  <w:vAlign w:val="center"/>
                </w:tcPr>
                <w:p w14:paraId="293EE4CD">
                  <w:pPr>
                    <w:pStyle w:val="34"/>
                    <w:bidi w:val="0"/>
                    <w:rPr>
                      <w:rFonts w:hint="default"/>
                      <w:color w:val="auto"/>
                      <w:highlight w:val="none"/>
                      <w:lang w:val="en-US" w:eastAsia="zh-CN"/>
                    </w:rPr>
                  </w:pPr>
                  <w:r>
                    <w:rPr>
                      <w:rFonts w:hint="default"/>
                      <w:color w:val="auto"/>
                      <w:highlight w:val="none"/>
                      <w:lang w:val="en-US" w:eastAsia="zh-CN"/>
                    </w:rPr>
                    <w:t>4</w:t>
                  </w:r>
                </w:p>
              </w:tc>
              <w:tc>
                <w:tcPr>
                  <w:tcW w:w="967" w:type="dxa"/>
                  <w:tcBorders>
                    <w:tl2br w:val="nil"/>
                    <w:tr2bl w:val="nil"/>
                  </w:tcBorders>
                  <w:noWrap w:val="0"/>
                  <w:vAlign w:val="center"/>
                </w:tcPr>
                <w:p w14:paraId="04C2EA12">
                  <w:pPr>
                    <w:pStyle w:val="34"/>
                    <w:bidi w:val="0"/>
                    <w:rPr>
                      <w:rFonts w:hint="default"/>
                      <w:color w:val="auto"/>
                      <w:highlight w:val="none"/>
                    </w:rPr>
                  </w:pPr>
                  <w:r>
                    <w:rPr>
                      <w:rFonts w:hint="default"/>
                      <w:color w:val="auto"/>
                      <w:highlight w:val="none"/>
                    </w:rPr>
                    <w:t>物料转移和输送</w:t>
                  </w:r>
                </w:p>
              </w:tc>
              <w:tc>
                <w:tcPr>
                  <w:tcW w:w="4185" w:type="dxa"/>
                  <w:tcBorders>
                    <w:tl2br w:val="nil"/>
                    <w:tr2bl w:val="nil"/>
                  </w:tcBorders>
                  <w:noWrap w:val="0"/>
                  <w:vAlign w:val="center"/>
                </w:tcPr>
                <w:p w14:paraId="11197346">
                  <w:pPr>
                    <w:pStyle w:val="47"/>
                    <w:bidi w:val="0"/>
                    <w:rPr>
                      <w:rFonts w:hint="default"/>
                      <w:color w:val="auto"/>
                      <w:highlight w:val="none"/>
                    </w:rPr>
                  </w:pPr>
                  <w:r>
                    <w:rPr>
                      <w:rFonts w:hint="default"/>
                      <w:color w:val="auto"/>
                      <w:highlight w:val="none"/>
                    </w:rPr>
                    <w:t>厂内转移和输送易散发粉尘的物料应采取以下方式之一</w:t>
                  </w:r>
                </w:p>
                <w:p w14:paraId="54E68983">
                  <w:pPr>
                    <w:pStyle w:val="47"/>
                    <w:bidi w:val="0"/>
                    <w:rPr>
                      <w:rFonts w:hint="default"/>
                      <w:color w:val="auto"/>
                      <w:highlight w:val="none"/>
                    </w:rPr>
                  </w:pPr>
                  <w:r>
                    <w:rPr>
                      <w:rFonts w:hint="eastAsia"/>
                      <w:color w:val="auto"/>
                      <w:highlight w:val="none"/>
                      <w:lang w:eastAsia="zh-CN"/>
                    </w:rPr>
                    <w:t>（</w:t>
                  </w:r>
                  <w:r>
                    <w:rPr>
                      <w:rFonts w:hint="default"/>
                      <w:color w:val="auto"/>
                      <w:highlight w:val="none"/>
                    </w:rPr>
                    <w:t>1</w:t>
                  </w:r>
                  <w:r>
                    <w:rPr>
                      <w:rFonts w:hint="eastAsia"/>
                      <w:color w:val="auto"/>
                      <w:highlight w:val="none"/>
                      <w:lang w:eastAsia="zh-CN"/>
                    </w:rPr>
                    <w:t>）</w:t>
                  </w:r>
                  <w:r>
                    <w:rPr>
                      <w:rFonts w:hint="default"/>
                      <w:color w:val="auto"/>
                      <w:highlight w:val="none"/>
                    </w:rPr>
                    <w:t>采用密闭输送系统；</w:t>
                  </w:r>
                </w:p>
                <w:p w14:paraId="1C5C1628">
                  <w:pPr>
                    <w:pStyle w:val="47"/>
                    <w:bidi w:val="0"/>
                    <w:rPr>
                      <w:rFonts w:hint="default"/>
                      <w:color w:val="auto"/>
                      <w:highlight w:val="none"/>
                    </w:rPr>
                  </w:pPr>
                  <w:r>
                    <w:rPr>
                      <w:rFonts w:hint="eastAsia"/>
                      <w:color w:val="auto"/>
                      <w:highlight w:val="none"/>
                      <w:lang w:eastAsia="zh-CN"/>
                    </w:rPr>
                    <w:t>（</w:t>
                  </w:r>
                  <w:r>
                    <w:rPr>
                      <w:rFonts w:hint="default"/>
                      <w:color w:val="auto"/>
                      <w:highlight w:val="none"/>
                    </w:rPr>
                    <w:t>2</w:t>
                  </w:r>
                  <w:r>
                    <w:rPr>
                      <w:rFonts w:hint="eastAsia"/>
                      <w:color w:val="auto"/>
                      <w:highlight w:val="none"/>
                      <w:lang w:eastAsia="zh-CN"/>
                    </w:rPr>
                    <w:t>）</w:t>
                  </w:r>
                  <w:r>
                    <w:rPr>
                      <w:rFonts w:hint="default"/>
                      <w:color w:val="auto"/>
                      <w:highlight w:val="none"/>
                    </w:rPr>
                    <w:t>在封闭式建筑物内进行物料转移和输送；</w:t>
                  </w:r>
                </w:p>
                <w:p w14:paraId="5F7C985C">
                  <w:pPr>
                    <w:pStyle w:val="47"/>
                    <w:bidi w:val="0"/>
                    <w:rPr>
                      <w:rFonts w:hint="default"/>
                      <w:color w:val="auto"/>
                      <w:highlight w:val="none"/>
                    </w:rPr>
                  </w:pPr>
                  <w:r>
                    <w:rPr>
                      <w:rFonts w:hint="eastAsia"/>
                      <w:color w:val="auto"/>
                      <w:highlight w:val="none"/>
                      <w:lang w:eastAsia="zh-CN"/>
                    </w:rPr>
                    <w:t>（</w:t>
                  </w:r>
                  <w:r>
                    <w:rPr>
                      <w:rFonts w:hint="default"/>
                      <w:color w:val="auto"/>
                      <w:highlight w:val="none"/>
                    </w:rPr>
                    <w:t>3</w:t>
                  </w:r>
                  <w:r>
                    <w:rPr>
                      <w:rFonts w:hint="eastAsia"/>
                      <w:color w:val="auto"/>
                      <w:highlight w:val="none"/>
                      <w:lang w:eastAsia="zh-CN"/>
                    </w:rPr>
                    <w:t>）</w:t>
                  </w:r>
                  <w:r>
                    <w:rPr>
                      <w:rFonts w:hint="default"/>
                      <w:color w:val="auto"/>
                      <w:highlight w:val="none"/>
                    </w:rPr>
                    <w:t>在上料点、落料点及其他易散发粉尘位置采取局部气体收集处理、洒水增湿等控制措施。</w:t>
                  </w:r>
                </w:p>
              </w:tc>
              <w:tc>
                <w:tcPr>
                  <w:tcW w:w="1527" w:type="dxa"/>
                  <w:vMerge w:val="continue"/>
                  <w:tcBorders>
                    <w:tl2br w:val="nil"/>
                    <w:tr2bl w:val="nil"/>
                  </w:tcBorders>
                  <w:noWrap w:val="0"/>
                  <w:vAlign w:val="center"/>
                </w:tcPr>
                <w:p w14:paraId="015976DD">
                  <w:pPr>
                    <w:pStyle w:val="34"/>
                    <w:bidi w:val="0"/>
                    <w:rPr>
                      <w:rFonts w:hint="default"/>
                      <w:color w:val="auto"/>
                      <w:highlight w:val="none"/>
                    </w:rPr>
                  </w:pPr>
                </w:p>
              </w:tc>
            </w:tr>
            <w:tr w14:paraId="19DC56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dxa"/>
                  <w:tcBorders>
                    <w:tl2br w:val="nil"/>
                    <w:tr2bl w:val="nil"/>
                  </w:tcBorders>
                  <w:noWrap w:val="0"/>
                  <w:vAlign w:val="center"/>
                </w:tcPr>
                <w:p w14:paraId="7978714F">
                  <w:pPr>
                    <w:pStyle w:val="34"/>
                    <w:bidi w:val="0"/>
                    <w:rPr>
                      <w:rFonts w:hint="default"/>
                      <w:color w:val="auto"/>
                      <w:highlight w:val="none"/>
                      <w:lang w:val="en-US" w:eastAsia="zh-CN"/>
                    </w:rPr>
                  </w:pPr>
                  <w:r>
                    <w:rPr>
                      <w:rFonts w:hint="default"/>
                      <w:color w:val="auto"/>
                      <w:highlight w:val="none"/>
                      <w:lang w:val="en-US" w:eastAsia="zh-CN"/>
                    </w:rPr>
                    <w:t>5</w:t>
                  </w:r>
                </w:p>
              </w:tc>
              <w:tc>
                <w:tcPr>
                  <w:tcW w:w="967" w:type="dxa"/>
                  <w:tcBorders>
                    <w:tl2br w:val="nil"/>
                    <w:tr2bl w:val="nil"/>
                  </w:tcBorders>
                  <w:noWrap w:val="0"/>
                  <w:vAlign w:val="center"/>
                </w:tcPr>
                <w:p w14:paraId="48B3D993">
                  <w:pPr>
                    <w:pStyle w:val="34"/>
                    <w:bidi w:val="0"/>
                    <w:rPr>
                      <w:rFonts w:hint="default"/>
                      <w:color w:val="auto"/>
                      <w:highlight w:val="none"/>
                    </w:rPr>
                  </w:pPr>
                  <w:r>
                    <w:rPr>
                      <w:rFonts w:hint="default"/>
                      <w:color w:val="auto"/>
                      <w:highlight w:val="none"/>
                    </w:rPr>
                    <w:t>物料加工与处理</w:t>
                  </w:r>
                </w:p>
              </w:tc>
              <w:tc>
                <w:tcPr>
                  <w:tcW w:w="4185" w:type="dxa"/>
                  <w:tcBorders>
                    <w:tl2br w:val="nil"/>
                    <w:tr2bl w:val="nil"/>
                  </w:tcBorders>
                  <w:noWrap w:val="0"/>
                  <w:vAlign w:val="center"/>
                </w:tcPr>
                <w:p w14:paraId="4720C160">
                  <w:pPr>
                    <w:pStyle w:val="47"/>
                    <w:bidi w:val="0"/>
                    <w:rPr>
                      <w:rFonts w:hint="default"/>
                      <w:color w:val="auto"/>
                      <w:highlight w:val="none"/>
                    </w:rPr>
                  </w:pPr>
                  <w:r>
                    <w:rPr>
                      <w:rFonts w:hint="eastAsia"/>
                      <w:color w:val="auto"/>
                      <w:highlight w:val="none"/>
                      <w:lang w:eastAsia="zh-CN"/>
                    </w:rPr>
                    <w:t>（</w:t>
                  </w:r>
                  <w:r>
                    <w:rPr>
                      <w:rFonts w:hint="default"/>
                      <w:color w:val="auto"/>
                      <w:highlight w:val="none"/>
                    </w:rPr>
                    <w:t>1</w:t>
                  </w:r>
                  <w:r>
                    <w:rPr>
                      <w:rFonts w:hint="eastAsia"/>
                      <w:color w:val="auto"/>
                      <w:highlight w:val="none"/>
                      <w:lang w:eastAsia="zh-CN"/>
                    </w:rPr>
                    <w:t>）</w:t>
                  </w:r>
                  <w:r>
                    <w:rPr>
                      <w:rFonts w:hint="default"/>
                      <w:color w:val="auto"/>
                      <w:highlight w:val="none"/>
                    </w:rPr>
                    <w:t>物料加工与处理过程中易散发粉尘的工艺环节</w:t>
                  </w:r>
                  <w:r>
                    <w:rPr>
                      <w:rFonts w:hint="eastAsia"/>
                      <w:color w:val="auto"/>
                      <w:highlight w:val="none"/>
                      <w:lang w:eastAsia="zh-CN"/>
                    </w:rPr>
                    <w:t>（</w:t>
                  </w:r>
                  <w:r>
                    <w:rPr>
                      <w:rFonts w:hint="default"/>
                      <w:color w:val="auto"/>
                      <w:highlight w:val="none"/>
                    </w:rPr>
                    <w:t>如破碎、粉磨、筛分、混合、打磨、切割、投料、出料</w:t>
                  </w:r>
                  <w:r>
                    <w:rPr>
                      <w:rFonts w:hint="eastAsia"/>
                      <w:color w:val="auto"/>
                      <w:highlight w:val="none"/>
                      <w:lang w:eastAsia="zh-CN"/>
                    </w:rPr>
                    <w:t>（</w:t>
                  </w:r>
                  <w:r>
                    <w:rPr>
                      <w:rFonts w:hint="default"/>
                      <w:color w:val="auto"/>
                      <w:highlight w:val="none"/>
                    </w:rPr>
                    <w:t>渣</w:t>
                  </w:r>
                  <w:r>
                    <w:rPr>
                      <w:rFonts w:hint="eastAsia"/>
                      <w:color w:val="auto"/>
                      <w:highlight w:val="none"/>
                      <w:lang w:eastAsia="zh-CN"/>
                    </w:rPr>
                    <w:t>）</w:t>
                  </w:r>
                  <w:r>
                    <w:rPr>
                      <w:rFonts w:hint="default"/>
                      <w:color w:val="auto"/>
                      <w:highlight w:val="none"/>
                    </w:rPr>
                    <w:t>、包装等</w:t>
                  </w:r>
                  <w:r>
                    <w:rPr>
                      <w:rFonts w:hint="eastAsia"/>
                      <w:color w:val="auto"/>
                      <w:highlight w:val="none"/>
                      <w:lang w:eastAsia="zh-CN"/>
                    </w:rPr>
                    <w:t>）</w:t>
                  </w:r>
                  <w:r>
                    <w:rPr>
                      <w:rFonts w:hint="default"/>
                      <w:color w:val="auto"/>
                      <w:highlight w:val="none"/>
                    </w:rPr>
                    <w:t>应采用密闭物料加工与设备，或在密闭空间内进行。不能处理密闭的</w:t>
                  </w:r>
                  <w:r>
                    <w:rPr>
                      <w:rFonts w:hint="eastAsia"/>
                      <w:color w:val="auto"/>
                      <w:highlight w:val="none"/>
                      <w:lang w:eastAsia="zh-CN"/>
                    </w:rPr>
                    <w:t>，</w:t>
                  </w:r>
                  <w:r>
                    <w:rPr>
                      <w:rFonts w:hint="default"/>
                      <w:color w:val="auto"/>
                      <w:highlight w:val="none"/>
                    </w:rPr>
                    <w:t>应采取局部气体收集处理、</w:t>
                  </w:r>
                  <w:r>
                    <w:rPr>
                      <w:rFonts w:hint="eastAsia"/>
                      <w:color w:val="auto"/>
                      <w:highlight w:val="none"/>
                      <w:lang w:eastAsia="zh-CN"/>
                    </w:rPr>
                    <w:t>洒水增湿</w:t>
                  </w:r>
                  <w:r>
                    <w:rPr>
                      <w:rFonts w:hint="default"/>
                      <w:color w:val="auto"/>
                      <w:highlight w:val="none"/>
                    </w:rPr>
                    <w:t>等控制措施。</w:t>
                  </w:r>
                </w:p>
                <w:p w14:paraId="35F6322C">
                  <w:pPr>
                    <w:pStyle w:val="47"/>
                    <w:bidi w:val="0"/>
                    <w:rPr>
                      <w:rFonts w:hint="default"/>
                      <w:color w:val="auto"/>
                      <w:highlight w:val="none"/>
                    </w:rPr>
                  </w:pPr>
                  <w:r>
                    <w:rPr>
                      <w:rFonts w:hint="eastAsia"/>
                      <w:color w:val="auto"/>
                      <w:highlight w:val="none"/>
                      <w:lang w:eastAsia="zh-CN"/>
                    </w:rPr>
                    <w:t>（</w:t>
                  </w:r>
                  <w:r>
                    <w:rPr>
                      <w:rFonts w:hint="default"/>
                      <w:color w:val="auto"/>
                      <w:highlight w:val="none"/>
                    </w:rPr>
                    <w:t>2</w:t>
                  </w:r>
                  <w:r>
                    <w:rPr>
                      <w:rFonts w:hint="eastAsia"/>
                      <w:color w:val="auto"/>
                      <w:highlight w:val="none"/>
                      <w:lang w:eastAsia="zh-CN"/>
                    </w:rPr>
                    <w:t>）</w:t>
                  </w:r>
                  <w:r>
                    <w:rPr>
                      <w:rFonts w:hint="default"/>
                      <w:color w:val="auto"/>
                      <w:highlight w:val="none"/>
                    </w:rPr>
                    <w:t>密闭式生产工艺设备、废气收集系统、除尘设施等应密封良好</w:t>
                  </w:r>
                  <w:r>
                    <w:rPr>
                      <w:rFonts w:hint="eastAsia"/>
                      <w:color w:val="auto"/>
                      <w:highlight w:val="none"/>
                      <w:lang w:eastAsia="zh-CN"/>
                    </w:rPr>
                    <w:t>，</w:t>
                  </w:r>
                  <w:r>
                    <w:rPr>
                      <w:rFonts w:hint="default"/>
                      <w:color w:val="auto"/>
                      <w:highlight w:val="none"/>
                    </w:rPr>
                    <w:t>无粉尘外溢。</w:t>
                  </w:r>
                </w:p>
              </w:tc>
              <w:tc>
                <w:tcPr>
                  <w:tcW w:w="1527" w:type="dxa"/>
                  <w:vMerge w:val="continue"/>
                  <w:tcBorders>
                    <w:tl2br w:val="nil"/>
                    <w:tr2bl w:val="nil"/>
                  </w:tcBorders>
                  <w:noWrap w:val="0"/>
                  <w:vAlign w:val="center"/>
                </w:tcPr>
                <w:p w14:paraId="3BCEC043">
                  <w:pPr>
                    <w:pStyle w:val="34"/>
                    <w:bidi w:val="0"/>
                    <w:rPr>
                      <w:rFonts w:hint="default"/>
                      <w:color w:val="auto"/>
                      <w:highlight w:val="none"/>
                    </w:rPr>
                  </w:pPr>
                </w:p>
              </w:tc>
            </w:tr>
          </w:tbl>
          <w:p w14:paraId="6C99CBCC">
            <w:pPr>
              <w:pStyle w:val="14"/>
              <w:keepNext w:val="0"/>
              <w:keepLines w:val="0"/>
              <w:pageBreakBefore w:val="0"/>
              <w:widowControl w:val="0"/>
              <w:kinsoku/>
              <w:wordWrap w:val="0"/>
              <w:overflowPunct/>
              <w:topLinePunct w:val="0"/>
              <w:autoSpaceDE/>
              <w:autoSpaceDN/>
              <w:bidi w:val="0"/>
              <w:adjustRightInd/>
              <w:snapToGrid/>
              <w:spacing w:before="157" w:beforeLines="50"/>
              <w:textAlignment w:val="auto"/>
              <w:rPr>
                <w:rFonts w:hint="eastAsia"/>
                <w:b/>
                <w:bCs/>
                <w:color w:val="auto"/>
                <w:highlight w:val="none"/>
                <w:lang w:val="en-US" w:eastAsia="zh-CN"/>
              </w:rPr>
            </w:pPr>
            <w:r>
              <w:rPr>
                <w:rFonts w:hint="eastAsia"/>
                <w:b/>
                <w:bCs/>
                <w:color w:val="auto"/>
                <w:highlight w:val="none"/>
                <w:lang w:val="en-US" w:eastAsia="zh-CN"/>
              </w:rPr>
              <w:t>七、与《双鸭山市“十四五”生态环境保护规划》（双政规〔2022〕9号）的符合性分析</w:t>
            </w:r>
          </w:p>
          <w:p w14:paraId="062B971E">
            <w:pPr>
              <w:pStyle w:val="31"/>
              <w:bidi w:val="0"/>
              <w:rPr>
                <w:rFonts w:hint="eastAsia"/>
                <w:color w:val="auto"/>
                <w:highlight w:val="none"/>
                <w:lang w:val="en-US" w:eastAsia="zh-CN"/>
              </w:rPr>
            </w:pPr>
            <w:r>
              <w:rPr>
                <w:rFonts w:hint="eastAsia"/>
                <w:color w:val="auto"/>
                <w:highlight w:val="none"/>
                <w:lang w:val="en-US" w:eastAsia="zh-CN"/>
              </w:rPr>
              <w:t>《双鸭山市“十四五”生态环境保护规划》中要求：规划指出：加强细颗粒物污染防治。深化燃煤设施整治。全面开展市级城市建成区内35蒸吨以下燃煤锅炉淘汰工作；按照《双鸭山市燃煤储粮烘干设施清洁能源改建项目实施方案》要求，逐步推进燃煤储粮烘干设施清洁能源改建，将燃料由煤改为醇基清洁燃料；加强扬尘精细化管控，加强城市裸露地面、粉粒类物料堆放以及大型煤炭物料堆场的抑尘设施建设。</w:t>
            </w:r>
          </w:p>
          <w:p w14:paraId="513A9490">
            <w:pPr>
              <w:pStyle w:val="31"/>
              <w:bidi w:val="0"/>
              <w:rPr>
                <w:rFonts w:hint="eastAsia"/>
                <w:color w:val="auto"/>
                <w:highlight w:val="none"/>
                <w:lang w:val="en-US" w:eastAsia="zh-CN"/>
              </w:rPr>
            </w:pPr>
            <w:r>
              <w:rPr>
                <w:rFonts w:hint="eastAsia"/>
                <w:color w:val="auto"/>
                <w:highlight w:val="none"/>
                <w:lang w:val="en-US" w:eastAsia="zh-CN"/>
              </w:rPr>
              <w:t>本项目不新建锅炉，不涉及燃料燃烧产污。</w:t>
            </w:r>
            <w:r>
              <w:rPr>
                <w:rFonts w:hint="eastAsia"/>
                <w:color w:val="auto"/>
                <w:highlight w:val="none"/>
                <w:lang w:eastAsia="zh-CN"/>
              </w:rPr>
              <w:t>本项目石子和砂子通过车辆运输进厂后卸料、贮存在堆场内，堆场内采取苫盖、洒水抑尘等措施，四周布置防风抑尘网；水泥筒仓、粉煤灰筒仓、外加剂罐自带的布袋除尘器，进料粉尘经布袋除尘器处理后通过罐顶通气孔无组织排放；砂、碎石等投料斗上方设置半封闭式罩棚与雾化喷淋装置，水泥、粉煤灰、外加剂等原料的输送、计量、投料等方式均为封闭式，物料计量后通过封闭输送机输送至搅拌站内，混合搅拌工序在密闭的搅拌站内，搅拌机投料口设置集气罩收集产生的颗粒物，经布袋除尘器处理后通过站顶排气口无组织排放；项目运输采取苫盖货车、密闭罐车运输，厂内及时清扫道路并定期洒水降尘，以减少道路扬尘的产生。</w:t>
            </w:r>
            <w:r>
              <w:rPr>
                <w:rFonts w:hint="eastAsia"/>
                <w:color w:val="auto"/>
                <w:highlight w:val="none"/>
                <w:lang w:val="en-US" w:eastAsia="zh-CN"/>
              </w:rPr>
              <w:t>因此，本项目符合《双鸭山市“十四五”生态环境保护规划》（双政规〔2022〕9号）中要求。</w:t>
            </w:r>
          </w:p>
          <w:p w14:paraId="6E9ACE9B">
            <w:pPr>
              <w:pStyle w:val="31"/>
              <w:bidi w:val="0"/>
              <w:rPr>
                <w:rFonts w:hint="eastAsia"/>
                <w:b/>
                <w:bCs/>
                <w:color w:val="auto"/>
                <w:highlight w:val="none"/>
                <w:lang w:val="en-US" w:eastAsia="zh-CN"/>
              </w:rPr>
            </w:pPr>
            <w:r>
              <w:rPr>
                <w:rFonts w:hint="eastAsia"/>
                <w:b/>
                <w:bCs/>
                <w:color w:val="auto"/>
                <w:highlight w:val="none"/>
                <w:lang w:val="en-US" w:eastAsia="zh-CN"/>
              </w:rPr>
              <w:t>八、与</w:t>
            </w:r>
            <w:r>
              <w:rPr>
                <w:rFonts w:hint="default"/>
                <w:b/>
                <w:bCs/>
                <w:color w:val="auto"/>
                <w:highlight w:val="none"/>
              </w:rPr>
              <w:t>《黑龙江省预拌混凝土绿色生产及管理技术规程》</w:t>
            </w:r>
            <w:r>
              <w:rPr>
                <w:rFonts w:hint="eastAsia"/>
                <w:b/>
                <w:bCs/>
                <w:color w:val="auto"/>
                <w:highlight w:val="none"/>
                <w:lang w:eastAsia="zh-CN"/>
              </w:rPr>
              <w:t>（</w:t>
            </w:r>
            <w:r>
              <w:rPr>
                <w:rFonts w:hint="default"/>
                <w:b/>
                <w:bCs/>
                <w:color w:val="auto"/>
                <w:highlight w:val="none"/>
              </w:rPr>
              <w:t>DB23-T3562-2023</w:t>
            </w:r>
            <w:r>
              <w:rPr>
                <w:rFonts w:hint="eastAsia"/>
                <w:b/>
                <w:bCs/>
                <w:color w:val="auto"/>
                <w:highlight w:val="none"/>
                <w:lang w:eastAsia="zh-CN"/>
              </w:rPr>
              <w:t>）</w:t>
            </w:r>
            <w:r>
              <w:rPr>
                <w:rFonts w:hint="eastAsia"/>
                <w:b/>
                <w:bCs/>
                <w:color w:val="auto"/>
                <w:highlight w:val="none"/>
                <w:lang w:val="en-US" w:eastAsia="zh-CN"/>
              </w:rPr>
              <w:t>的符合性分析</w:t>
            </w:r>
          </w:p>
          <w:p w14:paraId="2DE26AD7">
            <w:pPr>
              <w:pStyle w:val="31"/>
              <w:bidi w:val="0"/>
              <w:rPr>
                <w:color w:val="auto"/>
                <w:highlight w:val="none"/>
              </w:rPr>
            </w:pPr>
            <w:r>
              <w:rPr>
                <w:color w:val="auto"/>
                <w:highlight w:val="none"/>
              </w:rPr>
              <w:t>6.1 厂区内的生产区、办公区和生活区宜分区布置，可采取下列隔离措施降低生产区对生活区和办公区环境的影响。 ——设置围墙和声屏障，或种植乔木和灌木来减弱或阻止粉尘和噪声传播；——设置绿化带来规范引导人员和车辆流动。</w:t>
            </w:r>
          </w:p>
          <w:p w14:paraId="5563DF63">
            <w:pPr>
              <w:pStyle w:val="31"/>
              <w:bidi w:val="0"/>
              <w:rPr>
                <w:color w:val="auto"/>
                <w:highlight w:val="none"/>
              </w:rPr>
            </w:pPr>
            <w:r>
              <w:rPr>
                <w:color w:val="auto"/>
                <w:highlight w:val="none"/>
              </w:rPr>
              <w:t>6.2 厂区内道路及生产作业区的地面应硬化，功能应满足生产和运输要求。</w:t>
            </w:r>
          </w:p>
          <w:p w14:paraId="08E9FA8A">
            <w:pPr>
              <w:pStyle w:val="31"/>
              <w:bidi w:val="0"/>
              <w:rPr>
                <w:color w:val="auto"/>
                <w:highlight w:val="none"/>
              </w:rPr>
            </w:pPr>
            <w:r>
              <w:rPr>
                <w:color w:val="auto"/>
                <w:highlight w:val="none"/>
              </w:rPr>
              <w:t>6.3 厂区内未硬化的预留地应进行绿化或采取其他防止扬尘措施，且应保持卫生清洁。</w:t>
            </w:r>
          </w:p>
          <w:p w14:paraId="7D975132">
            <w:pPr>
              <w:pStyle w:val="31"/>
              <w:bidi w:val="0"/>
              <w:rPr>
                <w:color w:val="auto"/>
                <w:highlight w:val="none"/>
              </w:rPr>
            </w:pPr>
            <w:r>
              <w:rPr>
                <w:color w:val="auto"/>
                <w:highlight w:val="none"/>
              </w:rPr>
              <w:t>6.4 生产区内应设置生产废弃物存放处。生产废弃物应分类存放、集中处理。</w:t>
            </w:r>
          </w:p>
          <w:p w14:paraId="20E0F94A">
            <w:pPr>
              <w:pStyle w:val="31"/>
              <w:bidi w:val="0"/>
              <w:rPr>
                <w:color w:val="auto"/>
                <w:highlight w:val="none"/>
              </w:rPr>
            </w:pPr>
            <w:r>
              <w:rPr>
                <w:color w:val="auto"/>
                <w:highlight w:val="none"/>
              </w:rPr>
              <w:t>6.5 厂区内应配备生产废水处置系统，并应满足冬期预拌混凝土生产期间的正常使用，宜建立雨雪水收集系统并有效利用。</w:t>
            </w:r>
          </w:p>
          <w:p w14:paraId="124FA0A7">
            <w:pPr>
              <w:pStyle w:val="31"/>
              <w:bidi w:val="0"/>
              <w:rPr>
                <w:rFonts w:hint="eastAsia"/>
                <w:color w:val="auto"/>
                <w:highlight w:val="none"/>
                <w:lang w:val="en-US" w:eastAsia="zh-CN"/>
              </w:rPr>
            </w:pPr>
            <w:r>
              <w:rPr>
                <w:rFonts w:hint="eastAsia"/>
                <w:color w:val="auto"/>
                <w:highlight w:val="none"/>
                <w:lang w:val="en-US" w:eastAsia="zh-CN"/>
              </w:rPr>
              <w:t>……</w:t>
            </w:r>
          </w:p>
          <w:p w14:paraId="5CE345CD">
            <w:pPr>
              <w:pStyle w:val="31"/>
              <w:bidi w:val="0"/>
              <w:rPr>
                <w:color w:val="auto"/>
                <w:highlight w:val="none"/>
              </w:rPr>
            </w:pPr>
            <w:r>
              <w:rPr>
                <w:color w:val="auto"/>
                <w:highlight w:val="none"/>
              </w:rPr>
              <w:t>7.1 预拌混凝土绿色生产宜选用技术先进、噪音低、低能耗、低排放的搅拌、运输和试验设备。</w:t>
            </w:r>
          </w:p>
          <w:p w14:paraId="3D5D13AC">
            <w:pPr>
              <w:pStyle w:val="31"/>
              <w:bidi w:val="0"/>
              <w:rPr>
                <w:color w:val="auto"/>
                <w:highlight w:val="none"/>
              </w:rPr>
            </w:pPr>
            <w:r>
              <w:rPr>
                <w:color w:val="auto"/>
                <w:highlight w:val="none"/>
              </w:rPr>
              <w:t>7.2 搅拌站（楼）宜采用整体封闭方式。</w:t>
            </w:r>
          </w:p>
          <w:p w14:paraId="7EE4CC78">
            <w:pPr>
              <w:pStyle w:val="31"/>
              <w:bidi w:val="0"/>
              <w:rPr>
                <w:color w:val="auto"/>
                <w:highlight w:val="none"/>
              </w:rPr>
            </w:pPr>
            <w:r>
              <w:rPr>
                <w:color w:val="auto"/>
                <w:highlight w:val="none"/>
              </w:rPr>
              <w:t>7.3 搅拌站（楼）应安装除尘装置，并应保持正常使用。</w:t>
            </w:r>
          </w:p>
          <w:p w14:paraId="4DDCB2AB">
            <w:pPr>
              <w:pStyle w:val="31"/>
              <w:bidi w:val="0"/>
              <w:rPr>
                <w:color w:val="auto"/>
                <w:highlight w:val="none"/>
              </w:rPr>
            </w:pPr>
            <w:r>
              <w:rPr>
                <w:color w:val="auto"/>
                <w:highlight w:val="none"/>
              </w:rPr>
              <w:t>8.2.1 在绿色生产过程中，不得向厂界以外直接排放生产废水和废弃混凝土。</w:t>
            </w:r>
          </w:p>
          <w:p w14:paraId="3E202A3F">
            <w:pPr>
              <w:pStyle w:val="31"/>
              <w:bidi w:val="0"/>
              <w:rPr>
                <w:rFonts w:hint="default"/>
                <w:color w:val="auto"/>
                <w:highlight w:val="none"/>
                <w:lang w:val="en-US" w:eastAsia="zh-CN"/>
              </w:rPr>
            </w:pPr>
            <w:r>
              <w:rPr>
                <w:rFonts w:hint="eastAsia"/>
                <w:color w:val="auto"/>
                <w:highlight w:val="none"/>
                <w:lang w:val="en-US" w:eastAsia="zh-CN"/>
              </w:rPr>
              <w:t>本项目综合室位于厂区外南侧，依托芦苇站现有闲置厂房，设立办公室、实验室、防渗旱厕，</w:t>
            </w:r>
            <w:r>
              <w:rPr>
                <w:color w:val="auto"/>
                <w:highlight w:val="none"/>
              </w:rPr>
              <w:t>办公区</w:t>
            </w:r>
            <w:r>
              <w:rPr>
                <w:rFonts w:hint="eastAsia"/>
                <w:color w:val="auto"/>
                <w:highlight w:val="none"/>
                <w:lang w:val="en-US" w:eastAsia="zh-CN"/>
              </w:rPr>
              <w:t>远离生产区。</w:t>
            </w:r>
            <w:r>
              <w:rPr>
                <w:color w:val="auto"/>
                <w:highlight w:val="none"/>
              </w:rPr>
              <w:t>厂区内道路</w:t>
            </w:r>
            <w:r>
              <w:rPr>
                <w:rFonts w:hint="eastAsia"/>
                <w:color w:val="auto"/>
                <w:highlight w:val="none"/>
                <w:lang w:val="en-US" w:eastAsia="zh-CN"/>
              </w:rPr>
              <w:t>及地面均采取硬化措施。固体废物分类贮存，并妥善处置。本项目洒水抑尘用水全部自然蒸发消耗，设备冲洗水全部回用于生产进入产品，车辆冲洗废水经沉淀池沉淀后回用于车辆冲洗后全部自然蒸发消耗，搅拌用水全部</w:t>
            </w:r>
            <w:r>
              <w:rPr>
                <w:color w:val="auto"/>
                <w:highlight w:val="none"/>
              </w:rPr>
              <w:t>进入产品</w:t>
            </w:r>
            <w:r>
              <w:rPr>
                <w:rFonts w:hint="eastAsia"/>
                <w:color w:val="auto"/>
                <w:highlight w:val="none"/>
                <w:lang w:eastAsia="zh-CN"/>
              </w:rPr>
              <w:t>，</w:t>
            </w:r>
            <w:r>
              <w:rPr>
                <w:rFonts w:hint="eastAsia"/>
                <w:color w:val="auto"/>
                <w:highlight w:val="none"/>
                <w:lang w:val="en-US" w:eastAsia="zh-CN"/>
              </w:rPr>
              <w:t>因此本项目无生产废水外排；生活污水排入防渗旱厕，定期清掏，外运堆肥；初期雨水通过厂区地势自然流入沉淀池后用于厂区洒水降尘，全部自然蒸发，不外排。项目采用低噪声设备、设备安装基础减振，运输车辆厂区内降低车速、禁止鸣笛。石子和砂子通过车辆运输进厂后卸料、贮存在堆场内，堆场内采取苫盖、洒水抑尘等措施，四周布置防风抑尘网；水泥筒仓、粉煤灰筒仓、外加剂罐自带的布袋除尘器，进料粉尘经布袋除尘器处理后通过罐顶通气孔无组织排放；砂、碎石等投料斗上方设置半封闭式罩棚与雾化喷淋装置，水泥、粉煤灰、外加剂等原料的输送、计量、投料等方式均为封闭式，物料计量后通过封闭输送机输送至搅拌站内，混合搅拌工序在密闭的搅拌站内，搅拌机投料口设置集气罩收集产生的颗粒物，经布袋除尘器处理后通过站顶排气口无组织排放；项目运输采取苫盖货车、密闭罐车运输，厂内及时清扫道路并定期洒水降尘，以减少道路扬尘的产生。</w:t>
            </w:r>
          </w:p>
          <w:p w14:paraId="05B20BA7">
            <w:pPr>
              <w:pStyle w:val="31"/>
              <w:bidi w:val="0"/>
              <w:rPr>
                <w:rFonts w:hint="default"/>
                <w:color w:val="auto"/>
                <w:highlight w:val="none"/>
                <w:lang w:val="en-US" w:eastAsia="zh-CN"/>
              </w:rPr>
            </w:pPr>
            <w:r>
              <w:rPr>
                <w:rFonts w:hint="eastAsia"/>
                <w:color w:val="auto"/>
                <w:highlight w:val="none"/>
                <w:lang w:val="en-US" w:eastAsia="zh-CN"/>
              </w:rPr>
              <w:t>因此，本项目符合</w:t>
            </w:r>
            <w:r>
              <w:rPr>
                <w:rFonts w:hint="default"/>
                <w:color w:val="auto"/>
                <w:highlight w:val="none"/>
              </w:rPr>
              <w:t>《黑龙江省预拌混凝土绿色生产及管理技术规程》</w:t>
            </w:r>
            <w:r>
              <w:rPr>
                <w:rFonts w:hint="eastAsia"/>
                <w:color w:val="auto"/>
                <w:highlight w:val="none"/>
                <w:lang w:eastAsia="zh-CN"/>
              </w:rPr>
              <w:t>（</w:t>
            </w:r>
            <w:r>
              <w:rPr>
                <w:rFonts w:hint="default"/>
                <w:color w:val="auto"/>
                <w:highlight w:val="none"/>
              </w:rPr>
              <w:t>DB23-T3562-2023</w:t>
            </w:r>
            <w:r>
              <w:rPr>
                <w:rFonts w:hint="eastAsia"/>
                <w:color w:val="auto"/>
                <w:highlight w:val="none"/>
                <w:lang w:eastAsia="zh-CN"/>
              </w:rPr>
              <w:t>）</w:t>
            </w:r>
            <w:r>
              <w:rPr>
                <w:rFonts w:hint="eastAsia"/>
                <w:color w:val="auto"/>
                <w:highlight w:val="none"/>
                <w:lang w:val="en-US" w:eastAsia="zh-CN"/>
              </w:rPr>
              <w:t>中相关要求。</w:t>
            </w:r>
          </w:p>
          <w:p w14:paraId="77AD934F">
            <w:pPr>
              <w:pStyle w:val="31"/>
              <w:bidi w:val="0"/>
              <w:rPr>
                <w:rFonts w:hint="eastAsia"/>
                <w:b/>
                <w:bCs/>
                <w:color w:val="auto"/>
                <w:highlight w:val="none"/>
                <w:lang w:val="en-US" w:eastAsia="zh-CN"/>
              </w:rPr>
            </w:pPr>
            <w:r>
              <w:rPr>
                <w:rFonts w:hint="eastAsia"/>
                <w:b/>
                <w:bCs/>
                <w:color w:val="auto"/>
                <w:highlight w:val="none"/>
                <w:lang w:val="en-US" w:eastAsia="zh-CN"/>
              </w:rPr>
              <w:t>九、与</w:t>
            </w:r>
            <w:r>
              <w:rPr>
                <w:rFonts w:hint="default"/>
                <w:b/>
                <w:bCs/>
                <w:color w:val="auto"/>
                <w:highlight w:val="none"/>
              </w:rPr>
              <w:t>《促进绿色建材生产和应用行动方案》</w:t>
            </w:r>
            <w:r>
              <w:rPr>
                <w:rFonts w:hint="eastAsia"/>
                <w:b/>
                <w:bCs/>
                <w:color w:val="auto"/>
                <w:highlight w:val="none"/>
                <w:lang w:val="en-US" w:eastAsia="zh-CN"/>
              </w:rPr>
              <w:t>的符合性分析</w:t>
            </w:r>
          </w:p>
          <w:p w14:paraId="2E96431C">
            <w:pPr>
              <w:pStyle w:val="31"/>
              <w:bidi w:val="0"/>
              <w:rPr>
                <w:rFonts w:hint="eastAsia"/>
                <w:color w:val="auto"/>
                <w:highlight w:val="none"/>
              </w:rPr>
            </w:pPr>
            <w:r>
              <w:rPr>
                <w:rFonts w:hint="eastAsia"/>
                <w:color w:val="auto"/>
                <w:highlight w:val="none"/>
              </w:rPr>
              <w:t>（七）发展高品质和专用水泥。制修订水泥产品标准，完善产品质量标准体系，鼓励生产和使用高标号水泥、纯熟料水泥。优先发展并规范使用海工、核电、道路等工程专用水泥。支持延伸产业链，完善混凝土掺合料标准，加快机制砂石工业化、标准化和绿色化。</w:t>
            </w:r>
          </w:p>
          <w:p w14:paraId="0188AC4D">
            <w:pPr>
              <w:pStyle w:val="31"/>
              <w:bidi w:val="0"/>
              <w:rPr>
                <w:rFonts w:hint="default" w:eastAsia="宋体"/>
                <w:color w:val="auto"/>
                <w:highlight w:val="none"/>
                <w:lang w:val="en-US" w:eastAsia="zh-CN"/>
              </w:rPr>
            </w:pPr>
            <w:r>
              <w:rPr>
                <w:rFonts w:hint="eastAsia"/>
                <w:color w:val="auto"/>
                <w:highlight w:val="none"/>
                <w:lang w:val="en-US" w:eastAsia="zh-CN"/>
              </w:rPr>
              <w:t>本项目生产原料使用水泥主要成分为硅酸盐水泥熟料，符合</w:t>
            </w:r>
            <w:r>
              <w:rPr>
                <w:rFonts w:hint="default"/>
                <w:color w:val="auto"/>
                <w:highlight w:val="none"/>
              </w:rPr>
              <w:t>《促进绿色建材生产和应用行动方案》</w:t>
            </w:r>
            <w:r>
              <w:rPr>
                <w:rFonts w:hint="eastAsia"/>
                <w:color w:val="auto"/>
                <w:highlight w:val="none"/>
                <w:lang w:val="en-US" w:eastAsia="zh-CN"/>
              </w:rPr>
              <w:t>中相关要求。</w:t>
            </w:r>
          </w:p>
          <w:p w14:paraId="1D8E9AA2">
            <w:pPr>
              <w:pStyle w:val="14"/>
              <w:bidi w:val="0"/>
              <w:rPr>
                <w:b/>
                <w:bCs/>
                <w:color w:val="auto"/>
                <w:highlight w:val="none"/>
              </w:rPr>
            </w:pPr>
            <w:r>
              <w:rPr>
                <w:rFonts w:hint="eastAsia"/>
                <w:b/>
                <w:bCs/>
                <w:color w:val="auto"/>
                <w:highlight w:val="none"/>
                <w:lang w:val="en-US" w:eastAsia="zh-CN"/>
              </w:rPr>
              <w:t>十、选址合理性分析</w:t>
            </w:r>
          </w:p>
          <w:p w14:paraId="659C94D7">
            <w:pPr>
              <w:pStyle w:val="31"/>
              <w:bidi w:val="0"/>
              <w:rPr>
                <w:rFonts w:hint="eastAsia"/>
                <w:color w:val="auto"/>
                <w:highlight w:val="none"/>
                <w:lang w:eastAsia="zh-CN"/>
              </w:rPr>
            </w:pPr>
            <w:r>
              <w:rPr>
                <w:rFonts w:hint="eastAsia"/>
                <w:color w:val="auto"/>
                <w:highlight w:val="none"/>
              </w:rPr>
              <w:t>本项目位于</w:t>
            </w:r>
            <w:r>
              <w:rPr>
                <w:rFonts w:hint="eastAsia"/>
                <w:color w:val="auto"/>
                <w:highlight w:val="none"/>
                <w:lang w:eastAsia="zh-CN"/>
              </w:rPr>
              <w:t>黑龙江省双鸭山市四方台区三江农资东侧，</w:t>
            </w:r>
            <w:r>
              <w:rPr>
                <w:rFonts w:hint="eastAsia"/>
                <w:color w:val="auto"/>
                <w:highlight w:val="none"/>
                <w:lang w:val="en-US" w:eastAsia="zh-CN"/>
              </w:rPr>
              <w:t>用地性质为建设用地</w:t>
            </w:r>
            <w:r>
              <w:rPr>
                <w:rFonts w:hint="eastAsia"/>
                <w:color w:val="auto"/>
                <w:highlight w:val="none"/>
              </w:rPr>
              <w:t>，</w:t>
            </w:r>
            <w:r>
              <w:rPr>
                <w:color w:val="auto"/>
                <w:highlight w:val="none"/>
              </w:rPr>
              <w:t>不属于《限制用地项目目录（2012年本）》和《禁止用地项目目录（2012年本）》中的限制用地、禁止用地项目，符合土地政策要求。</w:t>
            </w:r>
            <w:r>
              <w:rPr>
                <w:rFonts w:hint="eastAsia"/>
                <w:color w:val="auto"/>
                <w:highlight w:val="none"/>
                <w:lang w:eastAsia="zh-CN"/>
              </w:rPr>
              <w:t>项目东侧为</w:t>
            </w:r>
            <w:r>
              <w:rPr>
                <w:rFonts w:hint="eastAsia"/>
                <w:color w:val="auto"/>
                <w:highlight w:val="none"/>
                <w:lang w:val="en-US" w:eastAsia="zh-CN"/>
              </w:rPr>
              <w:t>农田</w:t>
            </w:r>
            <w:r>
              <w:rPr>
                <w:rFonts w:hint="eastAsia"/>
                <w:color w:val="auto"/>
                <w:highlight w:val="none"/>
                <w:lang w:eastAsia="zh-CN"/>
              </w:rPr>
              <w:t>，项目西侧为</w:t>
            </w:r>
            <w:r>
              <w:rPr>
                <w:rFonts w:hint="eastAsia"/>
                <w:color w:val="auto"/>
                <w:highlight w:val="none"/>
                <w:lang w:val="en-US" w:eastAsia="zh-CN"/>
              </w:rPr>
              <w:t>农资仓库</w:t>
            </w:r>
            <w:r>
              <w:rPr>
                <w:rFonts w:hint="eastAsia"/>
                <w:color w:val="auto"/>
                <w:highlight w:val="none"/>
                <w:lang w:eastAsia="zh-CN"/>
              </w:rPr>
              <w:t>，项目南侧为</w:t>
            </w:r>
            <w:r>
              <w:rPr>
                <w:rFonts w:hint="eastAsia"/>
                <w:color w:val="auto"/>
                <w:highlight w:val="none"/>
                <w:lang w:val="en-US" w:eastAsia="zh-CN"/>
              </w:rPr>
              <w:t>空地，隔空地为本项目租赁办公室及实验室</w:t>
            </w:r>
            <w:r>
              <w:rPr>
                <w:rFonts w:hint="eastAsia"/>
                <w:color w:val="auto"/>
                <w:highlight w:val="none"/>
                <w:lang w:eastAsia="zh-CN"/>
              </w:rPr>
              <w:t>，项目北侧为</w:t>
            </w:r>
            <w:r>
              <w:rPr>
                <w:rFonts w:hint="eastAsia"/>
                <w:color w:val="auto"/>
                <w:highlight w:val="none"/>
                <w:lang w:val="en-US" w:eastAsia="zh-CN"/>
              </w:rPr>
              <w:t>农田</w:t>
            </w:r>
            <w:r>
              <w:rPr>
                <w:rFonts w:hint="eastAsia"/>
                <w:color w:val="auto"/>
                <w:highlight w:val="none"/>
                <w:lang w:eastAsia="zh-CN"/>
              </w:rPr>
              <w:t>。</w:t>
            </w:r>
          </w:p>
          <w:p w14:paraId="4A589054">
            <w:pPr>
              <w:pStyle w:val="31"/>
              <w:bidi w:val="0"/>
              <w:rPr>
                <w:color w:val="auto"/>
                <w:highlight w:val="none"/>
              </w:rPr>
            </w:pPr>
            <w:r>
              <w:rPr>
                <w:color w:val="auto"/>
                <w:highlight w:val="none"/>
              </w:rPr>
              <w:t>本项目选址符合</w:t>
            </w:r>
            <w:r>
              <w:rPr>
                <w:rFonts w:hint="eastAsia"/>
                <w:color w:val="auto"/>
                <w:highlight w:val="none"/>
              </w:rPr>
              <w:t>双鸭山市</w:t>
            </w:r>
            <w:r>
              <w:rPr>
                <w:color w:val="auto"/>
                <w:highlight w:val="none"/>
              </w:rPr>
              <w:t>三线一单要求，不涉及生态保护红线，本项目加强环境管理水平，减少污染物的排放，本项目不侵占生态保护红线-水源涵养功能极重要区、生物多样性维护功能极重要区、建设用地污染风险管控区内。</w:t>
            </w:r>
          </w:p>
          <w:p w14:paraId="6313EA85">
            <w:pPr>
              <w:pStyle w:val="31"/>
              <w:bidi w:val="0"/>
              <w:rPr>
                <w:rFonts w:hint="eastAsia"/>
                <w:color w:val="auto"/>
                <w:highlight w:val="none"/>
                <w:lang w:val="en-US" w:eastAsia="zh-CN"/>
              </w:rPr>
            </w:pPr>
            <w:r>
              <w:rPr>
                <w:rFonts w:hint="eastAsia"/>
                <w:color w:val="auto"/>
                <w:highlight w:val="none"/>
                <w:lang w:eastAsia="zh-CN"/>
              </w:rPr>
              <w:t>本项目厂界外500m范围内无地下水集中式饮用水水源和热水、矿泉水、温泉等特殊地下水资源。厂界外50m范围内无声环境保护目标。厂界外500m范围内环境空气保护目标为沙岗乡人群，</w:t>
            </w:r>
            <w:r>
              <w:rPr>
                <w:rFonts w:hint="eastAsia"/>
                <w:color w:val="auto"/>
                <w:highlight w:val="none"/>
                <w:lang w:val="en-US" w:eastAsia="zh-CN"/>
              </w:rPr>
              <w:t>位于厂区西南方向353m，项目在运营期产生废水、废气、噪声及固体废物污染等，在严格采取各项环境保护措施后，能保证各种污染物稳定达标排放。在确保污染防治措施全面实施并正常运行的前提下，通过加强环境管理，拟建项目的环境影响可被周围环境所接受。</w:t>
            </w:r>
          </w:p>
          <w:p w14:paraId="04698C53">
            <w:pPr>
              <w:pStyle w:val="31"/>
              <w:bidi w:val="0"/>
              <w:rPr>
                <w:color w:val="auto"/>
                <w:highlight w:val="none"/>
              </w:rPr>
            </w:pPr>
            <w:r>
              <w:rPr>
                <w:color w:val="auto"/>
                <w:highlight w:val="none"/>
              </w:rPr>
              <w:t>本报告提出的污染防治措施</w:t>
            </w:r>
            <w:r>
              <w:rPr>
                <w:rFonts w:hint="eastAsia"/>
                <w:color w:val="auto"/>
                <w:highlight w:val="none"/>
                <w:lang w:val="en-US" w:eastAsia="zh-CN"/>
              </w:rPr>
              <w:t>可</w:t>
            </w:r>
            <w:r>
              <w:rPr>
                <w:color w:val="auto"/>
                <w:highlight w:val="none"/>
              </w:rPr>
              <w:t>确保各项污染物稳定达标排放，对周围环境影响不大，选址可行。</w:t>
            </w:r>
          </w:p>
          <w:p w14:paraId="594A4C5E">
            <w:pPr>
              <w:pStyle w:val="31"/>
              <w:bidi w:val="0"/>
              <w:rPr>
                <w:color w:val="auto"/>
                <w:highlight w:val="none"/>
              </w:rPr>
            </w:pPr>
            <w:r>
              <w:rPr>
                <w:color w:val="auto"/>
                <w:highlight w:val="none"/>
              </w:rPr>
              <w:t>综上，本项目选址合理。</w:t>
            </w:r>
          </w:p>
          <w:p w14:paraId="74F09129">
            <w:pPr>
              <w:pStyle w:val="31"/>
              <w:bidi w:val="0"/>
              <w:rPr>
                <w:color w:val="auto"/>
                <w:highlight w:val="none"/>
              </w:rPr>
            </w:pPr>
          </w:p>
          <w:p w14:paraId="6303A870">
            <w:pPr>
              <w:pStyle w:val="31"/>
              <w:bidi w:val="0"/>
              <w:rPr>
                <w:color w:val="auto"/>
                <w:highlight w:val="none"/>
              </w:rPr>
            </w:pPr>
          </w:p>
          <w:p w14:paraId="2EA8DE22">
            <w:pPr>
              <w:pStyle w:val="31"/>
              <w:bidi w:val="0"/>
              <w:rPr>
                <w:color w:val="auto"/>
                <w:highlight w:val="none"/>
              </w:rPr>
            </w:pPr>
          </w:p>
          <w:p w14:paraId="468D5B90">
            <w:pPr>
              <w:pStyle w:val="31"/>
              <w:bidi w:val="0"/>
              <w:rPr>
                <w:color w:val="auto"/>
                <w:highlight w:val="none"/>
              </w:rPr>
            </w:pPr>
          </w:p>
          <w:p w14:paraId="04D5D260">
            <w:pPr>
              <w:pStyle w:val="31"/>
              <w:bidi w:val="0"/>
              <w:rPr>
                <w:color w:val="auto"/>
                <w:highlight w:val="none"/>
              </w:rPr>
            </w:pPr>
          </w:p>
          <w:p w14:paraId="49C03B89">
            <w:pPr>
              <w:pStyle w:val="31"/>
              <w:bidi w:val="0"/>
              <w:rPr>
                <w:color w:val="auto"/>
                <w:highlight w:val="none"/>
              </w:rPr>
            </w:pPr>
          </w:p>
          <w:p w14:paraId="3EEADCDE">
            <w:pPr>
              <w:pStyle w:val="31"/>
              <w:bidi w:val="0"/>
              <w:rPr>
                <w:color w:val="auto"/>
                <w:highlight w:val="none"/>
              </w:rPr>
            </w:pPr>
          </w:p>
          <w:p w14:paraId="09BC091E">
            <w:pPr>
              <w:pStyle w:val="31"/>
              <w:bidi w:val="0"/>
              <w:rPr>
                <w:color w:val="auto"/>
                <w:highlight w:val="none"/>
              </w:rPr>
            </w:pPr>
          </w:p>
          <w:p w14:paraId="386925E1">
            <w:pPr>
              <w:pStyle w:val="31"/>
              <w:bidi w:val="0"/>
              <w:rPr>
                <w:color w:val="auto"/>
                <w:highlight w:val="none"/>
              </w:rPr>
            </w:pPr>
          </w:p>
          <w:p w14:paraId="6B8E050C">
            <w:pPr>
              <w:pStyle w:val="31"/>
              <w:bidi w:val="0"/>
              <w:rPr>
                <w:color w:val="auto"/>
                <w:highlight w:val="none"/>
              </w:rPr>
            </w:pPr>
          </w:p>
          <w:p w14:paraId="5C814DC3">
            <w:pPr>
              <w:pStyle w:val="31"/>
              <w:bidi w:val="0"/>
              <w:rPr>
                <w:color w:val="auto"/>
                <w:highlight w:val="none"/>
              </w:rPr>
            </w:pPr>
          </w:p>
          <w:p w14:paraId="7FCADDF9">
            <w:pPr>
              <w:pStyle w:val="31"/>
              <w:bidi w:val="0"/>
              <w:rPr>
                <w:color w:val="auto"/>
                <w:highlight w:val="none"/>
              </w:rPr>
            </w:pPr>
          </w:p>
          <w:p w14:paraId="704AF49C">
            <w:pPr>
              <w:pStyle w:val="31"/>
              <w:bidi w:val="0"/>
              <w:rPr>
                <w:color w:val="auto"/>
                <w:highlight w:val="none"/>
              </w:rPr>
            </w:pPr>
          </w:p>
          <w:p w14:paraId="1E3DDE72">
            <w:pPr>
              <w:pStyle w:val="31"/>
              <w:bidi w:val="0"/>
              <w:rPr>
                <w:color w:val="auto"/>
                <w:highlight w:val="none"/>
              </w:rPr>
            </w:pPr>
          </w:p>
          <w:p w14:paraId="09EC38FE">
            <w:pPr>
              <w:pStyle w:val="31"/>
              <w:bidi w:val="0"/>
              <w:rPr>
                <w:color w:val="auto"/>
                <w:highlight w:val="none"/>
              </w:rPr>
            </w:pPr>
          </w:p>
          <w:p w14:paraId="6E83E93F">
            <w:pPr>
              <w:pStyle w:val="31"/>
              <w:bidi w:val="0"/>
              <w:rPr>
                <w:color w:val="auto"/>
                <w:highlight w:val="none"/>
              </w:rPr>
            </w:pPr>
          </w:p>
          <w:p w14:paraId="5297236B">
            <w:pPr>
              <w:pStyle w:val="31"/>
              <w:bidi w:val="0"/>
              <w:rPr>
                <w:color w:val="auto"/>
                <w:highlight w:val="none"/>
              </w:rPr>
            </w:pPr>
          </w:p>
          <w:p w14:paraId="57D421EB">
            <w:pPr>
              <w:pStyle w:val="31"/>
              <w:bidi w:val="0"/>
              <w:rPr>
                <w:color w:val="auto"/>
                <w:highlight w:val="none"/>
              </w:rPr>
            </w:pPr>
          </w:p>
          <w:p w14:paraId="04040FE3">
            <w:pPr>
              <w:pStyle w:val="31"/>
              <w:bidi w:val="0"/>
              <w:rPr>
                <w:color w:val="auto"/>
                <w:highlight w:val="none"/>
              </w:rPr>
            </w:pPr>
          </w:p>
          <w:p w14:paraId="6444F01D">
            <w:pPr>
              <w:pStyle w:val="31"/>
              <w:bidi w:val="0"/>
              <w:rPr>
                <w:color w:val="auto"/>
                <w:highlight w:val="none"/>
              </w:rPr>
            </w:pPr>
          </w:p>
          <w:p w14:paraId="34F89130">
            <w:pPr>
              <w:pStyle w:val="31"/>
              <w:bidi w:val="0"/>
              <w:rPr>
                <w:color w:val="auto"/>
                <w:highlight w:val="none"/>
              </w:rPr>
            </w:pPr>
          </w:p>
          <w:p w14:paraId="6D1731D1">
            <w:pPr>
              <w:pStyle w:val="31"/>
              <w:bidi w:val="0"/>
              <w:rPr>
                <w:color w:val="auto"/>
                <w:highlight w:val="none"/>
              </w:rPr>
            </w:pPr>
          </w:p>
          <w:p w14:paraId="55CCB1E0">
            <w:pPr>
              <w:pStyle w:val="31"/>
              <w:bidi w:val="0"/>
              <w:rPr>
                <w:color w:val="auto"/>
                <w:highlight w:val="none"/>
              </w:rPr>
            </w:pPr>
          </w:p>
          <w:p w14:paraId="02859B1C">
            <w:pPr>
              <w:pStyle w:val="31"/>
              <w:bidi w:val="0"/>
              <w:rPr>
                <w:color w:val="auto"/>
                <w:highlight w:val="none"/>
              </w:rPr>
            </w:pPr>
          </w:p>
          <w:p w14:paraId="28985878">
            <w:pPr>
              <w:pStyle w:val="31"/>
              <w:bidi w:val="0"/>
              <w:rPr>
                <w:color w:val="auto"/>
                <w:highlight w:val="none"/>
              </w:rPr>
            </w:pPr>
          </w:p>
          <w:p w14:paraId="44871058">
            <w:pPr>
              <w:pStyle w:val="31"/>
              <w:bidi w:val="0"/>
              <w:rPr>
                <w:color w:val="auto"/>
                <w:highlight w:val="none"/>
              </w:rPr>
            </w:pPr>
          </w:p>
          <w:p w14:paraId="203A219E">
            <w:pPr>
              <w:pStyle w:val="31"/>
              <w:bidi w:val="0"/>
              <w:rPr>
                <w:color w:val="auto"/>
                <w:highlight w:val="none"/>
              </w:rPr>
            </w:pPr>
          </w:p>
          <w:p w14:paraId="5FB27DF0">
            <w:pPr>
              <w:pStyle w:val="31"/>
              <w:bidi w:val="0"/>
              <w:rPr>
                <w:color w:val="auto"/>
                <w:highlight w:val="none"/>
              </w:rPr>
            </w:pPr>
          </w:p>
          <w:p w14:paraId="6C01DF74">
            <w:pPr>
              <w:pStyle w:val="31"/>
              <w:keepNext w:val="0"/>
              <w:keepLines w:val="0"/>
              <w:pageBreakBefore w:val="0"/>
              <w:widowControl w:val="0"/>
              <w:kinsoku/>
              <w:wordWrap w:val="0"/>
              <w:overflowPunct/>
              <w:topLinePunct/>
              <w:autoSpaceDE/>
              <w:autoSpaceDN/>
              <w:bidi w:val="0"/>
              <w:adjustRightInd/>
              <w:snapToGrid/>
              <w:spacing w:after="157" w:afterLines="50"/>
              <w:ind w:left="0" w:leftChars="0" w:firstLine="0" w:firstLineChars="0"/>
              <w:textAlignment w:val="auto"/>
              <w:rPr>
                <w:color w:val="auto"/>
                <w:highlight w:val="none"/>
              </w:rPr>
            </w:pPr>
          </w:p>
        </w:tc>
      </w:tr>
    </w:tbl>
    <w:p w14:paraId="6EEA3C05">
      <w:pPr>
        <w:rPr>
          <w:rFonts w:ascii="Times New Roman" w:hAnsi="Times New Roman" w:eastAsia="宋体" w:cs="宋体"/>
          <w:color w:val="auto"/>
          <w:sz w:val="30"/>
          <w:highlight w:val="none"/>
        </w:rPr>
        <w:sectPr>
          <w:footerReference r:id="rId8" w:type="default"/>
          <w:pgSz w:w="11906" w:h="16838"/>
          <w:pgMar w:top="1440" w:right="1800" w:bottom="1440" w:left="1800" w:header="851" w:footer="1077" w:gutter="0"/>
          <w:pgBorders>
            <w:top w:val="none" w:sz="0" w:space="0"/>
            <w:left w:val="none" w:sz="0" w:space="0"/>
            <w:bottom w:val="none" w:sz="0" w:space="0"/>
            <w:right w:val="none" w:sz="0" w:space="0"/>
          </w:pgBorders>
          <w:pgNumType w:start="1"/>
          <w:cols w:space="720" w:num="1"/>
          <w:docGrid w:linePitch="312" w:charSpace="0"/>
        </w:sectPr>
      </w:pPr>
    </w:p>
    <w:p w14:paraId="678F31A8">
      <w:pPr>
        <w:keepNext w:val="0"/>
        <w:keepLines w:val="0"/>
        <w:pageBreakBefore w:val="0"/>
        <w:widowControl w:val="0"/>
        <w:kinsoku/>
        <w:wordWrap w:val="0"/>
        <w:overflowPunct/>
        <w:topLinePunct/>
        <w:autoSpaceDE/>
        <w:autoSpaceDN/>
        <w:bidi w:val="0"/>
        <w:adjustRightInd/>
        <w:snapToGrid/>
        <w:spacing w:line="360" w:lineRule="auto"/>
        <w:ind w:firstLine="0" w:firstLineChars="0"/>
        <w:jc w:val="center"/>
        <w:textAlignment w:val="center"/>
        <w:outlineLvl w:val="0"/>
        <w:rPr>
          <w:rFonts w:hint="default" w:ascii="Times New Roman" w:hAnsi="Times New Roman" w:eastAsia="宋体" w:cs="宋体"/>
          <w:b/>
          <w:snapToGrid w:val="0"/>
          <w:color w:val="auto"/>
          <w:kern w:val="2"/>
          <w:sz w:val="30"/>
          <w:szCs w:val="30"/>
          <w:highlight w:val="none"/>
          <w:lang w:val="en-US" w:eastAsia="zh-CN" w:bidi="ar-SA"/>
        </w:rPr>
      </w:pPr>
      <w:bookmarkStart w:id="7" w:name="_Toc29781"/>
      <w:r>
        <w:rPr>
          <w:rFonts w:hint="eastAsia" w:ascii="Times New Roman" w:hAnsi="Times New Roman" w:eastAsia="宋体" w:cs="宋体"/>
          <w:b/>
          <w:snapToGrid w:val="0"/>
          <w:color w:val="auto"/>
          <w:kern w:val="2"/>
          <w:sz w:val="30"/>
          <w:szCs w:val="30"/>
          <w:highlight w:val="none"/>
          <w:lang w:val="en-US" w:eastAsia="zh-CN" w:bidi="ar-SA"/>
        </w:rPr>
        <w:t>二、建设项目工程分析</w:t>
      </w:r>
      <w:bookmarkEnd w:id="7"/>
    </w:p>
    <w:tbl>
      <w:tblPr>
        <w:tblStyle w:val="23"/>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8"/>
        <w:gridCol w:w="7764"/>
      </w:tblGrid>
      <w:tr w14:paraId="09B99F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5" w:type="pct"/>
            <w:noWrap w:val="0"/>
            <w:vAlign w:val="center"/>
          </w:tcPr>
          <w:p w14:paraId="611191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宋体"/>
                <w:color w:val="auto"/>
                <w:highlight w:val="none"/>
              </w:rPr>
            </w:pPr>
            <w:r>
              <w:rPr>
                <w:rFonts w:hint="eastAsia" w:ascii="Times New Roman" w:hAnsi="Times New Roman" w:eastAsia="宋体" w:cs="宋体"/>
                <w:color w:val="auto"/>
                <w:highlight w:val="none"/>
              </w:rPr>
              <w:t>建设内容</w:t>
            </w:r>
          </w:p>
        </w:tc>
        <w:tc>
          <w:tcPr>
            <w:tcW w:w="4554" w:type="pct"/>
            <w:noWrap w:val="0"/>
            <w:vAlign w:val="top"/>
          </w:tcPr>
          <w:p w14:paraId="42BA674B">
            <w:pPr>
              <w:pStyle w:val="30"/>
              <w:bidi w:val="0"/>
              <w:rPr>
                <w:b/>
                <w:bCs/>
                <w:color w:val="auto"/>
                <w:highlight w:val="none"/>
              </w:rPr>
            </w:pPr>
            <w:r>
              <w:rPr>
                <w:rFonts w:hint="eastAsia"/>
                <w:b/>
                <w:bCs/>
                <w:color w:val="auto"/>
                <w:highlight w:val="none"/>
                <w:lang w:val="en-US" w:eastAsia="zh-CN"/>
              </w:rPr>
              <w:t>1、</w:t>
            </w:r>
            <w:r>
              <w:rPr>
                <w:b/>
                <w:bCs/>
                <w:color w:val="auto"/>
                <w:highlight w:val="none"/>
              </w:rPr>
              <w:t>基本情况</w:t>
            </w:r>
          </w:p>
          <w:p w14:paraId="31D02FAF">
            <w:pPr>
              <w:pStyle w:val="31"/>
              <w:bidi w:val="0"/>
              <w:rPr>
                <w:color w:val="auto"/>
                <w:highlight w:val="none"/>
              </w:rPr>
            </w:pPr>
            <w:r>
              <w:rPr>
                <w:rFonts w:hint="eastAsia"/>
                <w:color w:val="auto"/>
                <w:highlight w:val="none"/>
              </w:rPr>
              <w:t>企业于202</w:t>
            </w:r>
            <w:r>
              <w:rPr>
                <w:rFonts w:hint="eastAsia"/>
                <w:color w:val="auto"/>
                <w:highlight w:val="none"/>
                <w:lang w:val="en-US" w:eastAsia="zh-CN"/>
              </w:rPr>
              <w:t>4</w:t>
            </w:r>
            <w:r>
              <w:rPr>
                <w:rFonts w:hint="eastAsia"/>
                <w:color w:val="auto"/>
                <w:highlight w:val="none"/>
              </w:rPr>
              <w:t>年</w:t>
            </w:r>
            <w:r>
              <w:rPr>
                <w:rFonts w:hint="eastAsia"/>
                <w:color w:val="auto"/>
                <w:highlight w:val="none"/>
                <w:lang w:val="en-US" w:eastAsia="zh-CN"/>
              </w:rPr>
              <w:t>8</w:t>
            </w:r>
            <w:r>
              <w:rPr>
                <w:rFonts w:hint="eastAsia"/>
                <w:color w:val="auto"/>
                <w:highlight w:val="none"/>
              </w:rPr>
              <w:t>月已建设完成，尚未投入使用</w:t>
            </w:r>
            <w:r>
              <w:rPr>
                <w:rFonts w:hint="eastAsia"/>
                <w:color w:val="auto"/>
                <w:highlight w:val="none"/>
                <w:lang w:eastAsia="zh-CN"/>
              </w:rPr>
              <w:t>，</w:t>
            </w:r>
            <w:r>
              <w:rPr>
                <w:rFonts w:hint="eastAsia"/>
                <w:color w:val="auto"/>
                <w:highlight w:val="none"/>
                <w:lang w:val="en-US" w:eastAsia="zh-CN"/>
              </w:rPr>
              <w:t>属于未批先建，已接受处罚，处罚文件见附件7，罚款缴费证明见附件8。</w:t>
            </w:r>
          </w:p>
          <w:p w14:paraId="064B5AB4">
            <w:pPr>
              <w:pStyle w:val="14"/>
              <w:rPr>
                <w:rFonts w:hint="default"/>
                <w:color w:val="auto"/>
                <w:highlight w:val="none"/>
                <w:lang w:val="en-US" w:eastAsia="zh-CN"/>
              </w:rPr>
            </w:pPr>
            <w:r>
              <w:rPr>
                <w:rFonts w:ascii="Times New Roman" w:hAnsi="Times New Roman" w:eastAsia="宋体" w:cs="Times New Roman"/>
                <w:color w:val="auto"/>
                <w:kern w:val="2"/>
                <w:sz w:val="24"/>
                <w:szCs w:val="24"/>
                <w:highlight w:val="none"/>
                <w:lang w:val="en-US" w:eastAsia="zh-CN" w:bidi="ar-SA"/>
              </w:rPr>
              <w:t>按照《关于做好固定污染源排污许可清理整顿和2020年排污许可发证登记工作的通知》（环办环评函</w:t>
            </w:r>
            <w:r>
              <w:rPr>
                <w:rFonts w:hint="eastAsia" w:ascii="Times New Roman" w:hAnsi="Times New Roman" w:eastAsia="宋体" w:cs="Times New Roman"/>
                <w:color w:val="auto"/>
                <w:kern w:val="2"/>
                <w:sz w:val="24"/>
                <w:szCs w:val="24"/>
                <w:highlight w:val="none"/>
                <w:lang w:val="en-US" w:eastAsia="zh-CN" w:bidi="ar-SA"/>
              </w:rPr>
              <w:t>〔2019〕939号</w:t>
            </w:r>
            <w:r>
              <w:rPr>
                <w:rFonts w:ascii="Times New Roman" w:hAnsi="Times New Roman" w:eastAsia="宋体" w:cs="Times New Roman"/>
                <w:color w:val="auto"/>
                <w:kern w:val="2"/>
                <w:sz w:val="24"/>
                <w:szCs w:val="24"/>
                <w:highlight w:val="none"/>
                <w:lang w:val="en-US" w:eastAsia="zh-CN" w:bidi="ar-SA"/>
              </w:rPr>
              <w:t>）、《关于固定污染源排污限期整改有关事项的通知》（环环评</w:t>
            </w:r>
            <w:r>
              <w:rPr>
                <w:rFonts w:hint="eastAsia" w:ascii="Times New Roman" w:hAnsi="Times New Roman" w:eastAsia="宋体" w:cs="Times New Roman"/>
                <w:color w:val="auto"/>
                <w:kern w:val="2"/>
                <w:sz w:val="24"/>
                <w:szCs w:val="24"/>
                <w:highlight w:val="none"/>
                <w:lang w:val="en-US" w:eastAsia="zh-CN" w:bidi="ar-SA"/>
              </w:rPr>
              <w:t>〔2020〕19号</w:t>
            </w:r>
            <w:r>
              <w:rPr>
                <w:rFonts w:ascii="Times New Roman" w:hAnsi="Times New Roman" w:eastAsia="宋体" w:cs="Times New Roman"/>
                <w:color w:val="auto"/>
                <w:kern w:val="2"/>
                <w:sz w:val="24"/>
                <w:szCs w:val="24"/>
                <w:highlight w:val="none"/>
                <w:lang w:val="en-US" w:eastAsia="zh-CN" w:bidi="ar-SA"/>
              </w:rPr>
              <w:t>）的要求，需</w:t>
            </w:r>
            <w:r>
              <w:rPr>
                <w:rFonts w:hint="eastAsia" w:eastAsia="宋体" w:cs="Times New Roman"/>
                <w:color w:val="auto"/>
                <w:kern w:val="2"/>
                <w:sz w:val="24"/>
                <w:szCs w:val="24"/>
                <w:highlight w:val="none"/>
                <w:lang w:val="en-US" w:eastAsia="zh-CN" w:bidi="ar-SA"/>
              </w:rPr>
              <w:t>补</w:t>
            </w:r>
            <w:r>
              <w:rPr>
                <w:rFonts w:ascii="Times New Roman" w:hAnsi="Times New Roman" w:eastAsia="宋体" w:cs="Times New Roman"/>
                <w:color w:val="auto"/>
                <w:kern w:val="2"/>
                <w:sz w:val="24"/>
                <w:szCs w:val="24"/>
                <w:highlight w:val="none"/>
                <w:lang w:val="en-US" w:eastAsia="zh-CN" w:bidi="ar-SA"/>
              </w:rPr>
              <w:t>办理环境影响评价审批手续。</w:t>
            </w:r>
          </w:p>
          <w:p w14:paraId="15D05EA9">
            <w:pPr>
              <w:pStyle w:val="31"/>
              <w:bidi w:val="0"/>
              <w:rPr>
                <w:b/>
                <w:bCs/>
                <w:color w:val="auto"/>
                <w:highlight w:val="none"/>
              </w:rPr>
            </w:pPr>
            <w:r>
              <w:rPr>
                <w:rFonts w:hint="eastAsia"/>
                <w:b/>
                <w:bCs/>
                <w:color w:val="auto"/>
                <w:highlight w:val="none"/>
                <w:lang w:val="en-US" w:eastAsia="zh-CN"/>
              </w:rPr>
              <w:t>2</w:t>
            </w:r>
            <w:r>
              <w:rPr>
                <w:rFonts w:hint="eastAsia"/>
                <w:b/>
                <w:bCs/>
                <w:color w:val="auto"/>
                <w:highlight w:val="none"/>
                <w:lang w:eastAsia="zh-CN"/>
              </w:rPr>
              <w:t>、</w:t>
            </w:r>
            <w:r>
              <w:rPr>
                <w:b/>
                <w:bCs/>
                <w:color w:val="auto"/>
                <w:highlight w:val="none"/>
              </w:rPr>
              <w:t>建设内容</w:t>
            </w:r>
          </w:p>
          <w:p w14:paraId="5794E537">
            <w:pPr>
              <w:keepNext w:val="0"/>
              <w:keepLines w:val="0"/>
              <w:pageBreakBefore w:val="0"/>
              <w:widowControl w:val="0"/>
              <w:kinsoku/>
              <w:wordWrap/>
              <w:overflowPunct/>
              <w:topLinePunct/>
              <w:autoSpaceDE/>
              <w:autoSpaceDN/>
              <w:bidi w:val="0"/>
              <w:adjustRightInd/>
              <w:snapToGrid/>
              <w:spacing w:line="360" w:lineRule="auto"/>
              <w:ind w:firstLine="480" w:firstLineChars="200"/>
              <w:jc w:val="left"/>
              <w:textAlignment w:val="center"/>
              <w:rPr>
                <w:rFonts w:ascii="Times New Roman" w:hAnsi="Times New Roman" w:eastAsia="宋体" w:cs="Times New Roman"/>
                <w:color w:val="auto"/>
                <w:kern w:val="2"/>
                <w:sz w:val="24"/>
                <w:szCs w:val="24"/>
                <w:highlight w:val="none"/>
                <w:lang w:val="en-US" w:eastAsia="zh-CN" w:bidi="ar-SA"/>
              </w:rPr>
            </w:pPr>
            <w:r>
              <w:rPr>
                <w:color w:val="auto"/>
                <w:sz w:val="24"/>
                <w:szCs w:val="24"/>
                <w:highlight w:val="none"/>
              </w:rPr>
              <w:t>本项目</w:t>
            </w:r>
            <w:r>
              <w:rPr>
                <w:rFonts w:hint="eastAsia"/>
                <w:color w:val="auto"/>
                <w:sz w:val="24"/>
                <w:szCs w:val="24"/>
                <w:highlight w:val="none"/>
                <w:lang w:val="en-US" w:eastAsia="zh-CN"/>
              </w:rPr>
              <w:t>位于</w:t>
            </w:r>
            <w:r>
              <w:rPr>
                <w:rFonts w:hint="eastAsia"/>
                <w:color w:val="auto"/>
                <w:sz w:val="24"/>
                <w:szCs w:val="24"/>
                <w:highlight w:val="none"/>
                <w:lang w:eastAsia="zh-CN"/>
              </w:rPr>
              <w:t>黑龙江省双鸭山市四方台区三江农资东侧，</w:t>
            </w:r>
            <w:r>
              <w:rPr>
                <w:rFonts w:hint="eastAsia"/>
                <w:color w:val="auto"/>
                <w:sz w:val="24"/>
                <w:szCs w:val="24"/>
                <w:highlight w:val="none"/>
                <w:lang w:val="en-US" w:eastAsia="zh-CN"/>
              </w:rPr>
              <w:t>项目租赁芦苇站部分土地</w:t>
            </w:r>
            <w:r>
              <w:rPr>
                <w:rFonts w:hint="eastAsia"/>
                <w:color w:val="auto"/>
                <w:sz w:val="24"/>
                <w:szCs w:val="24"/>
                <w:highlight w:val="none"/>
                <w:lang w:eastAsia="zh-CN"/>
              </w:rPr>
              <w:t>，</w:t>
            </w:r>
            <w:r>
              <w:rPr>
                <w:rFonts w:hint="eastAsia"/>
                <w:color w:val="auto"/>
                <w:sz w:val="24"/>
                <w:szCs w:val="24"/>
                <w:highlight w:val="none"/>
                <w:lang w:val="en-US" w:eastAsia="zh-CN"/>
              </w:rPr>
              <w:t>租赁总占地面积为17500m</w:t>
            </w:r>
            <w:r>
              <w:rPr>
                <w:rFonts w:hint="eastAsia"/>
                <w:color w:val="auto"/>
                <w:sz w:val="24"/>
                <w:szCs w:val="24"/>
                <w:highlight w:val="none"/>
                <w:vertAlign w:val="superscript"/>
                <w:lang w:val="en-US" w:eastAsia="zh-CN"/>
              </w:rPr>
              <w:t>2</w:t>
            </w:r>
            <w:r>
              <w:rPr>
                <w:rFonts w:hint="eastAsia"/>
                <w:color w:val="auto"/>
                <w:sz w:val="24"/>
                <w:szCs w:val="24"/>
                <w:highlight w:val="none"/>
                <w:lang w:val="en-US" w:eastAsia="zh-CN"/>
              </w:rPr>
              <w:t>。</w:t>
            </w:r>
            <w:r>
              <w:rPr>
                <w:rFonts w:hint="eastAsia" w:ascii="Times New Roman" w:hAnsi="Times New Roman" w:eastAsia="宋体" w:cs="Times New Roman"/>
                <w:color w:val="auto"/>
                <w:kern w:val="2"/>
                <w:sz w:val="24"/>
                <w:szCs w:val="24"/>
                <w:highlight w:val="none"/>
                <w:lang w:val="en-US" w:eastAsia="zh-CN" w:bidi="ar-SA"/>
              </w:rPr>
              <w:t>本项目</w:t>
            </w:r>
            <w:r>
              <w:rPr>
                <w:rFonts w:ascii="Times New Roman" w:hAnsi="Times New Roman" w:eastAsia="宋体" w:cs="Times New Roman"/>
                <w:color w:val="auto"/>
                <w:kern w:val="2"/>
                <w:sz w:val="24"/>
                <w:szCs w:val="24"/>
                <w:highlight w:val="none"/>
                <w:lang w:val="en-US" w:eastAsia="zh-CN" w:bidi="ar-SA"/>
              </w:rPr>
              <w:t>主要建设</w:t>
            </w:r>
            <w:r>
              <w:rPr>
                <w:rFonts w:hint="eastAsia" w:cs="Times New Roman"/>
                <w:color w:val="auto"/>
                <w:kern w:val="2"/>
                <w:sz w:val="24"/>
                <w:szCs w:val="24"/>
                <w:highlight w:val="none"/>
                <w:lang w:val="en-US" w:eastAsia="zh-CN" w:bidi="ar-SA"/>
              </w:rPr>
              <w:t>一条</w:t>
            </w:r>
            <w:r>
              <w:rPr>
                <w:rFonts w:hint="eastAsia"/>
                <w:color w:val="auto"/>
                <w:sz w:val="24"/>
                <w:szCs w:val="24"/>
                <w:highlight w:val="none"/>
                <w:lang w:val="en-US" w:eastAsia="zh-CN"/>
              </w:rPr>
              <w:t>商品混凝土生产线</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年</w:t>
            </w:r>
            <w:r>
              <w:rPr>
                <w:rFonts w:hint="eastAsia" w:ascii="Times New Roman" w:hAnsi="Times New Roman" w:eastAsia="宋体" w:cs="Times New Roman"/>
                <w:color w:val="auto"/>
                <w:kern w:val="2"/>
                <w:sz w:val="24"/>
                <w:szCs w:val="24"/>
                <w:highlight w:val="none"/>
                <w:lang w:val="en-US" w:eastAsia="zh-CN" w:bidi="ar-SA"/>
              </w:rPr>
              <w:t>生产商品</w:t>
            </w:r>
            <w:r>
              <w:rPr>
                <w:rFonts w:hint="eastAsia"/>
                <w:color w:val="auto"/>
                <w:sz w:val="24"/>
                <w:szCs w:val="24"/>
                <w:highlight w:val="none"/>
                <w:lang w:val="en-US" w:eastAsia="zh-CN"/>
              </w:rPr>
              <w:t>混凝土5万m</w:t>
            </w:r>
            <w:r>
              <w:rPr>
                <w:rFonts w:hint="eastAsia"/>
                <w:color w:val="auto"/>
                <w:sz w:val="24"/>
                <w:szCs w:val="24"/>
                <w:highlight w:val="none"/>
                <w:vertAlign w:val="superscript"/>
                <w:lang w:val="en-US" w:eastAsia="zh-CN"/>
              </w:rPr>
              <w:t>3</w:t>
            </w:r>
            <w:r>
              <w:rPr>
                <w:rFonts w:hint="eastAsia"/>
                <w:color w:val="auto"/>
                <w:sz w:val="24"/>
                <w:szCs w:val="24"/>
                <w:highlight w:val="none"/>
                <w:vertAlign w:val="baseline"/>
                <w:lang w:val="en-US" w:eastAsia="zh-CN"/>
              </w:rPr>
              <w:t>，</w:t>
            </w:r>
            <w:r>
              <w:rPr>
                <w:rFonts w:hint="eastAsia"/>
                <w:color w:val="auto"/>
                <w:sz w:val="24"/>
                <w:szCs w:val="24"/>
                <w:highlight w:val="none"/>
                <w:lang w:val="en-US" w:eastAsia="zh-CN"/>
              </w:rPr>
              <w:t>生产区设置搅拌机、水泥筒仓、粉煤灰筒仓、</w:t>
            </w:r>
            <w:r>
              <w:rPr>
                <w:rFonts w:hint="eastAsia"/>
                <w:color w:val="auto"/>
                <w:sz w:val="24"/>
                <w:szCs w:val="24"/>
                <w:highlight w:val="none"/>
                <w:lang w:val="en-US" w:eastAsia="zh-CN"/>
              </w:rPr>
              <w:t>外加剂罐、皮带、输送机等设备</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本</w:t>
            </w:r>
            <w:r>
              <w:rPr>
                <w:rFonts w:ascii="Times New Roman" w:hAnsi="Times New Roman" w:eastAsia="宋体" w:cs="Times New Roman"/>
                <w:color w:val="auto"/>
                <w:kern w:val="2"/>
                <w:sz w:val="24"/>
                <w:szCs w:val="24"/>
                <w:highlight w:val="none"/>
                <w:lang w:val="en-US" w:eastAsia="zh-CN" w:bidi="ar-SA"/>
              </w:rPr>
              <w:t>项目总投资</w:t>
            </w:r>
            <w:r>
              <w:rPr>
                <w:rFonts w:hint="eastAsia" w:ascii="Times New Roman" w:hAnsi="Times New Roman" w:eastAsia="宋体" w:cs="Times New Roman"/>
                <w:color w:val="auto"/>
                <w:kern w:val="2"/>
                <w:sz w:val="24"/>
                <w:szCs w:val="24"/>
                <w:highlight w:val="none"/>
                <w:lang w:val="en-US" w:eastAsia="zh-CN" w:bidi="ar-SA"/>
              </w:rPr>
              <w:t>200</w:t>
            </w:r>
            <w:r>
              <w:rPr>
                <w:rFonts w:ascii="Times New Roman" w:hAnsi="Times New Roman" w:eastAsia="宋体" w:cs="Times New Roman"/>
                <w:color w:val="auto"/>
                <w:kern w:val="2"/>
                <w:sz w:val="24"/>
                <w:szCs w:val="24"/>
                <w:highlight w:val="none"/>
                <w:lang w:val="en-US" w:eastAsia="zh-CN" w:bidi="ar-SA"/>
              </w:rPr>
              <w:t>万元</w:t>
            </w:r>
          </w:p>
          <w:p w14:paraId="5EDEAC27">
            <w:pPr>
              <w:pStyle w:val="31"/>
              <w:bidi w:val="0"/>
              <w:rPr>
                <w:color w:val="auto"/>
                <w:highlight w:val="none"/>
              </w:rPr>
            </w:pPr>
            <w:r>
              <w:rPr>
                <w:color w:val="auto"/>
                <w:highlight w:val="none"/>
              </w:rPr>
              <w:t>本项目建设内容组成见表</w:t>
            </w:r>
            <w:r>
              <w:rPr>
                <w:color w:val="auto"/>
                <w:highlight w:val="none"/>
                <w:lang w:val="en-US"/>
              </w:rPr>
              <w:t>2-1</w:t>
            </w:r>
            <w:r>
              <w:rPr>
                <w:color w:val="auto"/>
                <w:highlight w:val="none"/>
              </w:rPr>
              <w:t>：</w:t>
            </w:r>
          </w:p>
          <w:p w14:paraId="5E29C374">
            <w:pPr>
              <w:pStyle w:val="36"/>
              <w:bidi w:val="0"/>
              <w:rPr>
                <w:rFonts w:hint="eastAsia"/>
                <w:color w:val="auto"/>
                <w:highlight w:val="none"/>
                <w:lang w:val="en-US" w:eastAsia="zh-CN"/>
              </w:rPr>
            </w:pPr>
            <w:r>
              <w:rPr>
                <w:rFonts w:hint="eastAsia"/>
                <w:color w:val="auto"/>
                <w:highlight w:val="none"/>
                <w:lang w:val="en-US" w:eastAsia="zh-CN"/>
              </w:rPr>
              <w:t>表2-1项目建设内容一览表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5"/>
              <w:gridCol w:w="758"/>
              <w:gridCol w:w="5480"/>
              <w:gridCol w:w="875"/>
            </w:tblGrid>
            <w:tr w14:paraId="4C26D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noWrap w:val="0"/>
                  <w:vAlign w:val="center"/>
                </w:tcPr>
                <w:p w14:paraId="4EB9BA75">
                  <w:pPr>
                    <w:pStyle w:val="34"/>
                    <w:bidi w:val="0"/>
                    <w:rPr>
                      <w:color w:val="auto"/>
                      <w:sz w:val="21"/>
                      <w:szCs w:val="21"/>
                      <w:highlight w:val="none"/>
                    </w:rPr>
                  </w:pPr>
                  <w:r>
                    <w:rPr>
                      <w:color w:val="auto"/>
                      <w:sz w:val="21"/>
                      <w:szCs w:val="21"/>
                      <w:highlight w:val="none"/>
                    </w:rPr>
                    <w:t>工程</w:t>
                  </w:r>
                </w:p>
                <w:p w14:paraId="6560E4DA">
                  <w:pPr>
                    <w:pStyle w:val="34"/>
                    <w:bidi w:val="0"/>
                    <w:rPr>
                      <w:color w:val="auto"/>
                      <w:sz w:val="21"/>
                      <w:szCs w:val="21"/>
                      <w:highlight w:val="none"/>
                    </w:rPr>
                  </w:pPr>
                  <w:r>
                    <w:rPr>
                      <w:color w:val="auto"/>
                      <w:sz w:val="21"/>
                      <w:szCs w:val="21"/>
                      <w:highlight w:val="none"/>
                    </w:rPr>
                    <w:t>类别</w:t>
                  </w:r>
                </w:p>
              </w:tc>
              <w:tc>
                <w:tcPr>
                  <w:tcW w:w="502" w:type="pct"/>
                  <w:noWrap w:val="0"/>
                  <w:vAlign w:val="center"/>
                </w:tcPr>
                <w:p w14:paraId="1854C2DD">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工程名称</w:t>
                  </w:r>
                </w:p>
              </w:tc>
              <w:tc>
                <w:tcPr>
                  <w:tcW w:w="3630" w:type="pct"/>
                  <w:noWrap w:val="0"/>
                  <w:vAlign w:val="center"/>
                </w:tcPr>
                <w:p w14:paraId="5BC6EC7C">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建设内容及规模</w:t>
                  </w:r>
                </w:p>
              </w:tc>
              <w:tc>
                <w:tcPr>
                  <w:tcW w:w="579" w:type="pct"/>
                  <w:noWrap w:val="0"/>
                  <w:vAlign w:val="center"/>
                </w:tcPr>
                <w:p w14:paraId="68E51B26">
                  <w:pPr>
                    <w:pStyle w:val="34"/>
                    <w:bidi w:val="0"/>
                    <w:rPr>
                      <w:color w:val="auto"/>
                      <w:sz w:val="21"/>
                      <w:szCs w:val="21"/>
                      <w:highlight w:val="none"/>
                    </w:rPr>
                  </w:pPr>
                  <w:r>
                    <w:rPr>
                      <w:rFonts w:hint="eastAsia"/>
                      <w:color w:val="auto"/>
                      <w:sz w:val="21"/>
                      <w:szCs w:val="21"/>
                      <w:highlight w:val="none"/>
                    </w:rPr>
                    <w:t>备注</w:t>
                  </w:r>
                </w:p>
              </w:tc>
            </w:tr>
            <w:tr w14:paraId="582E4D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noWrap w:val="0"/>
                  <w:vAlign w:val="center"/>
                </w:tcPr>
                <w:p w14:paraId="78557C63">
                  <w:pPr>
                    <w:pStyle w:val="34"/>
                    <w:bidi w:val="0"/>
                    <w:rPr>
                      <w:color w:val="auto"/>
                      <w:sz w:val="21"/>
                      <w:szCs w:val="21"/>
                      <w:highlight w:val="none"/>
                    </w:rPr>
                  </w:pPr>
                  <w:r>
                    <w:rPr>
                      <w:color w:val="auto"/>
                      <w:sz w:val="21"/>
                      <w:szCs w:val="21"/>
                      <w:highlight w:val="none"/>
                    </w:rPr>
                    <w:t>主体</w:t>
                  </w:r>
                </w:p>
                <w:p w14:paraId="7A320E06">
                  <w:pPr>
                    <w:pStyle w:val="34"/>
                    <w:bidi w:val="0"/>
                    <w:rPr>
                      <w:color w:val="auto"/>
                      <w:sz w:val="21"/>
                      <w:szCs w:val="21"/>
                      <w:highlight w:val="none"/>
                    </w:rPr>
                  </w:pPr>
                  <w:r>
                    <w:rPr>
                      <w:color w:val="auto"/>
                      <w:sz w:val="21"/>
                      <w:szCs w:val="21"/>
                      <w:highlight w:val="none"/>
                    </w:rPr>
                    <w:t>工程</w:t>
                  </w:r>
                </w:p>
              </w:tc>
              <w:tc>
                <w:tcPr>
                  <w:tcW w:w="502" w:type="pct"/>
                  <w:shd w:val="clear" w:color="auto" w:fill="auto"/>
                  <w:noWrap w:val="0"/>
                  <w:vAlign w:val="center"/>
                </w:tcPr>
                <w:p w14:paraId="57A0149C">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sz w:val="21"/>
                      <w:szCs w:val="21"/>
                      <w:highlight w:val="none"/>
                      <w:lang w:val="en-US" w:eastAsia="zh-CN"/>
                    </w:rPr>
                    <w:t>商品混凝土拌合站</w:t>
                  </w:r>
                </w:p>
              </w:tc>
              <w:tc>
                <w:tcPr>
                  <w:tcW w:w="3630" w:type="pct"/>
                  <w:shd w:val="clear" w:color="auto" w:fill="auto"/>
                  <w:noWrap w:val="0"/>
                  <w:vAlign w:val="center"/>
                </w:tcPr>
                <w:p w14:paraId="171B54E9">
                  <w:pPr>
                    <w:pStyle w:val="35"/>
                    <w:bidi w:val="0"/>
                    <w:rPr>
                      <w:rFonts w:hint="eastAsia"/>
                      <w:color w:val="auto"/>
                      <w:sz w:val="21"/>
                      <w:szCs w:val="21"/>
                      <w:highlight w:val="none"/>
                      <w:lang w:val="en-US" w:eastAsia="zh-CN"/>
                    </w:rPr>
                  </w:pPr>
                  <w:r>
                    <w:rPr>
                      <w:rFonts w:hint="eastAsia"/>
                      <w:color w:val="auto"/>
                      <w:sz w:val="21"/>
                      <w:szCs w:val="21"/>
                      <w:highlight w:val="none"/>
                      <w:lang w:val="en-US" w:eastAsia="zh-CN"/>
                    </w:rPr>
                    <w:t>1座，占地面积1750m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，建设一条商品混凝土生产线</w:t>
                  </w:r>
                  <w:r>
                    <w:rPr>
                      <w:rFonts w:hint="eastAsia"/>
                      <w:color w:val="auto"/>
                      <w:sz w:val="21"/>
                      <w:szCs w:val="21"/>
                      <w:highlight w:val="none"/>
                      <w:lang w:val="en-US" w:eastAsia="zh-CN"/>
                    </w:rPr>
                    <w:t>，年产</w:t>
                  </w:r>
                  <w:r>
                    <w:rPr>
                      <w:rFonts w:hint="eastAsia"/>
                      <w:color w:val="auto"/>
                      <w:sz w:val="21"/>
                      <w:szCs w:val="21"/>
                      <w:highlight w:val="none"/>
                      <w:lang w:val="en-US" w:eastAsia="zh-CN"/>
                    </w:rPr>
                    <w:t>商品混凝土</w:t>
                  </w:r>
                  <w:r>
                    <w:rPr>
                      <w:rFonts w:hint="eastAsia"/>
                      <w:color w:val="auto"/>
                      <w:sz w:val="21"/>
                      <w:szCs w:val="21"/>
                      <w:highlight w:val="none"/>
                      <w:lang w:val="en-US" w:eastAsia="zh-CN"/>
                    </w:rPr>
                    <w:t>12.35万吨，</w:t>
                  </w:r>
                  <w:r>
                    <w:rPr>
                      <w:rFonts w:hint="eastAsia"/>
                      <w:color w:val="auto"/>
                      <w:sz w:val="21"/>
                      <w:szCs w:val="21"/>
                      <w:highlight w:val="none"/>
                      <w:lang w:val="en-US" w:eastAsia="zh-CN"/>
                    </w:rPr>
                    <w:t>生产区设置搅拌机、水泥筒仓、粉煤灰筒仓、外加剂罐、皮带、输送机等设备。</w:t>
                  </w:r>
                </w:p>
                <w:p w14:paraId="1308B904">
                  <w:pPr>
                    <w:pStyle w:val="35"/>
                    <w:bidi w:val="0"/>
                    <w:rPr>
                      <w:rFonts w:hint="eastAsia" w:ascii="Times New Roman" w:hAnsi="Times New Roman" w:eastAsia="宋体" w:cs="宋体"/>
                      <w:color w:val="auto"/>
                      <w:kern w:val="2"/>
                      <w:sz w:val="21"/>
                      <w:szCs w:val="21"/>
                      <w:highlight w:val="none"/>
                      <w:lang w:val="en-US" w:eastAsia="zh-CN" w:bidi="ar-SA"/>
                    </w:rPr>
                  </w:pPr>
                  <w:r>
                    <w:rPr>
                      <w:rFonts w:hint="eastAsia"/>
                      <w:color w:val="auto"/>
                      <w:sz w:val="21"/>
                      <w:szCs w:val="21"/>
                      <w:highlight w:val="none"/>
                      <w:lang w:val="en-US" w:eastAsia="zh-CN"/>
                    </w:rPr>
                    <w:t>本项目所用搅拌机、水泥筒仓、粉煤灰筒仓、外加剂罐均自带布袋除尘装置。</w:t>
                  </w:r>
                </w:p>
              </w:tc>
              <w:tc>
                <w:tcPr>
                  <w:tcW w:w="579" w:type="pct"/>
                  <w:shd w:val="clear" w:color="auto" w:fill="auto"/>
                  <w:noWrap w:val="0"/>
                  <w:vAlign w:val="center"/>
                </w:tcPr>
                <w:p w14:paraId="2BC25F12">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sz w:val="21"/>
                      <w:szCs w:val="21"/>
                      <w:highlight w:val="none"/>
                      <w:lang w:val="en-US" w:eastAsia="zh-CN"/>
                    </w:rPr>
                    <w:t>已建成</w:t>
                  </w:r>
                </w:p>
              </w:tc>
            </w:tr>
            <w:tr w14:paraId="62BC89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restart"/>
                  <w:noWrap w:val="0"/>
                  <w:vAlign w:val="center"/>
                </w:tcPr>
                <w:p w14:paraId="03D0BCD9">
                  <w:pPr>
                    <w:pStyle w:val="34"/>
                    <w:bidi w:val="0"/>
                    <w:rPr>
                      <w:color w:val="auto"/>
                      <w:sz w:val="21"/>
                      <w:szCs w:val="21"/>
                      <w:highlight w:val="none"/>
                    </w:rPr>
                  </w:pPr>
                  <w:r>
                    <w:rPr>
                      <w:color w:val="auto"/>
                      <w:sz w:val="21"/>
                      <w:szCs w:val="21"/>
                      <w:highlight w:val="none"/>
                    </w:rPr>
                    <w:t>储运</w:t>
                  </w:r>
                </w:p>
                <w:p w14:paraId="5508C11D">
                  <w:pPr>
                    <w:pStyle w:val="34"/>
                    <w:bidi w:val="0"/>
                    <w:rPr>
                      <w:color w:val="auto"/>
                      <w:sz w:val="21"/>
                      <w:szCs w:val="21"/>
                      <w:highlight w:val="none"/>
                    </w:rPr>
                  </w:pPr>
                  <w:r>
                    <w:rPr>
                      <w:color w:val="auto"/>
                      <w:sz w:val="21"/>
                      <w:szCs w:val="21"/>
                      <w:highlight w:val="none"/>
                    </w:rPr>
                    <w:t>工程</w:t>
                  </w:r>
                </w:p>
              </w:tc>
              <w:tc>
                <w:tcPr>
                  <w:tcW w:w="502" w:type="pct"/>
                  <w:noWrap w:val="0"/>
                  <w:vAlign w:val="center"/>
                </w:tcPr>
                <w:p w14:paraId="2322E48F">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水泥筒仓</w:t>
                  </w:r>
                </w:p>
              </w:tc>
              <w:tc>
                <w:tcPr>
                  <w:tcW w:w="3630" w:type="pct"/>
                  <w:noWrap w:val="0"/>
                  <w:vAlign w:val="center"/>
                </w:tcPr>
                <w:p w14:paraId="6C315B03">
                  <w:pPr>
                    <w:pStyle w:val="34"/>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3个，单个最大贮存量为300t，自带布袋除尘装置</w:t>
                  </w:r>
                </w:p>
              </w:tc>
              <w:tc>
                <w:tcPr>
                  <w:tcW w:w="579" w:type="pct"/>
                  <w:noWrap w:val="0"/>
                  <w:vAlign w:val="center"/>
                </w:tcPr>
                <w:p w14:paraId="58544F60">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已建成</w:t>
                  </w:r>
                </w:p>
              </w:tc>
            </w:tr>
            <w:tr w14:paraId="1F1D4C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6CB590E9">
                  <w:pPr>
                    <w:pStyle w:val="34"/>
                    <w:bidi w:val="0"/>
                    <w:rPr>
                      <w:color w:val="auto"/>
                      <w:sz w:val="21"/>
                      <w:szCs w:val="21"/>
                      <w:highlight w:val="none"/>
                    </w:rPr>
                  </w:pPr>
                </w:p>
              </w:tc>
              <w:tc>
                <w:tcPr>
                  <w:tcW w:w="502" w:type="pct"/>
                  <w:noWrap w:val="0"/>
                  <w:vAlign w:val="center"/>
                </w:tcPr>
                <w:p w14:paraId="6BD97C88">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粉煤灰筒仓</w:t>
                  </w:r>
                </w:p>
              </w:tc>
              <w:tc>
                <w:tcPr>
                  <w:tcW w:w="3630" w:type="pct"/>
                  <w:noWrap w:val="0"/>
                  <w:vAlign w:val="center"/>
                </w:tcPr>
                <w:p w14:paraId="2F60299B">
                  <w:pPr>
                    <w:pStyle w:val="34"/>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1个，单个最大贮存量为300t，自带布袋除尘装置</w:t>
                  </w:r>
                </w:p>
              </w:tc>
              <w:tc>
                <w:tcPr>
                  <w:tcW w:w="579" w:type="pct"/>
                  <w:noWrap w:val="0"/>
                  <w:vAlign w:val="center"/>
                </w:tcPr>
                <w:p w14:paraId="547D21D2">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已建成</w:t>
                  </w:r>
                </w:p>
              </w:tc>
            </w:tr>
            <w:tr w14:paraId="0BCB5C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3DEABAA8">
                  <w:pPr>
                    <w:pStyle w:val="34"/>
                    <w:bidi w:val="0"/>
                    <w:rPr>
                      <w:color w:val="auto"/>
                      <w:sz w:val="21"/>
                      <w:szCs w:val="21"/>
                      <w:highlight w:val="none"/>
                    </w:rPr>
                  </w:pPr>
                </w:p>
              </w:tc>
              <w:tc>
                <w:tcPr>
                  <w:tcW w:w="502" w:type="pct"/>
                  <w:noWrap w:val="0"/>
                  <w:vAlign w:val="center"/>
                </w:tcPr>
                <w:p w14:paraId="7FA637C8">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外加剂罐</w:t>
                  </w:r>
                </w:p>
              </w:tc>
              <w:tc>
                <w:tcPr>
                  <w:tcW w:w="3630" w:type="pct"/>
                  <w:noWrap w:val="0"/>
                  <w:vAlign w:val="center"/>
                </w:tcPr>
                <w:p w14:paraId="76C96838">
                  <w:pPr>
                    <w:pStyle w:val="34"/>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2个，单个最大贮存量为10t，自带布袋除尘装置</w:t>
                  </w:r>
                </w:p>
              </w:tc>
              <w:tc>
                <w:tcPr>
                  <w:tcW w:w="579" w:type="pct"/>
                  <w:noWrap w:val="0"/>
                  <w:vAlign w:val="center"/>
                </w:tcPr>
                <w:p w14:paraId="71225F1A">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已建成</w:t>
                  </w:r>
                </w:p>
              </w:tc>
            </w:tr>
            <w:tr w14:paraId="12D00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33E97D46">
                  <w:pPr>
                    <w:pStyle w:val="34"/>
                    <w:bidi w:val="0"/>
                    <w:rPr>
                      <w:color w:val="auto"/>
                      <w:sz w:val="21"/>
                      <w:szCs w:val="21"/>
                      <w:highlight w:val="none"/>
                    </w:rPr>
                  </w:pPr>
                </w:p>
              </w:tc>
              <w:tc>
                <w:tcPr>
                  <w:tcW w:w="502" w:type="pct"/>
                  <w:noWrap w:val="0"/>
                  <w:vAlign w:val="center"/>
                </w:tcPr>
                <w:p w14:paraId="04A0A3B1">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石料堆场</w:t>
                  </w:r>
                </w:p>
              </w:tc>
              <w:tc>
                <w:tcPr>
                  <w:tcW w:w="3630" w:type="pct"/>
                  <w:noWrap w:val="0"/>
                  <w:vAlign w:val="center"/>
                </w:tcPr>
                <w:p w14:paraId="640EC7D8">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占地面积2000m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，最大储存量为6000t，最大堆高为2.7m，</w:t>
                  </w:r>
                  <w:r>
                    <w:rPr>
                      <w:rFonts w:hint="eastAsia"/>
                      <w:color w:val="auto"/>
                      <w:sz w:val="21"/>
                      <w:szCs w:val="21"/>
                      <w:highlight w:val="none"/>
                      <w:lang w:val="en-US" w:eastAsia="zh-CN"/>
                    </w:rPr>
                    <w:t>堆场内采取苫盖、洒水抑尘等措施，四周布置防风抑尘网；防风抑尘网高3m，总长210m</w:t>
                  </w:r>
                </w:p>
              </w:tc>
              <w:tc>
                <w:tcPr>
                  <w:tcW w:w="579" w:type="pct"/>
                  <w:noWrap w:val="0"/>
                  <w:vAlign w:val="center"/>
                </w:tcPr>
                <w:p w14:paraId="523DF759">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堆场</w:t>
                  </w:r>
                  <w:r>
                    <w:rPr>
                      <w:rFonts w:hint="eastAsia"/>
                      <w:color w:val="auto"/>
                      <w:sz w:val="21"/>
                      <w:szCs w:val="21"/>
                      <w:highlight w:val="none"/>
                      <w:lang w:val="en-US" w:eastAsia="zh-CN"/>
                    </w:rPr>
                    <w:t>已建成</w:t>
                  </w:r>
                  <w:r>
                    <w:rPr>
                      <w:rFonts w:hint="eastAsia"/>
                      <w:color w:val="auto"/>
                      <w:sz w:val="21"/>
                      <w:szCs w:val="21"/>
                      <w:highlight w:val="none"/>
                      <w:lang w:val="en-US" w:eastAsia="zh-CN"/>
                    </w:rPr>
                    <w:t>，</w:t>
                  </w:r>
                  <w:r>
                    <w:rPr>
                      <w:rFonts w:hint="eastAsia"/>
                      <w:color w:val="auto"/>
                      <w:sz w:val="21"/>
                      <w:szCs w:val="21"/>
                      <w:highlight w:val="none"/>
                      <w:lang w:val="en-US" w:eastAsia="zh-CN"/>
                    </w:rPr>
                    <w:t>防风抑尘网新建</w:t>
                  </w:r>
                </w:p>
              </w:tc>
            </w:tr>
            <w:tr w14:paraId="1CC34D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49746397">
                  <w:pPr>
                    <w:pStyle w:val="34"/>
                    <w:bidi w:val="0"/>
                    <w:rPr>
                      <w:color w:val="auto"/>
                      <w:sz w:val="21"/>
                      <w:szCs w:val="21"/>
                      <w:highlight w:val="none"/>
                    </w:rPr>
                  </w:pPr>
                </w:p>
              </w:tc>
              <w:tc>
                <w:tcPr>
                  <w:tcW w:w="502" w:type="pct"/>
                  <w:noWrap w:val="0"/>
                  <w:vAlign w:val="center"/>
                </w:tcPr>
                <w:p w14:paraId="3A62D301">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砂料堆场</w:t>
                  </w:r>
                </w:p>
              </w:tc>
              <w:tc>
                <w:tcPr>
                  <w:tcW w:w="3630" w:type="pct"/>
                  <w:noWrap w:val="0"/>
                  <w:vAlign w:val="center"/>
                </w:tcPr>
                <w:p w14:paraId="24F0DC9E">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占地面积3000m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，最大储存量为8000t，最大堆高为2.7m，</w:t>
                  </w:r>
                  <w:r>
                    <w:rPr>
                      <w:rFonts w:hint="eastAsia"/>
                      <w:color w:val="auto"/>
                      <w:sz w:val="21"/>
                      <w:szCs w:val="21"/>
                      <w:highlight w:val="none"/>
                      <w:lang w:val="en-US" w:eastAsia="zh-CN"/>
                    </w:rPr>
                    <w:t>堆场内采取苫盖、洒水抑尘等措施，四周布置防风抑尘网；防风抑尘网高3m，总长340m</w:t>
                  </w:r>
                </w:p>
              </w:tc>
              <w:tc>
                <w:tcPr>
                  <w:tcW w:w="579" w:type="pct"/>
                  <w:noWrap w:val="0"/>
                  <w:vAlign w:val="center"/>
                </w:tcPr>
                <w:p w14:paraId="11CD652D">
                  <w:pPr>
                    <w:pStyle w:val="34"/>
                    <w:bidi w:val="0"/>
                    <w:rPr>
                      <w:color w:val="auto"/>
                      <w:sz w:val="21"/>
                      <w:szCs w:val="21"/>
                      <w:highlight w:val="none"/>
                      <w:lang w:val="en-US" w:eastAsia="zh-CN"/>
                    </w:rPr>
                  </w:pPr>
                  <w:r>
                    <w:rPr>
                      <w:rFonts w:hint="eastAsia"/>
                      <w:color w:val="auto"/>
                      <w:sz w:val="21"/>
                      <w:szCs w:val="21"/>
                      <w:highlight w:val="none"/>
                      <w:lang w:val="en-US" w:eastAsia="zh-CN"/>
                    </w:rPr>
                    <w:t>堆场</w:t>
                  </w:r>
                  <w:r>
                    <w:rPr>
                      <w:rFonts w:hint="eastAsia"/>
                      <w:color w:val="auto"/>
                      <w:sz w:val="21"/>
                      <w:szCs w:val="21"/>
                      <w:highlight w:val="none"/>
                      <w:lang w:val="en-US" w:eastAsia="zh-CN"/>
                    </w:rPr>
                    <w:t>已建成</w:t>
                  </w:r>
                  <w:r>
                    <w:rPr>
                      <w:rFonts w:hint="eastAsia"/>
                      <w:color w:val="auto"/>
                      <w:sz w:val="21"/>
                      <w:szCs w:val="21"/>
                      <w:highlight w:val="none"/>
                      <w:lang w:val="en-US" w:eastAsia="zh-CN"/>
                    </w:rPr>
                    <w:t>，</w:t>
                  </w:r>
                  <w:r>
                    <w:rPr>
                      <w:rFonts w:hint="eastAsia"/>
                      <w:color w:val="auto"/>
                      <w:sz w:val="21"/>
                      <w:szCs w:val="21"/>
                      <w:highlight w:val="none"/>
                      <w:lang w:val="en-US" w:eastAsia="zh-CN"/>
                    </w:rPr>
                    <w:t>防风抑尘网新建</w:t>
                  </w:r>
                </w:p>
              </w:tc>
            </w:tr>
            <w:tr w14:paraId="2A88E5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3C9451DA">
                  <w:pPr>
                    <w:pStyle w:val="34"/>
                    <w:bidi w:val="0"/>
                    <w:rPr>
                      <w:color w:val="auto"/>
                      <w:sz w:val="21"/>
                      <w:szCs w:val="21"/>
                      <w:highlight w:val="none"/>
                    </w:rPr>
                  </w:pPr>
                </w:p>
              </w:tc>
              <w:tc>
                <w:tcPr>
                  <w:tcW w:w="502" w:type="pct"/>
                  <w:noWrap w:val="0"/>
                  <w:vAlign w:val="center"/>
                </w:tcPr>
                <w:p w14:paraId="70A88EB2">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危废贮存点</w:t>
                  </w:r>
                </w:p>
              </w:tc>
              <w:tc>
                <w:tcPr>
                  <w:tcW w:w="3630" w:type="pct"/>
                  <w:noWrap w:val="0"/>
                  <w:vAlign w:val="center"/>
                </w:tcPr>
                <w:p w14:paraId="399CAED2">
                  <w:pPr>
                    <w:pStyle w:val="34"/>
                    <w:keepNext w:val="0"/>
                    <w:keepLines w:val="0"/>
                    <w:pageBreakBefore w:val="0"/>
                    <w:widowControl w:val="0"/>
                    <w:kinsoku/>
                    <w:wordWrap w:val="0"/>
                    <w:overflowPunct/>
                    <w:topLinePunct w:val="0"/>
                    <w:autoSpaceDE/>
                    <w:autoSpaceDN/>
                    <w:bidi w:val="0"/>
                    <w:adjustRightInd/>
                    <w:snapToGrid/>
                    <w:ind w:firstLine="420" w:firstLineChars="200"/>
                    <w:jc w:val="left"/>
                    <w:textAlignment w:val="auto"/>
                    <w:rPr>
                      <w:rFonts w:hint="default"/>
                      <w:color w:val="auto"/>
                      <w:sz w:val="21"/>
                      <w:szCs w:val="21"/>
                      <w:highlight w:val="none"/>
                      <w:lang w:val="en-US" w:eastAsia="zh-CN"/>
                    </w:rPr>
                  </w:pPr>
                  <w:r>
                    <w:rPr>
                      <w:rFonts w:hint="eastAsia"/>
                      <w:color w:val="auto"/>
                      <w:sz w:val="21"/>
                      <w:szCs w:val="21"/>
                      <w:highlight w:val="none"/>
                      <w:lang w:val="en-US" w:eastAsia="zh-CN"/>
                    </w:rPr>
                    <w:t>1座，占地面积10m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，最大储存能力为1t</w:t>
                  </w:r>
                  <w:r>
                    <w:rPr>
                      <w:rFonts w:hint="eastAsia"/>
                      <w:color w:val="auto"/>
                      <w:sz w:val="21"/>
                      <w:szCs w:val="21"/>
                      <w:highlight w:val="none"/>
                      <w:lang w:eastAsia="zh-CN"/>
                    </w:rPr>
                    <w:t>，</w:t>
                  </w:r>
                  <w:r>
                    <w:rPr>
                      <w:rFonts w:hint="eastAsia"/>
                      <w:color w:val="auto"/>
                      <w:sz w:val="21"/>
                      <w:szCs w:val="21"/>
                      <w:highlight w:val="none"/>
                      <w:lang w:val="en-US" w:eastAsia="zh-CN"/>
                    </w:rPr>
                    <w:t>用于危险废物暂存，</w:t>
                  </w:r>
                  <w:r>
                    <w:rPr>
                      <w:rFonts w:hint="eastAsia" w:cs="Times New Roman"/>
                      <w:color w:val="auto"/>
                      <w:kern w:val="2"/>
                      <w:sz w:val="21"/>
                      <w:szCs w:val="21"/>
                      <w:highlight w:val="none"/>
                      <w:lang w:val="en-US" w:eastAsia="zh-CN" w:bidi="ar-SA"/>
                    </w:rPr>
                    <w:t>危废贮存点</w:t>
                  </w:r>
                  <w:r>
                    <w:rPr>
                      <w:rFonts w:hint="default" w:ascii="Times New Roman" w:hAnsi="Times New Roman" w:eastAsia="宋体" w:cs="Times New Roman"/>
                      <w:color w:val="auto"/>
                      <w:kern w:val="2"/>
                      <w:sz w:val="21"/>
                      <w:szCs w:val="21"/>
                      <w:highlight w:val="none"/>
                      <w:lang w:val="en-US" w:eastAsia="zh-CN" w:bidi="ar-SA"/>
                    </w:rPr>
                    <w:t>按照《危险废物贮存污染控制标准》（GB18597-20</w:t>
                  </w:r>
                  <w:r>
                    <w:rPr>
                      <w:rFonts w:hint="eastAsia" w:cs="Times New Roman"/>
                      <w:color w:val="auto"/>
                      <w:kern w:val="2"/>
                      <w:sz w:val="21"/>
                      <w:szCs w:val="21"/>
                      <w:highlight w:val="none"/>
                      <w:lang w:val="en-US" w:eastAsia="zh-CN" w:bidi="ar-SA"/>
                    </w:rPr>
                    <w:t>23</w:t>
                  </w:r>
                  <w:r>
                    <w:rPr>
                      <w:rFonts w:hint="default" w:ascii="Times New Roman" w:hAnsi="Times New Roman" w:eastAsia="宋体" w:cs="Times New Roman"/>
                      <w:color w:val="auto"/>
                      <w:kern w:val="2"/>
                      <w:sz w:val="21"/>
                      <w:szCs w:val="21"/>
                      <w:highlight w:val="none"/>
                      <w:lang w:val="en-US" w:eastAsia="zh-CN" w:bidi="ar-SA"/>
                    </w:rPr>
                    <w:t>）要求，基础做防渗，采用2mm厚的高密度聚乙烯，渗透系数≤10</w:t>
                  </w:r>
                  <w:r>
                    <w:rPr>
                      <w:rFonts w:hint="default" w:ascii="Times New Roman" w:hAnsi="Times New Roman" w:eastAsia="宋体" w:cs="Times New Roman"/>
                      <w:color w:val="auto"/>
                      <w:kern w:val="2"/>
                      <w:sz w:val="21"/>
                      <w:szCs w:val="21"/>
                      <w:highlight w:val="none"/>
                      <w:vertAlign w:val="superscript"/>
                      <w:lang w:val="en-US" w:eastAsia="zh-CN" w:bidi="ar-SA"/>
                    </w:rPr>
                    <w:t>-10</w:t>
                  </w:r>
                  <w:r>
                    <w:rPr>
                      <w:rFonts w:hint="default" w:ascii="Times New Roman" w:hAnsi="Times New Roman" w:eastAsia="宋体" w:cs="Times New Roman"/>
                      <w:color w:val="auto"/>
                      <w:kern w:val="2"/>
                      <w:sz w:val="21"/>
                      <w:szCs w:val="21"/>
                      <w:highlight w:val="none"/>
                      <w:lang w:val="en-US" w:eastAsia="zh-CN" w:bidi="ar-SA"/>
                    </w:rPr>
                    <w:t>cm/s</w:t>
                  </w:r>
                </w:p>
              </w:tc>
              <w:tc>
                <w:tcPr>
                  <w:tcW w:w="579" w:type="pct"/>
                  <w:noWrap w:val="0"/>
                  <w:vAlign w:val="center"/>
                </w:tcPr>
                <w:p w14:paraId="457A160E">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已建成</w:t>
                  </w:r>
                </w:p>
              </w:tc>
            </w:tr>
            <w:tr w14:paraId="0947AD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restart"/>
                  <w:noWrap w:val="0"/>
                  <w:vAlign w:val="center"/>
                </w:tcPr>
                <w:p w14:paraId="63919644">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辅助工程</w:t>
                  </w:r>
                </w:p>
              </w:tc>
              <w:tc>
                <w:tcPr>
                  <w:tcW w:w="502" w:type="pct"/>
                  <w:noWrap w:val="0"/>
                  <w:vAlign w:val="center"/>
                </w:tcPr>
                <w:p w14:paraId="32CC0BE5">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综合室</w:t>
                  </w:r>
                </w:p>
              </w:tc>
              <w:tc>
                <w:tcPr>
                  <w:tcW w:w="3630" w:type="pct"/>
                  <w:noWrap w:val="0"/>
                  <w:vAlign w:val="center"/>
                </w:tcPr>
                <w:p w14:paraId="7701C001">
                  <w:pPr>
                    <w:pStyle w:val="34"/>
                    <w:keepNext w:val="0"/>
                    <w:keepLines w:val="0"/>
                    <w:pageBreakBefore w:val="0"/>
                    <w:widowControl w:val="0"/>
                    <w:kinsoku/>
                    <w:wordWrap w:val="0"/>
                    <w:overflowPunct/>
                    <w:topLinePunct w:val="0"/>
                    <w:autoSpaceDE/>
                    <w:autoSpaceDN/>
                    <w:bidi w:val="0"/>
                    <w:adjustRightInd/>
                    <w:snapToGrid/>
                    <w:ind w:firstLine="420" w:firstLineChars="200"/>
                    <w:jc w:val="left"/>
                    <w:textAlignment w:val="auto"/>
                    <w:rPr>
                      <w:rFonts w:hint="eastAsia"/>
                      <w:color w:val="auto"/>
                      <w:sz w:val="21"/>
                      <w:szCs w:val="21"/>
                      <w:highlight w:val="none"/>
                      <w:lang w:val="en-US" w:eastAsia="zh-CN"/>
                    </w:rPr>
                  </w:pPr>
                  <w:r>
                    <w:rPr>
                      <w:rFonts w:hint="eastAsia"/>
                      <w:color w:val="auto"/>
                      <w:sz w:val="21"/>
                      <w:szCs w:val="21"/>
                      <w:highlight w:val="none"/>
                      <w:lang w:val="en-US" w:eastAsia="zh-CN"/>
                    </w:rPr>
                    <w:t>本项目综合室位于厂区外南侧，依托芦苇站现有闲置厂房，占地面积500m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；设立办公室、实验室、防渗旱厕。</w:t>
                  </w:r>
                </w:p>
                <w:p w14:paraId="69017538">
                  <w:pPr>
                    <w:pStyle w:val="35"/>
                    <w:bidi w:val="0"/>
                    <w:rPr>
                      <w:rFonts w:hint="eastAsia"/>
                      <w:color w:val="auto"/>
                      <w:sz w:val="21"/>
                      <w:szCs w:val="21"/>
                      <w:highlight w:val="none"/>
                      <w:lang w:val="en-US" w:eastAsia="zh-CN"/>
                    </w:rPr>
                  </w:pPr>
                  <w:r>
                    <w:rPr>
                      <w:rFonts w:hint="eastAsia"/>
                      <w:color w:val="auto"/>
                      <w:sz w:val="21"/>
                      <w:szCs w:val="21"/>
                      <w:highlight w:val="none"/>
                      <w:lang w:val="en-US" w:eastAsia="zh-CN"/>
                    </w:rPr>
                    <w:t>办公室450m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，用于办公、休息。</w:t>
                  </w:r>
                </w:p>
                <w:p w14:paraId="31C7F993">
                  <w:pPr>
                    <w:pStyle w:val="35"/>
                    <w:bidi w:val="0"/>
                    <w:rPr>
                      <w:rFonts w:hint="default"/>
                      <w:color w:val="auto"/>
                      <w:sz w:val="21"/>
                      <w:szCs w:val="21"/>
                      <w:highlight w:val="none"/>
                      <w:vertAlign w:val="baseline"/>
                      <w:lang w:val="en-US" w:eastAsia="zh-CN"/>
                    </w:rPr>
                  </w:pPr>
                  <w:r>
                    <w:rPr>
                      <w:rFonts w:hint="eastAsia"/>
                      <w:color w:val="auto"/>
                      <w:sz w:val="21"/>
                      <w:szCs w:val="21"/>
                      <w:highlight w:val="none"/>
                      <w:lang w:val="en-US" w:eastAsia="zh-CN"/>
                    </w:rPr>
                    <w:t>实验室50m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，实验仅为产品物理性质检验、测试，不产生废气、废水等污染物，</w:t>
                  </w:r>
                  <w:r>
                    <w:rPr>
                      <w:rFonts w:hint="eastAsia"/>
                      <w:color w:val="auto"/>
                      <w:sz w:val="21"/>
                      <w:szCs w:val="21"/>
                      <w:highlight w:val="none"/>
                      <w:lang w:val="en-US" w:eastAsia="zh-CN"/>
                    </w:rPr>
                    <w:t>实验室废料，由骨料供应商回收破碎后重新利用</w:t>
                  </w:r>
                  <w:r>
                    <w:rPr>
                      <w:rFonts w:hint="eastAsia"/>
                      <w:color w:val="auto"/>
                      <w:sz w:val="21"/>
                      <w:szCs w:val="21"/>
                      <w:highlight w:val="none"/>
                      <w:lang w:val="en-US" w:eastAsia="zh-CN"/>
                    </w:rPr>
                    <w:t>。</w:t>
                  </w:r>
                </w:p>
              </w:tc>
              <w:tc>
                <w:tcPr>
                  <w:tcW w:w="579" w:type="pct"/>
                  <w:noWrap w:val="0"/>
                  <w:vAlign w:val="center"/>
                </w:tcPr>
                <w:p w14:paraId="5D483907">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综合室建筑物依托，实验室设备已建成</w:t>
                  </w:r>
                </w:p>
              </w:tc>
            </w:tr>
            <w:tr w14:paraId="1F9808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243A2469">
                  <w:pPr>
                    <w:pStyle w:val="34"/>
                    <w:bidi w:val="0"/>
                    <w:rPr>
                      <w:rFonts w:hint="eastAsia"/>
                      <w:color w:val="auto"/>
                      <w:sz w:val="21"/>
                      <w:szCs w:val="21"/>
                      <w:highlight w:val="none"/>
                      <w:lang w:val="en-US" w:eastAsia="zh-CN"/>
                    </w:rPr>
                  </w:pPr>
                </w:p>
              </w:tc>
              <w:tc>
                <w:tcPr>
                  <w:tcW w:w="502" w:type="pct"/>
                  <w:noWrap w:val="0"/>
                  <w:vAlign w:val="center"/>
                </w:tcPr>
                <w:p w14:paraId="3EAB57DF">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洗车平台</w:t>
                  </w:r>
                </w:p>
              </w:tc>
              <w:tc>
                <w:tcPr>
                  <w:tcW w:w="3630" w:type="pct"/>
                  <w:noWrap w:val="0"/>
                  <w:vAlign w:val="center"/>
                </w:tcPr>
                <w:p w14:paraId="7641BBC4">
                  <w:pPr>
                    <w:pStyle w:val="35"/>
                    <w:bidi w:val="0"/>
                    <w:rPr>
                      <w:rFonts w:hint="default" w:eastAsia="宋体"/>
                      <w:color w:val="auto"/>
                      <w:sz w:val="21"/>
                      <w:szCs w:val="21"/>
                      <w:highlight w:val="none"/>
                      <w:lang w:val="en-US" w:eastAsia="zh-CN"/>
                    </w:rPr>
                  </w:pPr>
                  <w:r>
                    <w:rPr>
                      <w:rFonts w:hint="eastAsia"/>
                      <w:color w:val="auto"/>
                      <w:sz w:val="21"/>
                      <w:szCs w:val="21"/>
                      <w:highlight w:val="none"/>
                      <w:lang w:val="en-US" w:eastAsia="zh-CN"/>
                    </w:rPr>
                    <w:t>1座，占地面积30m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，配备清洗设备，用于进出车辆</w:t>
                  </w:r>
                  <w:r>
                    <w:rPr>
                      <w:rFonts w:hint="default"/>
                      <w:color w:val="auto"/>
                      <w:highlight w:val="none"/>
                    </w:rPr>
                    <w:t>清洗</w:t>
                  </w:r>
                  <w:r>
                    <w:rPr>
                      <w:rFonts w:hint="eastAsia"/>
                      <w:color w:val="auto"/>
                      <w:highlight w:val="none"/>
                      <w:lang w:eastAsia="zh-CN"/>
                    </w:rPr>
                    <w:t>，</w:t>
                  </w:r>
                  <w:r>
                    <w:rPr>
                      <w:rFonts w:hint="eastAsia"/>
                      <w:color w:val="auto"/>
                      <w:highlight w:val="none"/>
                      <w:lang w:val="en-US" w:eastAsia="zh-CN"/>
                    </w:rPr>
                    <w:t>设置排水沟将清洗废水收集至沉淀池，</w:t>
                  </w:r>
                  <w:r>
                    <w:rPr>
                      <w:rFonts w:hint="eastAsia"/>
                      <w:color w:val="auto"/>
                      <w:sz w:val="21"/>
                      <w:szCs w:val="21"/>
                      <w:highlight w:val="none"/>
                      <w:lang w:val="en-US" w:eastAsia="zh-CN"/>
                    </w:rPr>
                    <w:t>经沉淀池沉淀后回用于车辆冲洗</w:t>
                  </w:r>
                  <w:r>
                    <w:rPr>
                      <w:rFonts w:hint="eastAsia"/>
                      <w:color w:val="auto"/>
                      <w:highlight w:val="none"/>
                      <w:lang w:val="en-US" w:eastAsia="zh-CN"/>
                    </w:rPr>
                    <w:t>。</w:t>
                  </w:r>
                </w:p>
              </w:tc>
              <w:tc>
                <w:tcPr>
                  <w:tcW w:w="579" w:type="pct"/>
                  <w:noWrap w:val="0"/>
                  <w:vAlign w:val="center"/>
                </w:tcPr>
                <w:p w14:paraId="6C66F732">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已建成</w:t>
                  </w:r>
                </w:p>
              </w:tc>
            </w:tr>
            <w:tr w14:paraId="677D64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22341E17">
                  <w:pPr>
                    <w:pStyle w:val="34"/>
                    <w:bidi w:val="0"/>
                    <w:rPr>
                      <w:rFonts w:hint="eastAsia"/>
                      <w:color w:val="auto"/>
                      <w:sz w:val="21"/>
                      <w:szCs w:val="21"/>
                      <w:highlight w:val="none"/>
                      <w:lang w:val="en-US" w:eastAsia="zh-CN"/>
                    </w:rPr>
                  </w:pPr>
                </w:p>
              </w:tc>
              <w:tc>
                <w:tcPr>
                  <w:tcW w:w="502" w:type="pct"/>
                  <w:noWrap w:val="0"/>
                  <w:vAlign w:val="center"/>
                </w:tcPr>
                <w:p w14:paraId="51DE891D">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沉淀池</w:t>
                  </w:r>
                </w:p>
              </w:tc>
              <w:tc>
                <w:tcPr>
                  <w:tcW w:w="3630" w:type="pct"/>
                  <w:noWrap w:val="0"/>
                  <w:vAlign w:val="center"/>
                </w:tcPr>
                <w:p w14:paraId="1C528F31">
                  <w:pPr>
                    <w:pStyle w:val="34"/>
                    <w:keepNext w:val="0"/>
                    <w:keepLines w:val="0"/>
                    <w:pageBreakBefore w:val="0"/>
                    <w:widowControl w:val="0"/>
                    <w:kinsoku/>
                    <w:wordWrap w:val="0"/>
                    <w:overflowPunct/>
                    <w:topLinePunct w:val="0"/>
                    <w:autoSpaceDE/>
                    <w:autoSpaceDN/>
                    <w:bidi w:val="0"/>
                    <w:adjustRightInd/>
                    <w:snapToGrid/>
                    <w:ind w:firstLine="420" w:firstLineChars="200"/>
                    <w:jc w:val="left"/>
                    <w:textAlignment w:val="auto"/>
                    <w:rPr>
                      <w:rFonts w:hint="default"/>
                      <w:color w:val="auto"/>
                      <w:sz w:val="21"/>
                      <w:szCs w:val="21"/>
                      <w:highlight w:val="none"/>
                      <w:lang w:val="en-US" w:eastAsia="zh-CN"/>
                    </w:rPr>
                  </w:pPr>
                  <w:r>
                    <w:rPr>
                      <w:rFonts w:hint="eastAsia"/>
                      <w:color w:val="auto"/>
                      <w:sz w:val="21"/>
                      <w:szCs w:val="21"/>
                      <w:highlight w:val="none"/>
                      <w:lang w:val="en-US" w:eastAsia="zh-CN"/>
                    </w:rPr>
                    <w:t>1座，容积</w:t>
                  </w:r>
                  <w:r>
                    <w:rPr>
                      <w:rFonts w:hint="eastAsia"/>
                      <w:color w:val="auto"/>
                      <w:sz w:val="21"/>
                      <w:szCs w:val="21"/>
                      <w:highlight w:val="none"/>
                      <w:lang w:val="en-US" w:eastAsia="zh-CN"/>
                    </w:rPr>
                    <w:t>625m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（25m*10m*2.5m）</w:t>
                  </w:r>
                  <w:r>
                    <w:rPr>
                      <w:rFonts w:hint="eastAsia"/>
                      <w:color w:val="auto"/>
                      <w:sz w:val="21"/>
                      <w:szCs w:val="21"/>
                      <w:highlight w:val="none"/>
                      <w:lang w:val="en-US" w:eastAsia="zh-CN"/>
                    </w:rPr>
                    <w:t>，初期雨水通过厂区地势自然流入沉淀池后用于厂区洒水降尘。</w:t>
                  </w:r>
                </w:p>
              </w:tc>
              <w:tc>
                <w:tcPr>
                  <w:tcW w:w="579" w:type="pct"/>
                  <w:noWrap w:val="0"/>
                  <w:vAlign w:val="center"/>
                </w:tcPr>
                <w:p w14:paraId="7A969CC6">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已建成</w:t>
                  </w:r>
                </w:p>
              </w:tc>
            </w:tr>
            <w:tr w14:paraId="7D9941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restart"/>
                  <w:noWrap w:val="0"/>
                  <w:vAlign w:val="center"/>
                </w:tcPr>
                <w:p w14:paraId="721C6E1C">
                  <w:pPr>
                    <w:pStyle w:val="34"/>
                    <w:bidi w:val="0"/>
                    <w:rPr>
                      <w:color w:val="auto"/>
                      <w:sz w:val="21"/>
                      <w:szCs w:val="21"/>
                      <w:highlight w:val="none"/>
                    </w:rPr>
                  </w:pPr>
                  <w:r>
                    <w:rPr>
                      <w:color w:val="auto"/>
                      <w:sz w:val="21"/>
                      <w:szCs w:val="21"/>
                      <w:highlight w:val="none"/>
                    </w:rPr>
                    <w:t>公用</w:t>
                  </w:r>
                </w:p>
                <w:p w14:paraId="07E0A480">
                  <w:pPr>
                    <w:pStyle w:val="34"/>
                    <w:bidi w:val="0"/>
                    <w:rPr>
                      <w:color w:val="auto"/>
                      <w:sz w:val="21"/>
                      <w:szCs w:val="21"/>
                      <w:highlight w:val="none"/>
                    </w:rPr>
                  </w:pPr>
                  <w:r>
                    <w:rPr>
                      <w:color w:val="auto"/>
                      <w:sz w:val="21"/>
                      <w:szCs w:val="21"/>
                      <w:highlight w:val="none"/>
                    </w:rPr>
                    <w:t>工程</w:t>
                  </w:r>
                </w:p>
              </w:tc>
              <w:tc>
                <w:tcPr>
                  <w:tcW w:w="502" w:type="pct"/>
                  <w:noWrap w:val="0"/>
                  <w:vAlign w:val="center"/>
                </w:tcPr>
                <w:p w14:paraId="0401E429">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供水</w:t>
                  </w:r>
                </w:p>
              </w:tc>
              <w:tc>
                <w:tcPr>
                  <w:tcW w:w="3630" w:type="pct"/>
                  <w:noWrap w:val="0"/>
                  <w:vAlign w:val="center"/>
                </w:tcPr>
                <w:p w14:paraId="1CE94A21">
                  <w:pPr>
                    <w:pStyle w:val="34"/>
                    <w:bidi w:val="0"/>
                    <w:rPr>
                      <w:rFonts w:hint="default" w:eastAsia="宋体"/>
                      <w:color w:val="auto"/>
                      <w:sz w:val="21"/>
                      <w:szCs w:val="21"/>
                      <w:highlight w:val="none"/>
                      <w:lang w:val="en-US" w:eastAsia="zh-CN"/>
                    </w:rPr>
                  </w:pPr>
                  <w:r>
                    <w:rPr>
                      <w:rFonts w:hint="eastAsia"/>
                      <w:color w:val="auto"/>
                      <w:sz w:val="21"/>
                      <w:szCs w:val="21"/>
                      <w:highlight w:val="none"/>
                      <w:lang w:val="en-US" w:eastAsia="zh-CN"/>
                    </w:rPr>
                    <w:t>生产用水和生活用水来自厂区现有水井</w:t>
                  </w:r>
                  <w:r>
                    <w:rPr>
                      <w:rFonts w:hint="eastAsia"/>
                      <w:color w:val="auto"/>
                      <w:sz w:val="21"/>
                      <w:szCs w:val="21"/>
                      <w:highlight w:val="none"/>
                      <w:lang w:eastAsia="zh-CN"/>
                    </w:rPr>
                    <w:t>，</w:t>
                  </w:r>
                  <w:r>
                    <w:rPr>
                      <w:rFonts w:hint="eastAsia"/>
                      <w:color w:val="auto"/>
                      <w:sz w:val="21"/>
                      <w:szCs w:val="21"/>
                      <w:highlight w:val="none"/>
                      <w:lang w:val="en-US" w:eastAsia="zh-CN"/>
                    </w:rPr>
                    <w:t>最大供水能力为10m</w:t>
                  </w:r>
                  <w:r>
                    <w:rPr>
                      <w:rFonts w:hint="eastAsia"/>
                      <w:color w:val="auto"/>
                      <w:sz w:val="21"/>
                      <w:szCs w:val="21"/>
                      <w:highlight w:val="none"/>
                      <w:vertAlign w:val="superscript"/>
                      <w:lang w:val="en-US" w:eastAsia="zh-CN"/>
                    </w:rPr>
                    <w:t>3</w:t>
                  </w:r>
                  <w:r>
                    <w:rPr>
                      <w:rFonts w:hint="eastAsia"/>
                      <w:color w:val="auto"/>
                      <w:sz w:val="21"/>
                      <w:szCs w:val="21"/>
                      <w:highlight w:val="none"/>
                      <w:vertAlign w:val="baseline"/>
                      <w:lang w:val="en-US" w:eastAsia="zh-CN"/>
                    </w:rPr>
                    <w:t>/h</w:t>
                  </w:r>
                </w:p>
              </w:tc>
              <w:tc>
                <w:tcPr>
                  <w:tcW w:w="579" w:type="pct"/>
                  <w:noWrap w:val="0"/>
                  <w:vAlign w:val="center"/>
                </w:tcPr>
                <w:p w14:paraId="55CF3056">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已建成</w:t>
                  </w:r>
                </w:p>
              </w:tc>
            </w:tr>
            <w:tr w14:paraId="499F12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3C630977">
                  <w:pPr>
                    <w:pStyle w:val="34"/>
                    <w:bidi w:val="0"/>
                    <w:rPr>
                      <w:color w:val="auto"/>
                      <w:sz w:val="21"/>
                      <w:szCs w:val="21"/>
                      <w:highlight w:val="none"/>
                    </w:rPr>
                  </w:pPr>
                </w:p>
              </w:tc>
              <w:tc>
                <w:tcPr>
                  <w:tcW w:w="502" w:type="pct"/>
                  <w:noWrap w:val="0"/>
                  <w:vAlign w:val="center"/>
                </w:tcPr>
                <w:p w14:paraId="44C48A13">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排水</w:t>
                  </w:r>
                </w:p>
              </w:tc>
              <w:tc>
                <w:tcPr>
                  <w:tcW w:w="3630" w:type="pct"/>
                  <w:noWrap w:val="0"/>
                  <w:vAlign w:val="center"/>
                </w:tcPr>
                <w:p w14:paraId="13A3D378">
                  <w:pPr>
                    <w:pStyle w:val="35"/>
                    <w:bidi w:val="0"/>
                    <w:rPr>
                      <w:rFonts w:hint="eastAsia"/>
                      <w:color w:val="auto"/>
                      <w:sz w:val="21"/>
                      <w:szCs w:val="21"/>
                      <w:highlight w:val="none"/>
                      <w:lang w:val="en-US" w:eastAsia="zh-CN"/>
                    </w:rPr>
                  </w:pPr>
                  <w:r>
                    <w:rPr>
                      <w:rFonts w:hint="eastAsia"/>
                      <w:color w:val="auto"/>
                      <w:sz w:val="21"/>
                      <w:szCs w:val="21"/>
                      <w:highlight w:val="none"/>
                      <w:lang w:val="en-US" w:eastAsia="zh-CN"/>
                    </w:rPr>
                    <w:t>本项目洒水抑尘用水全部自然蒸发消耗，设备冲洗水全部回用于生产进入产品，车辆冲洗废水经沉淀池沉淀后回用于车辆冲洗后全部自然蒸发消耗，搅拌用水全部</w:t>
                  </w:r>
                  <w:r>
                    <w:rPr>
                      <w:color w:val="auto"/>
                      <w:sz w:val="21"/>
                      <w:szCs w:val="21"/>
                      <w:highlight w:val="none"/>
                    </w:rPr>
                    <w:t>进入产品</w:t>
                  </w:r>
                  <w:r>
                    <w:rPr>
                      <w:rFonts w:hint="eastAsia"/>
                      <w:color w:val="auto"/>
                      <w:sz w:val="21"/>
                      <w:szCs w:val="21"/>
                      <w:highlight w:val="none"/>
                      <w:lang w:eastAsia="zh-CN"/>
                    </w:rPr>
                    <w:t>，</w:t>
                  </w:r>
                  <w:r>
                    <w:rPr>
                      <w:rFonts w:hint="eastAsia"/>
                      <w:color w:val="auto"/>
                      <w:sz w:val="21"/>
                      <w:szCs w:val="21"/>
                      <w:highlight w:val="none"/>
                      <w:lang w:val="en-US" w:eastAsia="zh-CN"/>
                    </w:rPr>
                    <w:t>因此本项目无生产废水外排；</w:t>
                  </w:r>
                </w:p>
                <w:p w14:paraId="69E319FD">
                  <w:pPr>
                    <w:pStyle w:val="35"/>
                    <w:bidi w:val="0"/>
                    <w:rPr>
                      <w:rFonts w:hint="eastAsia"/>
                      <w:color w:val="auto"/>
                      <w:sz w:val="21"/>
                      <w:szCs w:val="21"/>
                      <w:highlight w:val="none"/>
                      <w:lang w:val="en-US" w:eastAsia="zh-CN"/>
                    </w:rPr>
                  </w:pPr>
                  <w:r>
                    <w:rPr>
                      <w:rFonts w:hint="eastAsia"/>
                      <w:color w:val="auto"/>
                      <w:sz w:val="21"/>
                      <w:szCs w:val="21"/>
                      <w:highlight w:val="none"/>
                      <w:lang w:val="en-US" w:eastAsia="zh-CN"/>
                    </w:rPr>
                    <w:t>生活污水排入防渗旱厕，定期清掏，外运堆肥；</w:t>
                  </w:r>
                </w:p>
                <w:p w14:paraId="438D5A6D">
                  <w:pPr>
                    <w:pStyle w:val="35"/>
                    <w:bidi w:val="0"/>
                    <w:rPr>
                      <w:rFonts w:hint="default"/>
                      <w:color w:val="auto"/>
                      <w:sz w:val="21"/>
                      <w:szCs w:val="21"/>
                      <w:highlight w:val="none"/>
                      <w:lang w:val="en-US" w:eastAsia="zh-CN"/>
                    </w:rPr>
                  </w:pPr>
                  <w:r>
                    <w:rPr>
                      <w:rFonts w:hint="eastAsia"/>
                      <w:color w:val="auto"/>
                      <w:sz w:val="21"/>
                      <w:szCs w:val="21"/>
                      <w:highlight w:val="none"/>
                      <w:lang w:val="en-US" w:eastAsia="zh-CN"/>
                    </w:rPr>
                    <w:t>初期雨水通过厂区地势自然流入沉淀池后用于厂区洒水降尘，全部自然蒸发，不外排。</w:t>
                  </w:r>
                </w:p>
              </w:tc>
              <w:tc>
                <w:tcPr>
                  <w:tcW w:w="579" w:type="pct"/>
                  <w:noWrap w:val="0"/>
                  <w:vAlign w:val="center"/>
                </w:tcPr>
                <w:p w14:paraId="6C8BCAAE">
                  <w:pPr>
                    <w:pStyle w:val="34"/>
                    <w:bidi w:val="0"/>
                    <w:rPr>
                      <w:color w:val="auto"/>
                      <w:sz w:val="21"/>
                      <w:szCs w:val="21"/>
                      <w:highlight w:val="none"/>
                      <w:lang w:val="en-US" w:eastAsia="zh-CN"/>
                    </w:rPr>
                  </w:pPr>
                  <w:r>
                    <w:rPr>
                      <w:rFonts w:hint="eastAsia"/>
                      <w:color w:val="auto"/>
                      <w:sz w:val="21"/>
                      <w:szCs w:val="21"/>
                      <w:highlight w:val="none"/>
                      <w:lang w:val="en-US" w:eastAsia="zh-CN"/>
                    </w:rPr>
                    <w:t>已建成</w:t>
                  </w:r>
                </w:p>
              </w:tc>
            </w:tr>
            <w:tr w14:paraId="476A8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0D443AEC">
                  <w:pPr>
                    <w:pStyle w:val="34"/>
                    <w:bidi w:val="0"/>
                    <w:rPr>
                      <w:color w:val="auto"/>
                      <w:sz w:val="21"/>
                      <w:szCs w:val="21"/>
                      <w:highlight w:val="none"/>
                    </w:rPr>
                  </w:pPr>
                </w:p>
              </w:tc>
              <w:tc>
                <w:tcPr>
                  <w:tcW w:w="502" w:type="pct"/>
                  <w:noWrap w:val="0"/>
                  <w:vAlign w:val="center"/>
                </w:tcPr>
                <w:p w14:paraId="3C437EAA">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供电</w:t>
                  </w:r>
                </w:p>
              </w:tc>
              <w:tc>
                <w:tcPr>
                  <w:tcW w:w="3630" w:type="pct"/>
                  <w:noWrap w:val="0"/>
                  <w:vAlign w:val="center"/>
                </w:tcPr>
                <w:p w14:paraId="54E3A592">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由当地电业局提供</w:t>
                  </w:r>
                </w:p>
              </w:tc>
              <w:tc>
                <w:tcPr>
                  <w:tcW w:w="579" w:type="pct"/>
                  <w:noWrap w:val="0"/>
                  <w:vAlign w:val="center"/>
                </w:tcPr>
                <w:p w14:paraId="021F58A9">
                  <w:pPr>
                    <w:pStyle w:val="34"/>
                    <w:bidi w:val="0"/>
                    <w:rPr>
                      <w:color w:val="auto"/>
                      <w:sz w:val="21"/>
                      <w:szCs w:val="21"/>
                      <w:highlight w:val="none"/>
                      <w:lang w:val="en-US" w:eastAsia="zh-CN"/>
                    </w:rPr>
                  </w:pPr>
                  <w:r>
                    <w:rPr>
                      <w:rFonts w:hint="eastAsia"/>
                      <w:color w:val="auto"/>
                      <w:sz w:val="21"/>
                      <w:szCs w:val="21"/>
                      <w:highlight w:val="none"/>
                      <w:lang w:val="en-US" w:eastAsia="zh-CN"/>
                    </w:rPr>
                    <w:t>依托</w:t>
                  </w:r>
                </w:p>
              </w:tc>
            </w:tr>
            <w:tr w14:paraId="5BF0E5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2354B349">
                  <w:pPr>
                    <w:pStyle w:val="34"/>
                    <w:bidi w:val="0"/>
                    <w:rPr>
                      <w:color w:val="auto"/>
                      <w:sz w:val="21"/>
                      <w:szCs w:val="21"/>
                      <w:highlight w:val="none"/>
                    </w:rPr>
                  </w:pPr>
                </w:p>
              </w:tc>
              <w:tc>
                <w:tcPr>
                  <w:tcW w:w="502" w:type="pct"/>
                  <w:noWrap w:val="0"/>
                  <w:vAlign w:val="center"/>
                </w:tcPr>
                <w:p w14:paraId="555DB1E2">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供热</w:t>
                  </w:r>
                </w:p>
              </w:tc>
              <w:tc>
                <w:tcPr>
                  <w:tcW w:w="3630" w:type="pct"/>
                  <w:noWrap w:val="0"/>
                  <w:vAlign w:val="center"/>
                </w:tcPr>
                <w:p w14:paraId="5534E351">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本项目冬季不生产，无需供暖</w:t>
                  </w:r>
                </w:p>
              </w:tc>
              <w:tc>
                <w:tcPr>
                  <w:tcW w:w="579" w:type="pct"/>
                  <w:noWrap w:val="0"/>
                  <w:vAlign w:val="center"/>
                </w:tcPr>
                <w:p w14:paraId="73A7C33D">
                  <w:pPr>
                    <w:pStyle w:val="34"/>
                    <w:bidi w:val="0"/>
                    <w:rPr>
                      <w:color w:val="auto"/>
                      <w:sz w:val="21"/>
                      <w:szCs w:val="21"/>
                      <w:highlight w:val="none"/>
                      <w:lang w:val="en-US" w:eastAsia="zh-CN"/>
                    </w:rPr>
                  </w:pPr>
                  <w:r>
                    <w:rPr>
                      <w:rFonts w:hint="eastAsia"/>
                      <w:color w:val="auto"/>
                      <w:sz w:val="21"/>
                      <w:szCs w:val="21"/>
                      <w:highlight w:val="none"/>
                      <w:lang w:val="en-US" w:eastAsia="zh-CN"/>
                    </w:rPr>
                    <w:t>/</w:t>
                  </w:r>
                </w:p>
              </w:tc>
            </w:tr>
            <w:tr w14:paraId="012CB7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restart"/>
                  <w:noWrap w:val="0"/>
                  <w:vAlign w:val="center"/>
                </w:tcPr>
                <w:p w14:paraId="0DD102AA">
                  <w:pPr>
                    <w:pStyle w:val="34"/>
                    <w:bidi w:val="0"/>
                    <w:rPr>
                      <w:color w:val="auto"/>
                      <w:sz w:val="21"/>
                      <w:szCs w:val="21"/>
                      <w:highlight w:val="none"/>
                    </w:rPr>
                  </w:pPr>
                  <w:r>
                    <w:rPr>
                      <w:color w:val="auto"/>
                      <w:sz w:val="21"/>
                      <w:szCs w:val="21"/>
                      <w:highlight w:val="none"/>
                    </w:rPr>
                    <w:t>环保</w:t>
                  </w:r>
                </w:p>
                <w:p w14:paraId="5DE3E476">
                  <w:pPr>
                    <w:pStyle w:val="34"/>
                    <w:bidi w:val="0"/>
                    <w:rPr>
                      <w:color w:val="auto"/>
                      <w:sz w:val="21"/>
                      <w:szCs w:val="21"/>
                      <w:highlight w:val="none"/>
                    </w:rPr>
                  </w:pPr>
                  <w:r>
                    <w:rPr>
                      <w:color w:val="auto"/>
                      <w:sz w:val="21"/>
                      <w:szCs w:val="21"/>
                      <w:highlight w:val="none"/>
                    </w:rPr>
                    <w:t>工程</w:t>
                  </w:r>
                </w:p>
              </w:tc>
              <w:tc>
                <w:tcPr>
                  <w:tcW w:w="502" w:type="pct"/>
                  <w:noWrap w:val="0"/>
                  <w:vAlign w:val="center"/>
                </w:tcPr>
                <w:p w14:paraId="7F82ED57">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废水</w:t>
                  </w:r>
                </w:p>
              </w:tc>
              <w:tc>
                <w:tcPr>
                  <w:tcW w:w="3630" w:type="pct"/>
                  <w:noWrap w:val="0"/>
                  <w:vAlign w:val="center"/>
                </w:tcPr>
                <w:p w14:paraId="51870F08">
                  <w:pPr>
                    <w:pStyle w:val="35"/>
                    <w:bidi w:val="0"/>
                    <w:rPr>
                      <w:rFonts w:hint="eastAsia"/>
                      <w:color w:val="auto"/>
                      <w:sz w:val="21"/>
                      <w:szCs w:val="21"/>
                      <w:highlight w:val="none"/>
                      <w:lang w:val="en-US" w:eastAsia="zh-CN"/>
                    </w:rPr>
                  </w:pPr>
                  <w:r>
                    <w:rPr>
                      <w:rFonts w:hint="eastAsia"/>
                      <w:color w:val="auto"/>
                      <w:sz w:val="21"/>
                      <w:szCs w:val="21"/>
                      <w:highlight w:val="none"/>
                      <w:lang w:val="en-US" w:eastAsia="zh-CN"/>
                    </w:rPr>
                    <w:t>本项目洒水抑尘用水全部自然蒸发消耗，设备冲洗水全部回用于生产进入产品，车辆冲洗废水经沉淀池沉淀后回用于车辆冲洗后全部自然蒸发消耗，搅拌用水全部</w:t>
                  </w:r>
                  <w:r>
                    <w:rPr>
                      <w:color w:val="auto"/>
                      <w:sz w:val="21"/>
                      <w:szCs w:val="21"/>
                      <w:highlight w:val="none"/>
                    </w:rPr>
                    <w:t>进入产品</w:t>
                  </w:r>
                  <w:r>
                    <w:rPr>
                      <w:rFonts w:hint="eastAsia"/>
                      <w:color w:val="auto"/>
                      <w:sz w:val="21"/>
                      <w:szCs w:val="21"/>
                      <w:highlight w:val="none"/>
                      <w:lang w:eastAsia="zh-CN"/>
                    </w:rPr>
                    <w:t>，</w:t>
                  </w:r>
                  <w:r>
                    <w:rPr>
                      <w:rFonts w:hint="eastAsia"/>
                      <w:color w:val="auto"/>
                      <w:sz w:val="21"/>
                      <w:szCs w:val="21"/>
                      <w:highlight w:val="none"/>
                      <w:lang w:val="en-US" w:eastAsia="zh-CN"/>
                    </w:rPr>
                    <w:t>因此本项目无生产废水外排；</w:t>
                  </w:r>
                </w:p>
                <w:p w14:paraId="095301AE">
                  <w:pPr>
                    <w:pStyle w:val="35"/>
                    <w:bidi w:val="0"/>
                    <w:rPr>
                      <w:rFonts w:hint="eastAsia"/>
                      <w:color w:val="auto"/>
                      <w:sz w:val="21"/>
                      <w:szCs w:val="21"/>
                      <w:highlight w:val="none"/>
                      <w:lang w:val="en-US" w:eastAsia="zh-CN"/>
                    </w:rPr>
                  </w:pPr>
                  <w:r>
                    <w:rPr>
                      <w:rFonts w:hint="eastAsia"/>
                      <w:color w:val="auto"/>
                      <w:sz w:val="21"/>
                      <w:szCs w:val="21"/>
                      <w:highlight w:val="none"/>
                      <w:lang w:val="en-US" w:eastAsia="zh-CN"/>
                    </w:rPr>
                    <w:t>生活污水排入防渗旱厕，定期清掏，外运堆肥；</w:t>
                  </w:r>
                </w:p>
                <w:p w14:paraId="18FFD6A7">
                  <w:pPr>
                    <w:pStyle w:val="35"/>
                    <w:bidi w:val="0"/>
                    <w:rPr>
                      <w:rFonts w:hint="eastAsia"/>
                      <w:color w:val="auto"/>
                      <w:sz w:val="21"/>
                      <w:szCs w:val="21"/>
                      <w:highlight w:val="none"/>
                      <w:lang w:val="en-US" w:eastAsia="zh-CN"/>
                    </w:rPr>
                  </w:pPr>
                  <w:r>
                    <w:rPr>
                      <w:rFonts w:hint="eastAsia"/>
                      <w:color w:val="auto"/>
                      <w:sz w:val="21"/>
                      <w:szCs w:val="21"/>
                      <w:highlight w:val="none"/>
                      <w:lang w:val="en-US" w:eastAsia="zh-CN"/>
                    </w:rPr>
                    <w:t>初期雨水通过厂区地势自然流入沉淀池后用于厂区洒水降尘，全部自然蒸发，不外排。</w:t>
                  </w:r>
                </w:p>
              </w:tc>
              <w:tc>
                <w:tcPr>
                  <w:tcW w:w="579" w:type="pct"/>
                  <w:noWrap w:val="0"/>
                  <w:vAlign w:val="center"/>
                </w:tcPr>
                <w:p w14:paraId="40DD3BB7">
                  <w:pPr>
                    <w:pStyle w:val="34"/>
                    <w:bidi w:val="0"/>
                    <w:rPr>
                      <w:color w:val="auto"/>
                      <w:sz w:val="21"/>
                      <w:szCs w:val="21"/>
                      <w:highlight w:val="none"/>
                      <w:lang w:val="en-US" w:eastAsia="zh-CN"/>
                    </w:rPr>
                  </w:pPr>
                  <w:r>
                    <w:rPr>
                      <w:rFonts w:hint="eastAsia"/>
                      <w:color w:val="auto"/>
                      <w:sz w:val="21"/>
                      <w:szCs w:val="21"/>
                      <w:highlight w:val="none"/>
                      <w:lang w:val="en-US" w:eastAsia="zh-CN"/>
                    </w:rPr>
                    <w:t>已建成</w:t>
                  </w:r>
                </w:p>
              </w:tc>
            </w:tr>
            <w:tr w14:paraId="3E48C8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506902DE">
                  <w:pPr>
                    <w:pStyle w:val="34"/>
                    <w:bidi w:val="0"/>
                    <w:rPr>
                      <w:color w:val="auto"/>
                      <w:sz w:val="21"/>
                      <w:szCs w:val="21"/>
                      <w:highlight w:val="none"/>
                    </w:rPr>
                  </w:pPr>
                </w:p>
              </w:tc>
              <w:tc>
                <w:tcPr>
                  <w:tcW w:w="502" w:type="pct"/>
                  <w:noWrap w:val="0"/>
                  <w:vAlign w:val="center"/>
                </w:tcPr>
                <w:p w14:paraId="3CB828D5">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废气</w:t>
                  </w:r>
                </w:p>
              </w:tc>
              <w:tc>
                <w:tcPr>
                  <w:tcW w:w="3630" w:type="pct"/>
                  <w:noWrap w:val="0"/>
                  <w:vAlign w:val="center"/>
                </w:tcPr>
                <w:p w14:paraId="237A5C94">
                  <w:pPr>
                    <w:pStyle w:val="35"/>
                    <w:bidi w:val="0"/>
                    <w:rPr>
                      <w:rFonts w:hint="eastAsia"/>
                      <w:color w:val="auto"/>
                      <w:sz w:val="21"/>
                      <w:szCs w:val="21"/>
                      <w:highlight w:val="none"/>
                      <w:lang w:val="en-US" w:eastAsia="zh-CN"/>
                    </w:rPr>
                  </w:pPr>
                  <w:r>
                    <w:rPr>
                      <w:rFonts w:hint="eastAsia"/>
                      <w:color w:val="auto"/>
                      <w:sz w:val="21"/>
                      <w:szCs w:val="21"/>
                      <w:highlight w:val="none"/>
                      <w:lang w:val="en-US" w:eastAsia="zh-CN"/>
                    </w:rPr>
                    <w:t>石子和砂子通过车辆运输进厂后卸料、贮存在堆场内，堆场内采取苫盖、洒水抑尘等措施，四周布置防风抑尘网；水泥筒仓、粉煤灰筒仓、外加剂罐自带的布袋除尘器，进料粉尘经布袋除尘器处理后通过罐顶通气孔无组织排放；砂、碎石等投料斗上方设置半封闭式罩棚与雾化喷淋装置，水泥、粉煤灰、外加剂等原料的输送、计量、投料等方式均为封闭式，物料计量后通过封闭输送机输送至搅拌站内，混合搅拌工序在密闭的搅拌站内</w:t>
                  </w:r>
                  <w:r>
                    <w:rPr>
                      <w:rFonts w:hint="eastAsia"/>
                      <w:color w:val="auto"/>
                      <w:sz w:val="21"/>
                      <w:szCs w:val="21"/>
                      <w:highlight w:val="none"/>
                      <w:lang w:val="en-US" w:eastAsia="zh-CN"/>
                    </w:rPr>
                    <w:t>，搅拌机投料口设置集气罩收集产生的颗粒物，经布袋除尘器处理后通过站顶排气口无组织排放；</w:t>
                  </w:r>
                  <w:r>
                    <w:rPr>
                      <w:rFonts w:hint="eastAsia"/>
                      <w:color w:val="auto"/>
                      <w:sz w:val="21"/>
                      <w:szCs w:val="21"/>
                      <w:highlight w:val="none"/>
                      <w:lang w:val="en-US" w:eastAsia="zh-CN"/>
                    </w:rPr>
                    <w:t>项目运输采取苫盖货车、密闭罐车运输，厂内及时清扫道路并定期洒水降尘，以减少道路扬尘的产生。</w:t>
                  </w:r>
                </w:p>
              </w:tc>
              <w:tc>
                <w:tcPr>
                  <w:tcW w:w="579" w:type="pct"/>
                  <w:noWrap w:val="0"/>
                  <w:vAlign w:val="center"/>
                </w:tcPr>
                <w:p w14:paraId="55054FDC">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其中防风抑尘网新建，其他措施已建成</w:t>
                  </w:r>
                </w:p>
              </w:tc>
            </w:tr>
            <w:tr w14:paraId="3F07E9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6C71E909">
                  <w:pPr>
                    <w:pStyle w:val="34"/>
                    <w:bidi w:val="0"/>
                    <w:rPr>
                      <w:color w:val="auto"/>
                      <w:sz w:val="21"/>
                      <w:szCs w:val="21"/>
                      <w:highlight w:val="none"/>
                    </w:rPr>
                  </w:pPr>
                </w:p>
              </w:tc>
              <w:tc>
                <w:tcPr>
                  <w:tcW w:w="502" w:type="pct"/>
                  <w:noWrap w:val="0"/>
                  <w:vAlign w:val="center"/>
                </w:tcPr>
                <w:p w14:paraId="1C5521EA">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噪声</w:t>
                  </w:r>
                </w:p>
              </w:tc>
              <w:tc>
                <w:tcPr>
                  <w:tcW w:w="3630" w:type="pct"/>
                  <w:noWrap w:val="0"/>
                  <w:vAlign w:val="center"/>
                </w:tcPr>
                <w:p w14:paraId="6D3C8576">
                  <w:pPr>
                    <w:pStyle w:val="35"/>
                    <w:bidi w:val="0"/>
                    <w:rPr>
                      <w:rFonts w:hint="eastAsia"/>
                      <w:color w:val="auto"/>
                      <w:sz w:val="21"/>
                      <w:szCs w:val="21"/>
                      <w:highlight w:val="none"/>
                      <w:lang w:val="en-US" w:eastAsia="zh-CN"/>
                    </w:rPr>
                  </w:pPr>
                  <w:r>
                    <w:rPr>
                      <w:rFonts w:hint="eastAsia"/>
                      <w:color w:val="auto"/>
                      <w:sz w:val="21"/>
                      <w:szCs w:val="21"/>
                      <w:highlight w:val="none"/>
                      <w:lang w:val="en-US" w:eastAsia="zh-CN"/>
                    </w:rPr>
                    <w:t>采用低噪声设备、设备安装基础减振，运输车辆厂区内降低车速、禁止鸣笛</w:t>
                  </w:r>
                </w:p>
              </w:tc>
              <w:tc>
                <w:tcPr>
                  <w:tcW w:w="579" w:type="pct"/>
                  <w:noWrap w:val="0"/>
                  <w:vAlign w:val="center"/>
                </w:tcPr>
                <w:p w14:paraId="39402B0C">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已建成</w:t>
                  </w:r>
                </w:p>
              </w:tc>
            </w:tr>
            <w:tr w14:paraId="5B7476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56A8105E">
                  <w:pPr>
                    <w:pStyle w:val="34"/>
                    <w:bidi w:val="0"/>
                    <w:rPr>
                      <w:color w:val="auto"/>
                      <w:sz w:val="21"/>
                      <w:szCs w:val="21"/>
                      <w:highlight w:val="none"/>
                    </w:rPr>
                  </w:pPr>
                </w:p>
              </w:tc>
              <w:tc>
                <w:tcPr>
                  <w:tcW w:w="502" w:type="pct"/>
                  <w:noWrap w:val="0"/>
                  <w:vAlign w:val="center"/>
                </w:tcPr>
                <w:p w14:paraId="4C30B404">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固体废物</w:t>
                  </w:r>
                </w:p>
              </w:tc>
              <w:tc>
                <w:tcPr>
                  <w:tcW w:w="3630" w:type="pct"/>
                  <w:noWrap w:val="0"/>
                  <w:vAlign w:val="center"/>
                </w:tcPr>
                <w:p w14:paraId="279E0B98">
                  <w:pPr>
                    <w:pStyle w:val="35"/>
                    <w:bidi w:val="0"/>
                    <w:rPr>
                      <w:rFonts w:hint="eastAsia"/>
                      <w:color w:val="auto"/>
                      <w:sz w:val="21"/>
                      <w:szCs w:val="21"/>
                      <w:highlight w:val="none"/>
                      <w:lang w:val="en-US" w:eastAsia="zh-CN"/>
                    </w:rPr>
                  </w:pPr>
                  <w:r>
                    <w:rPr>
                      <w:rFonts w:hint="eastAsia"/>
                      <w:color w:val="auto"/>
                      <w:sz w:val="21"/>
                      <w:szCs w:val="21"/>
                      <w:highlight w:val="none"/>
                      <w:lang w:val="en-US" w:eastAsia="zh-CN"/>
                    </w:rPr>
                    <w:t>本项目生活垃圾交由市政部门统一处理；</w:t>
                  </w:r>
                </w:p>
                <w:p w14:paraId="31060291">
                  <w:pPr>
                    <w:pStyle w:val="35"/>
                    <w:bidi w:val="0"/>
                    <w:rPr>
                      <w:rFonts w:hint="eastAsia"/>
                      <w:color w:val="auto"/>
                      <w:sz w:val="21"/>
                      <w:szCs w:val="21"/>
                      <w:highlight w:val="none"/>
                      <w:lang w:val="en-US" w:eastAsia="zh-CN"/>
                    </w:rPr>
                  </w:pPr>
                  <w:r>
                    <w:rPr>
                      <w:rFonts w:hint="eastAsia"/>
                      <w:color w:val="auto"/>
                      <w:sz w:val="21"/>
                      <w:szCs w:val="21"/>
                      <w:highlight w:val="none"/>
                      <w:lang w:val="en-US" w:eastAsia="zh-CN"/>
                    </w:rPr>
                    <w:t>水泥筒仓、粉煤灰筒仓、外加剂罐、搅拌机布袋除尘器收尘作为原料回用于生产；实验室废料，由骨料供应商回收破碎后重新利用；</w:t>
                  </w:r>
                  <w:r>
                    <w:rPr>
                      <w:rFonts w:hint="eastAsia" w:ascii="Times New Roman" w:hAnsi="Times New Roman" w:eastAsia="宋体" w:cs="宋体"/>
                      <w:color w:val="auto"/>
                      <w:sz w:val="21"/>
                      <w:szCs w:val="21"/>
                      <w:highlight w:val="none"/>
                      <w:lang w:val="en-US" w:eastAsia="zh-CN"/>
                    </w:rPr>
                    <w:t>废布袋由厂家回收处置</w:t>
                  </w:r>
                  <w:r>
                    <w:rPr>
                      <w:rFonts w:hint="eastAsia" w:cs="宋体"/>
                      <w:color w:val="auto"/>
                      <w:sz w:val="21"/>
                      <w:szCs w:val="21"/>
                      <w:highlight w:val="none"/>
                      <w:lang w:val="en-US" w:eastAsia="zh-CN"/>
                    </w:rPr>
                    <w:t>；沉淀池中的污泥定期自然晾干挖出后交由市政部门统一处理。</w:t>
                  </w:r>
                </w:p>
                <w:p w14:paraId="31D0D60E">
                  <w:pPr>
                    <w:pStyle w:val="35"/>
                    <w:bidi w:val="0"/>
                    <w:rPr>
                      <w:rFonts w:hint="default"/>
                      <w:color w:val="auto"/>
                      <w:sz w:val="21"/>
                      <w:szCs w:val="21"/>
                      <w:highlight w:val="none"/>
                      <w:lang w:val="en-US" w:eastAsia="zh-CN"/>
                    </w:rPr>
                  </w:pPr>
                  <w:r>
                    <w:rPr>
                      <w:rFonts w:hint="eastAsia"/>
                      <w:color w:val="auto"/>
                      <w:sz w:val="21"/>
                      <w:szCs w:val="21"/>
                      <w:highlight w:val="none"/>
                      <w:lang w:val="en-US" w:eastAsia="zh-CN"/>
                    </w:rPr>
                    <w:t>本项目设备维修、保养产生的废润滑油、废油桶、含油抹布及棉纱手套收集至危废贮存点，定期委托有资质单位处理。</w:t>
                  </w:r>
                </w:p>
              </w:tc>
              <w:tc>
                <w:tcPr>
                  <w:tcW w:w="579" w:type="pct"/>
                  <w:noWrap w:val="0"/>
                  <w:vAlign w:val="center"/>
                </w:tcPr>
                <w:p w14:paraId="1DCF486F">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已建成</w:t>
                  </w:r>
                </w:p>
              </w:tc>
            </w:tr>
            <w:tr w14:paraId="6E6D4C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7A31DB9F">
                  <w:pPr>
                    <w:pStyle w:val="34"/>
                    <w:bidi w:val="0"/>
                    <w:rPr>
                      <w:color w:val="auto"/>
                      <w:sz w:val="21"/>
                      <w:szCs w:val="21"/>
                      <w:highlight w:val="none"/>
                    </w:rPr>
                  </w:pPr>
                </w:p>
              </w:tc>
              <w:tc>
                <w:tcPr>
                  <w:tcW w:w="502" w:type="pct"/>
                  <w:noWrap w:val="0"/>
                  <w:vAlign w:val="center"/>
                </w:tcPr>
                <w:p w14:paraId="6C5B4729">
                  <w:pPr>
                    <w:pStyle w:val="34"/>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地下水防治措施</w:t>
                  </w:r>
                </w:p>
              </w:tc>
              <w:tc>
                <w:tcPr>
                  <w:tcW w:w="3630" w:type="pct"/>
                  <w:noWrap w:val="0"/>
                  <w:vAlign w:val="center"/>
                </w:tcPr>
                <w:p w14:paraId="4FB2AC34">
                  <w:pPr>
                    <w:pStyle w:val="34"/>
                    <w:bidi w:val="0"/>
                    <w:ind w:firstLine="420" w:firstLineChars="200"/>
                    <w:jc w:val="both"/>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本项目厂区进行分区防渗，危废贮存点</w:t>
                  </w:r>
                  <w:r>
                    <w:rPr>
                      <w:rFonts w:hint="eastAsia" w:ascii="Times New Roman" w:hAnsi="Times New Roman" w:eastAsia="宋体" w:cs="宋体"/>
                      <w:color w:val="auto"/>
                      <w:kern w:val="2"/>
                      <w:sz w:val="21"/>
                      <w:szCs w:val="21"/>
                      <w:highlight w:val="none"/>
                      <w:lang w:val="en-US" w:eastAsia="zh-CN" w:bidi="ar-SA"/>
                    </w:rPr>
                    <w:t>为重点防渗区，防渗层采用2mm厚高密度聚乙烯土工膜（HDPE），其渗透系数不大于1.0×10</w:t>
                  </w:r>
                  <w:r>
                    <w:rPr>
                      <w:rFonts w:hint="eastAsia" w:ascii="Times New Roman" w:hAnsi="Times New Roman" w:eastAsia="宋体" w:cs="宋体"/>
                      <w:color w:val="auto"/>
                      <w:kern w:val="2"/>
                      <w:sz w:val="21"/>
                      <w:szCs w:val="21"/>
                      <w:highlight w:val="none"/>
                      <w:vertAlign w:val="superscript"/>
                      <w:lang w:val="en-US" w:eastAsia="zh-CN" w:bidi="ar-SA"/>
                    </w:rPr>
                    <w:t>-10</w:t>
                  </w:r>
                  <w:r>
                    <w:rPr>
                      <w:rFonts w:hint="eastAsia" w:ascii="Times New Roman" w:hAnsi="Times New Roman" w:eastAsia="宋体" w:cs="宋体"/>
                      <w:color w:val="auto"/>
                      <w:kern w:val="2"/>
                      <w:sz w:val="21"/>
                      <w:szCs w:val="21"/>
                      <w:highlight w:val="none"/>
                      <w:lang w:val="en-US" w:eastAsia="zh-CN" w:bidi="ar-SA"/>
                    </w:rPr>
                    <w:t>cm/s。</w:t>
                  </w:r>
                </w:p>
                <w:p w14:paraId="76938CDE">
                  <w:pPr>
                    <w:pStyle w:val="34"/>
                    <w:bidi w:val="0"/>
                    <w:ind w:firstLine="420" w:firstLineChars="200"/>
                    <w:jc w:val="both"/>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沉淀池进行一般防渗处理，</w:t>
                  </w:r>
                  <w:r>
                    <w:rPr>
                      <w:rFonts w:hint="default" w:ascii="Times New Roman" w:hAnsi="Times New Roman" w:eastAsia="宋体" w:cs="宋体"/>
                      <w:color w:val="auto"/>
                      <w:sz w:val="21"/>
                      <w:szCs w:val="21"/>
                      <w:highlight w:val="none"/>
                      <w:lang w:val="en-US" w:eastAsia="zh-CN"/>
                    </w:rPr>
                    <w:t>其防渗技术要求可满足等效黏土防渗层Mb≥</w:t>
                  </w:r>
                  <w:r>
                    <w:rPr>
                      <w:rFonts w:hint="eastAsia" w:ascii="Times New Roman" w:hAnsi="Times New Roman" w:eastAsia="宋体" w:cs="宋体"/>
                      <w:color w:val="auto"/>
                      <w:sz w:val="21"/>
                      <w:szCs w:val="21"/>
                      <w:highlight w:val="none"/>
                      <w:lang w:val="en-US" w:eastAsia="zh-CN"/>
                    </w:rPr>
                    <w:t>1.5</w:t>
                  </w:r>
                  <w:r>
                    <w:rPr>
                      <w:rFonts w:hint="default" w:ascii="Times New Roman" w:hAnsi="Times New Roman" w:eastAsia="宋体" w:cs="宋体"/>
                      <w:color w:val="auto"/>
                      <w:sz w:val="21"/>
                      <w:szCs w:val="21"/>
                      <w:highlight w:val="none"/>
                      <w:lang w:val="en-US" w:eastAsia="zh-CN"/>
                    </w:rPr>
                    <w:t>m，K≤1×10</w:t>
                  </w:r>
                  <w:r>
                    <w:rPr>
                      <w:rFonts w:hint="default" w:ascii="Times New Roman" w:hAnsi="Times New Roman" w:eastAsia="宋体" w:cs="宋体"/>
                      <w:color w:val="auto"/>
                      <w:sz w:val="21"/>
                      <w:szCs w:val="21"/>
                      <w:highlight w:val="none"/>
                      <w:vertAlign w:val="superscript"/>
                      <w:lang w:val="en-US" w:eastAsia="zh-CN"/>
                    </w:rPr>
                    <w:t>-7</w:t>
                  </w:r>
                  <w:r>
                    <w:rPr>
                      <w:rFonts w:hint="default" w:ascii="Times New Roman" w:hAnsi="Times New Roman" w:eastAsia="宋体" w:cs="宋体"/>
                      <w:color w:val="auto"/>
                      <w:sz w:val="21"/>
                      <w:szCs w:val="21"/>
                      <w:highlight w:val="none"/>
                      <w:lang w:val="en-US" w:eastAsia="zh-CN"/>
                    </w:rPr>
                    <w:t>cm/s的要求。</w:t>
                  </w:r>
                </w:p>
                <w:p w14:paraId="413B9697">
                  <w:pPr>
                    <w:pStyle w:val="35"/>
                    <w:bidi w:val="0"/>
                    <w:rPr>
                      <w:rFonts w:hint="default"/>
                      <w:color w:val="auto"/>
                      <w:highlight w:val="none"/>
                      <w:lang w:val="en-US" w:eastAsia="zh-CN"/>
                    </w:rPr>
                  </w:pPr>
                  <w:r>
                    <w:rPr>
                      <w:rFonts w:hint="eastAsia"/>
                      <w:color w:val="auto"/>
                      <w:highlight w:val="none"/>
                      <w:lang w:val="en-US" w:eastAsia="zh-CN"/>
                    </w:rPr>
                    <w:t>其余场地及道路进行一般地面硬化，简单防渗处理。</w:t>
                  </w:r>
                </w:p>
              </w:tc>
              <w:tc>
                <w:tcPr>
                  <w:tcW w:w="579" w:type="pct"/>
                  <w:noWrap w:val="0"/>
                  <w:vAlign w:val="center"/>
                </w:tcPr>
                <w:p w14:paraId="1541637A">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已建成</w:t>
                  </w:r>
                </w:p>
              </w:tc>
            </w:tr>
            <w:tr w14:paraId="5AD84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vMerge w:val="continue"/>
                  <w:noWrap w:val="0"/>
                  <w:vAlign w:val="center"/>
                </w:tcPr>
                <w:p w14:paraId="2CFF8F51">
                  <w:pPr>
                    <w:pStyle w:val="34"/>
                    <w:bidi w:val="0"/>
                    <w:rPr>
                      <w:color w:val="auto"/>
                      <w:sz w:val="21"/>
                      <w:szCs w:val="21"/>
                      <w:highlight w:val="none"/>
                    </w:rPr>
                  </w:pPr>
                </w:p>
              </w:tc>
              <w:tc>
                <w:tcPr>
                  <w:tcW w:w="502" w:type="pct"/>
                  <w:noWrap w:val="0"/>
                  <w:vAlign w:val="center"/>
                </w:tcPr>
                <w:p w14:paraId="4A5EA4CF">
                  <w:pPr>
                    <w:pStyle w:val="34"/>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环境风险防范措施</w:t>
                  </w:r>
                </w:p>
              </w:tc>
              <w:tc>
                <w:tcPr>
                  <w:tcW w:w="3630" w:type="pct"/>
                  <w:noWrap w:val="0"/>
                  <w:vAlign w:val="center"/>
                </w:tcPr>
                <w:p w14:paraId="633C2D7A">
                  <w:pPr>
                    <w:pStyle w:val="34"/>
                    <w:bidi w:val="0"/>
                    <w:ind w:firstLine="420" w:firstLineChars="200"/>
                    <w:jc w:val="both"/>
                    <w:rPr>
                      <w:rFonts w:hint="eastAsia"/>
                      <w:color w:val="auto"/>
                      <w:sz w:val="21"/>
                      <w:szCs w:val="21"/>
                      <w:highlight w:val="none"/>
                      <w:lang w:val="en-US" w:eastAsia="zh-CN"/>
                    </w:rPr>
                  </w:pPr>
                  <w:r>
                    <w:rPr>
                      <w:rFonts w:hint="eastAsia"/>
                      <w:color w:val="auto"/>
                      <w:sz w:val="21"/>
                      <w:szCs w:val="21"/>
                      <w:highlight w:val="none"/>
                      <w:lang w:val="en-US" w:eastAsia="zh-CN"/>
                    </w:rPr>
                    <w:t>严格按照相关要求落实废润滑油的储存，确定指定地点存放；</w:t>
                  </w:r>
                </w:p>
                <w:p w14:paraId="2FE424B6">
                  <w:pPr>
                    <w:pStyle w:val="34"/>
                    <w:bidi w:val="0"/>
                    <w:ind w:firstLine="420" w:firstLineChars="200"/>
                    <w:jc w:val="both"/>
                    <w:rPr>
                      <w:rFonts w:hint="eastAsia"/>
                      <w:color w:val="auto"/>
                      <w:sz w:val="21"/>
                      <w:szCs w:val="21"/>
                      <w:highlight w:val="none"/>
                      <w:lang w:val="en-US" w:eastAsia="zh-CN"/>
                    </w:rPr>
                  </w:pPr>
                  <w:r>
                    <w:rPr>
                      <w:rFonts w:hint="eastAsia"/>
                      <w:color w:val="auto"/>
                      <w:sz w:val="21"/>
                      <w:szCs w:val="21"/>
                      <w:highlight w:val="none"/>
                      <w:lang w:val="en-US" w:eastAsia="zh-CN"/>
                    </w:rPr>
                    <w:t>厂区内制定安全操作管理规程，每日安排专人对废润滑油的安全存放、使用进行检查，确保废润滑油不发生泄漏及火灾爆炸；加强对厂区人员的环境安全宣传教育，严格按操作规程操作，杜绝处理不当导致废润滑油存储器皿发生破裂现象，废润滑油装罐后要及时将罐口封闭；</w:t>
                  </w:r>
                </w:p>
                <w:p w14:paraId="0CA82B10">
                  <w:pPr>
                    <w:pStyle w:val="34"/>
                    <w:bidi w:val="0"/>
                    <w:ind w:firstLine="420" w:firstLineChars="200"/>
                    <w:jc w:val="both"/>
                    <w:rPr>
                      <w:rFonts w:hint="eastAsia"/>
                      <w:color w:val="auto"/>
                      <w:sz w:val="21"/>
                      <w:szCs w:val="21"/>
                      <w:highlight w:val="none"/>
                      <w:lang w:val="en-US" w:eastAsia="zh-CN"/>
                    </w:rPr>
                  </w:pPr>
                  <w:r>
                    <w:rPr>
                      <w:rFonts w:hint="eastAsia"/>
                      <w:color w:val="auto"/>
                      <w:sz w:val="21"/>
                      <w:szCs w:val="21"/>
                      <w:highlight w:val="none"/>
                      <w:lang w:val="en-US" w:eastAsia="zh-CN"/>
                    </w:rPr>
                    <w:t>废润滑油储存区域应远离明火，最大限度地杜绝火灾爆炸现象的发生；严格落实各项消防措施；</w:t>
                  </w:r>
                </w:p>
                <w:p w14:paraId="4AFDA56E">
                  <w:pPr>
                    <w:pStyle w:val="34"/>
                    <w:bidi w:val="0"/>
                    <w:ind w:firstLine="420" w:firstLineChars="200"/>
                    <w:jc w:val="both"/>
                    <w:rPr>
                      <w:rFonts w:hint="eastAsia"/>
                      <w:color w:val="auto"/>
                      <w:sz w:val="21"/>
                      <w:szCs w:val="21"/>
                      <w:highlight w:val="none"/>
                      <w:lang w:val="en-US" w:eastAsia="zh-CN"/>
                    </w:rPr>
                  </w:pPr>
                  <w:r>
                    <w:rPr>
                      <w:rFonts w:hint="eastAsia"/>
                      <w:color w:val="auto"/>
                      <w:sz w:val="21"/>
                      <w:szCs w:val="21"/>
                      <w:highlight w:val="none"/>
                      <w:lang w:val="en-US" w:eastAsia="zh-CN"/>
                    </w:rPr>
                    <w:t>危废贮存点的贮存设施污染控制要求、容器和包装物污染控制要求以及环境管理要求等均应满足《危险废物贮存污染控制标准》（GB18597-2023）要求。</w:t>
                  </w:r>
                </w:p>
              </w:tc>
              <w:tc>
                <w:tcPr>
                  <w:tcW w:w="579" w:type="pct"/>
                  <w:noWrap w:val="0"/>
                  <w:vAlign w:val="center"/>
                </w:tcPr>
                <w:p w14:paraId="541EB0B4">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已建成</w:t>
                  </w:r>
                </w:p>
              </w:tc>
            </w:tr>
          </w:tbl>
          <w:p w14:paraId="3ADD0FB5">
            <w:pPr>
              <w:pStyle w:val="30"/>
              <w:bidi w:val="0"/>
              <w:rPr>
                <w:b/>
                <w:bCs/>
                <w:color w:val="auto"/>
                <w:highlight w:val="none"/>
              </w:rPr>
            </w:pPr>
            <w:r>
              <w:rPr>
                <w:rFonts w:hint="eastAsia"/>
                <w:b/>
                <w:bCs/>
                <w:color w:val="auto"/>
                <w:highlight w:val="none"/>
              </w:rPr>
              <w:t>2、主要设备</w:t>
            </w:r>
          </w:p>
          <w:p w14:paraId="02E45D9E">
            <w:pPr>
              <w:widowControl/>
              <w:spacing w:line="360" w:lineRule="auto"/>
              <w:ind w:firstLine="480" w:firstLineChars="200"/>
              <w:rPr>
                <w:color w:val="auto"/>
                <w:highlight w:val="none"/>
              </w:rPr>
            </w:pPr>
            <w:r>
              <w:rPr>
                <w:color w:val="auto"/>
                <w:highlight w:val="none"/>
              </w:rPr>
              <w:t>主要设备见下表。</w:t>
            </w:r>
          </w:p>
          <w:p w14:paraId="180D57E6">
            <w:pPr>
              <w:pStyle w:val="36"/>
              <w:bidi w:val="0"/>
              <w:rPr>
                <w:rFonts w:hint="default"/>
                <w:color w:val="auto"/>
                <w:highlight w:val="none"/>
                <w:lang w:val="en-US" w:eastAsia="zh-CN"/>
              </w:rPr>
            </w:pPr>
            <w:r>
              <w:rPr>
                <w:rFonts w:hint="eastAsia"/>
                <w:color w:val="auto"/>
                <w:highlight w:val="none"/>
                <w:lang w:val="en-US" w:eastAsia="zh-CN"/>
              </w:rPr>
              <w:t>表2-2主要设备一览表</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2384"/>
              <w:gridCol w:w="2970"/>
              <w:gridCol w:w="1145"/>
            </w:tblGrid>
            <w:tr w14:paraId="63A44A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vAlign w:val="center"/>
                </w:tcPr>
                <w:p w14:paraId="5423DB96">
                  <w:pPr>
                    <w:pStyle w:val="34"/>
                    <w:bidi w:val="0"/>
                    <w:rPr>
                      <w:color w:val="auto"/>
                      <w:highlight w:val="none"/>
                    </w:rPr>
                  </w:pPr>
                  <w:r>
                    <w:rPr>
                      <w:color w:val="auto"/>
                      <w:highlight w:val="none"/>
                    </w:rPr>
                    <w:t>序号</w:t>
                  </w:r>
                </w:p>
              </w:tc>
              <w:tc>
                <w:tcPr>
                  <w:tcW w:w="1579" w:type="pct"/>
                  <w:vAlign w:val="center"/>
                </w:tcPr>
                <w:p w14:paraId="0C91621C">
                  <w:pPr>
                    <w:pStyle w:val="34"/>
                    <w:bidi w:val="0"/>
                    <w:rPr>
                      <w:color w:val="auto"/>
                      <w:highlight w:val="none"/>
                    </w:rPr>
                  </w:pPr>
                  <w:r>
                    <w:rPr>
                      <w:color w:val="auto"/>
                      <w:highlight w:val="none"/>
                    </w:rPr>
                    <w:t>名称</w:t>
                  </w:r>
                </w:p>
              </w:tc>
              <w:tc>
                <w:tcPr>
                  <w:tcW w:w="1967" w:type="pct"/>
                  <w:vAlign w:val="center"/>
                </w:tcPr>
                <w:p w14:paraId="296E886F">
                  <w:pPr>
                    <w:pStyle w:val="34"/>
                    <w:bidi w:val="0"/>
                    <w:rPr>
                      <w:rFonts w:hint="eastAsia"/>
                      <w:color w:val="auto"/>
                      <w:highlight w:val="none"/>
                      <w:lang w:eastAsia="zh-CN"/>
                    </w:rPr>
                  </w:pPr>
                  <w:r>
                    <w:rPr>
                      <w:rFonts w:hint="eastAsia"/>
                      <w:color w:val="auto"/>
                      <w:highlight w:val="none"/>
                      <w:lang w:val="en-US" w:eastAsia="zh-CN"/>
                    </w:rPr>
                    <w:t>规格</w:t>
                  </w:r>
                </w:p>
              </w:tc>
              <w:tc>
                <w:tcPr>
                  <w:tcW w:w="758" w:type="pct"/>
                  <w:vAlign w:val="center"/>
                </w:tcPr>
                <w:p w14:paraId="4CC6BBEE">
                  <w:pPr>
                    <w:pStyle w:val="34"/>
                    <w:bidi w:val="0"/>
                    <w:rPr>
                      <w:color w:val="auto"/>
                      <w:highlight w:val="none"/>
                    </w:rPr>
                  </w:pPr>
                  <w:r>
                    <w:rPr>
                      <w:color w:val="auto"/>
                      <w:highlight w:val="none"/>
                    </w:rPr>
                    <w:t>数量</w:t>
                  </w:r>
                </w:p>
              </w:tc>
            </w:tr>
            <w:tr w14:paraId="05066B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4" w:type="pct"/>
                  <w:vAlign w:val="center"/>
                </w:tcPr>
                <w:p w14:paraId="2D6A3D52">
                  <w:pPr>
                    <w:pStyle w:val="34"/>
                    <w:bidi w:val="0"/>
                    <w:rPr>
                      <w:rFonts w:hint="eastAsia" w:eastAsia="宋体"/>
                      <w:color w:val="auto"/>
                      <w:highlight w:val="none"/>
                      <w:lang w:val="en-US" w:eastAsia="zh-CN"/>
                    </w:rPr>
                  </w:pPr>
                  <w:r>
                    <w:rPr>
                      <w:rFonts w:hint="eastAsia"/>
                      <w:color w:val="auto"/>
                      <w:highlight w:val="none"/>
                      <w:lang w:val="en-US" w:eastAsia="zh-CN"/>
                    </w:rPr>
                    <w:t>1</w:t>
                  </w:r>
                </w:p>
              </w:tc>
              <w:tc>
                <w:tcPr>
                  <w:tcW w:w="1579" w:type="pct"/>
                  <w:vAlign w:val="center"/>
                </w:tcPr>
                <w:p w14:paraId="481C952B">
                  <w:pPr>
                    <w:pStyle w:val="34"/>
                    <w:bidi w:val="0"/>
                    <w:rPr>
                      <w:color w:val="auto"/>
                      <w:highlight w:val="none"/>
                    </w:rPr>
                  </w:pPr>
                  <w:r>
                    <w:rPr>
                      <w:rFonts w:hint="eastAsia"/>
                      <w:color w:val="auto"/>
                      <w:highlight w:val="none"/>
                      <w:lang w:eastAsia="zh-CN"/>
                    </w:rPr>
                    <w:t>搅拌站</w:t>
                  </w:r>
                </w:p>
              </w:tc>
              <w:tc>
                <w:tcPr>
                  <w:tcW w:w="1967" w:type="pct"/>
                  <w:vAlign w:val="center"/>
                </w:tcPr>
                <w:p w14:paraId="46075AE6">
                  <w:pPr>
                    <w:pStyle w:val="34"/>
                    <w:bidi w:val="0"/>
                    <w:rPr>
                      <w:rFonts w:hint="eastAsia"/>
                      <w:color w:val="auto"/>
                      <w:highlight w:val="none"/>
                      <w:lang w:val="en-US" w:eastAsia="zh-CN"/>
                    </w:rPr>
                  </w:pPr>
                  <w:r>
                    <w:rPr>
                      <w:rFonts w:hint="eastAsia"/>
                      <w:color w:val="auto"/>
                      <w:highlight w:val="none"/>
                      <w:lang w:val="en-US" w:eastAsia="zh-CN"/>
                    </w:rPr>
                    <w:t>中联重科180型</w:t>
                  </w:r>
                </w:p>
              </w:tc>
              <w:tc>
                <w:tcPr>
                  <w:tcW w:w="758" w:type="pct"/>
                  <w:vAlign w:val="center"/>
                </w:tcPr>
                <w:p w14:paraId="0D2FD488">
                  <w:pPr>
                    <w:pStyle w:val="34"/>
                    <w:bidi w:val="0"/>
                    <w:rPr>
                      <w:rFonts w:hint="default"/>
                      <w:color w:val="auto"/>
                      <w:highlight w:val="none"/>
                      <w:lang w:val="en-US" w:eastAsia="zh-CN"/>
                    </w:rPr>
                  </w:pPr>
                  <w:r>
                    <w:rPr>
                      <w:rFonts w:hint="eastAsia"/>
                      <w:color w:val="auto"/>
                      <w:highlight w:val="none"/>
                      <w:lang w:val="en-US" w:eastAsia="zh-CN"/>
                    </w:rPr>
                    <w:t>1座</w:t>
                  </w:r>
                </w:p>
              </w:tc>
            </w:tr>
            <w:tr w14:paraId="5800AC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vAlign w:val="center"/>
                </w:tcPr>
                <w:p w14:paraId="00BC2DA0">
                  <w:pPr>
                    <w:pStyle w:val="34"/>
                    <w:bidi w:val="0"/>
                    <w:rPr>
                      <w:rFonts w:hint="eastAsia" w:eastAsia="宋体"/>
                      <w:color w:val="auto"/>
                      <w:highlight w:val="none"/>
                      <w:lang w:val="en-US" w:eastAsia="zh-CN"/>
                    </w:rPr>
                  </w:pPr>
                  <w:r>
                    <w:rPr>
                      <w:rFonts w:hint="eastAsia"/>
                      <w:color w:val="auto"/>
                      <w:highlight w:val="none"/>
                      <w:lang w:val="en-US" w:eastAsia="zh-CN"/>
                    </w:rPr>
                    <w:t>2</w:t>
                  </w:r>
                </w:p>
              </w:tc>
              <w:tc>
                <w:tcPr>
                  <w:tcW w:w="1579" w:type="pct"/>
                  <w:vAlign w:val="center"/>
                </w:tcPr>
                <w:p w14:paraId="324A209E">
                  <w:pPr>
                    <w:pStyle w:val="34"/>
                    <w:bidi w:val="0"/>
                    <w:rPr>
                      <w:color w:val="auto"/>
                      <w:highlight w:val="none"/>
                    </w:rPr>
                  </w:pPr>
                  <w:r>
                    <w:rPr>
                      <w:rFonts w:hint="eastAsia"/>
                      <w:color w:val="auto"/>
                      <w:highlight w:val="none"/>
                      <w:lang w:val="en-US" w:eastAsia="zh-CN"/>
                    </w:rPr>
                    <w:t>水泥筒仓</w:t>
                  </w:r>
                </w:p>
              </w:tc>
              <w:tc>
                <w:tcPr>
                  <w:tcW w:w="1967" w:type="pct"/>
                  <w:vAlign w:val="center"/>
                </w:tcPr>
                <w:p w14:paraId="6CFA5142">
                  <w:pPr>
                    <w:pStyle w:val="34"/>
                    <w:bidi w:val="0"/>
                    <w:rPr>
                      <w:rFonts w:hint="default"/>
                      <w:color w:val="auto"/>
                      <w:highlight w:val="none"/>
                      <w:lang w:val="en-US" w:eastAsia="zh-CN"/>
                    </w:rPr>
                  </w:pPr>
                  <w:r>
                    <w:rPr>
                      <w:rFonts w:hint="eastAsia"/>
                      <w:color w:val="auto"/>
                      <w:highlight w:val="none"/>
                      <w:lang w:val="en-US" w:eastAsia="zh-CN"/>
                    </w:rPr>
                    <w:t>300t</w:t>
                  </w:r>
                </w:p>
              </w:tc>
              <w:tc>
                <w:tcPr>
                  <w:tcW w:w="758" w:type="pct"/>
                  <w:vAlign w:val="center"/>
                </w:tcPr>
                <w:p w14:paraId="514AFB18">
                  <w:pPr>
                    <w:pStyle w:val="34"/>
                    <w:bidi w:val="0"/>
                    <w:rPr>
                      <w:rFonts w:hint="default" w:eastAsia="宋体"/>
                      <w:color w:val="auto"/>
                      <w:highlight w:val="none"/>
                      <w:lang w:val="en-US" w:eastAsia="zh-CN"/>
                    </w:rPr>
                  </w:pPr>
                  <w:r>
                    <w:rPr>
                      <w:rFonts w:hint="eastAsia"/>
                      <w:color w:val="auto"/>
                      <w:highlight w:val="none"/>
                      <w:lang w:val="en-US" w:eastAsia="zh-CN"/>
                    </w:rPr>
                    <w:t>3个</w:t>
                  </w:r>
                </w:p>
              </w:tc>
            </w:tr>
            <w:tr w14:paraId="236F6E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vAlign w:val="center"/>
                </w:tcPr>
                <w:p w14:paraId="65B968BF">
                  <w:pPr>
                    <w:pStyle w:val="34"/>
                    <w:bidi w:val="0"/>
                    <w:rPr>
                      <w:rFonts w:hint="eastAsia" w:eastAsia="宋体"/>
                      <w:color w:val="auto"/>
                      <w:highlight w:val="none"/>
                      <w:lang w:val="en-US" w:eastAsia="zh-CN"/>
                    </w:rPr>
                  </w:pPr>
                  <w:r>
                    <w:rPr>
                      <w:rFonts w:hint="eastAsia"/>
                      <w:color w:val="auto"/>
                      <w:highlight w:val="none"/>
                      <w:lang w:val="en-US" w:eastAsia="zh-CN"/>
                    </w:rPr>
                    <w:t>3</w:t>
                  </w:r>
                </w:p>
              </w:tc>
              <w:tc>
                <w:tcPr>
                  <w:tcW w:w="1579" w:type="pct"/>
                  <w:vAlign w:val="center"/>
                </w:tcPr>
                <w:p w14:paraId="20E9BA04">
                  <w:pPr>
                    <w:pStyle w:val="34"/>
                    <w:bidi w:val="0"/>
                    <w:rPr>
                      <w:color w:val="auto"/>
                      <w:highlight w:val="none"/>
                    </w:rPr>
                  </w:pPr>
                  <w:r>
                    <w:rPr>
                      <w:rFonts w:hint="eastAsia"/>
                      <w:color w:val="auto"/>
                      <w:highlight w:val="none"/>
                      <w:lang w:val="en-US" w:eastAsia="zh-CN"/>
                    </w:rPr>
                    <w:t>粉煤灰筒仓</w:t>
                  </w:r>
                </w:p>
              </w:tc>
              <w:tc>
                <w:tcPr>
                  <w:tcW w:w="1967" w:type="pct"/>
                  <w:vAlign w:val="center"/>
                </w:tcPr>
                <w:p w14:paraId="5A43F799">
                  <w:pPr>
                    <w:pStyle w:val="34"/>
                    <w:bidi w:val="0"/>
                    <w:rPr>
                      <w:rFonts w:hint="eastAsia"/>
                      <w:color w:val="auto"/>
                      <w:highlight w:val="none"/>
                      <w:lang w:val="en-US" w:eastAsia="zh-CN"/>
                    </w:rPr>
                  </w:pPr>
                  <w:r>
                    <w:rPr>
                      <w:rFonts w:hint="eastAsia"/>
                      <w:color w:val="auto"/>
                      <w:highlight w:val="none"/>
                      <w:lang w:val="en-US" w:eastAsia="zh-CN"/>
                    </w:rPr>
                    <w:t>300t</w:t>
                  </w:r>
                </w:p>
              </w:tc>
              <w:tc>
                <w:tcPr>
                  <w:tcW w:w="758" w:type="pct"/>
                  <w:vAlign w:val="center"/>
                </w:tcPr>
                <w:p w14:paraId="67DC754F">
                  <w:pPr>
                    <w:pStyle w:val="34"/>
                    <w:bidi w:val="0"/>
                    <w:rPr>
                      <w:rFonts w:hint="default" w:eastAsia="宋体"/>
                      <w:color w:val="auto"/>
                      <w:highlight w:val="none"/>
                      <w:lang w:val="en-US" w:eastAsia="zh-CN"/>
                    </w:rPr>
                  </w:pPr>
                  <w:r>
                    <w:rPr>
                      <w:rFonts w:hint="eastAsia"/>
                      <w:color w:val="auto"/>
                      <w:highlight w:val="none"/>
                      <w:lang w:val="en-US" w:eastAsia="zh-CN"/>
                    </w:rPr>
                    <w:t>1个</w:t>
                  </w:r>
                </w:p>
              </w:tc>
            </w:tr>
            <w:tr w14:paraId="084DC7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vAlign w:val="center"/>
                </w:tcPr>
                <w:p w14:paraId="3D689624">
                  <w:pPr>
                    <w:pStyle w:val="34"/>
                    <w:bidi w:val="0"/>
                    <w:rPr>
                      <w:rFonts w:hint="eastAsia" w:eastAsia="宋体"/>
                      <w:color w:val="auto"/>
                      <w:highlight w:val="none"/>
                      <w:lang w:val="en-US" w:eastAsia="zh-CN"/>
                    </w:rPr>
                  </w:pPr>
                  <w:r>
                    <w:rPr>
                      <w:rFonts w:hint="eastAsia"/>
                      <w:color w:val="auto"/>
                      <w:highlight w:val="none"/>
                      <w:lang w:val="en-US" w:eastAsia="zh-CN"/>
                    </w:rPr>
                    <w:t>4</w:t>
                  </w:r>
                </w:p>
              </w:tc>
              <w:tc>
                <w:tcPr>
                  <w:tcW w:w="1579" w:type="pct"/>
                  <w:vAlign w:val="center"/>
                </w:tcPr>
                <w:p w14:paraId="64B3090D">
                  <w:pPr>
                    <w:pStyle w:val="34"/>
                    <w:bidi w:val="0"/>
                    <w:rPr>
                      <w:color w:val="auto"/>
                      <w:highlight w:val="none"/>
                    </w:rPr>
                  </w:pPr>
                  <w:r>
                    <w:rPr>
                      <w:rFonts w:hint="eastAsia"/>
                      <w:color w:val="auto"/>
                      <w:highlight w:val="none"/>
                      <w:lang w:val="en-US" w:eastAsia="zh-CN"/>
                    </w:rPr>
                    <w:t>外加剂罐</w:t>
                  </w:r>
                </w:p>
              </w:tc>
              <w:tc>
                <w:tcPr>
                  <w:tcW w:w="1967" w:type="pct"/>
                  <w:vAlign w:val="center"/>
                </w:tcPr>
                <w:p w14:paraId="67966D05">
                  <w:pPr>
                    <w:pStyle w:val="34"/>
                    <w:bidi w:val="0"/>
                    <w:rPr>
                      <w:rFonts w:hint="default"/>
                      <w:color w:val="auto"/>
                      <w:highlight w:val="none"/>
                      <w:lang w:val="en-US" w:eastAsia="zh-CN"/>
                    </w:rPr>
                  </w:pPr>
                  <w:r>
                    <w:rPr>
                      <w:rFonts w:hint="eastAsia"/>
                      <w:color w:val="auto"/>
                      <w:highlight w:val="none"/>
                      <w:lang w:val="en-US" w:eastAsia="zh-CN"/>
                    </w:rPr>
                    <w:t>10t</w:t>
                  </w:r>
                </w:p>
              </w:tc>
              <w:tc>
                <w:tcPr>
                  <w:tcW w:w="758" w:type="pct"/>
                  <w:vAlign w:val="center"/>
                </w:tcPr>
                <w:p w14:paraId="11042695">
                  <w:pPr>
                    <w:pStyle w:val="34"/>
                    <w:bidi w:val="0"/>
                    <w:rPr>
                      <w:rFonts w:hint="default" w:eastAsia="宋体"/>
                      <w:color w:val="auto"/>
                      <w:highlight w:val="none"/>
                      <w:lang w:val="en-US" w:eastAsia="zh-CN"/>
                    </w:rPr>
                  </w:pPr>
                  <w:r>
                    <w:rPr>
                      <w:rFonts w:hint="eastAsia"/>
                      <w:color w:val="auto"/>
                      <w:highlight w:val="none"/>
                      <w:lang w:val="en-US" w:eastAsia="zh-CN"/>
                    </w:rPr>
                    <w:t>2个</w:t>
                  </w:r>
                </w:p>
              </w:tc>
            </w:tr>
            <w:tr w14:paraId="72A888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vAlign w:val="center"/>
                </w:tcPr>
                <w:p w14:paraId="723A3FB6">
                  <w:pPr>
                    <w:pStyle w:val="34"/>
                    <w:bidi w:val="0"/>
                    <w:rPr>
                      <w:rFonts w:hint="eastAsia" w:eastAsia="宋体"/>
                      <w:color w:val="auto"/>
                      <w:highlight w:val="none"/>
                      <w:lang w:val="en-US" w:eastAsia="zh-CN"/>
                    </w:rPr>
                  </w:pPr>
                  <w:r>
                    <w:rPr>
                      <w:rFonts w:hint="eastAsia"/>
                      <w:color w:val="auto"/>
                      <w:highlight w:val="none"/>
                      <w:lang w:val="en-US" w:eastAsia="zh-CN"/>
                    </w:rPr>
                    <w:t>5</w:t>
                  </w:r>
                </w:p>
              </w:tc>
              <w:tc>
                <w:tcPr>
                  <w:tcW w:w="1579" w:type="pct"/>
                  <w:vAlign w:val="center"/>
                </w:tcPr>
                <w:p w14:paraId="7DAD122D">
                  <w:pPr>
                    <w:pStyle w:val="34"/>
                    <w:bidi w:val="0"/>
                    <w:rPr>
                      <w:color w:val="auto"/>
                      <w:highlight w:val="none"/>
                    </w:rPr>
                  </w:pPr>
                  <w:r>
                    <w:rPr>
                      <w:rFonts w:hint="eastAsia"/>
                      <w:color w:val="auto"/>
                      <w:highlight w:val="none"/>
                      <w:lang w:val="en-US" w:eastAsia="zh-CN"/>
                    </w:rPr>
                    <w:t>沉淀池</w:t>
                  </w:r>
                </w:p>
              </w:tc>
              <w:tc>
                <w:tcPr>
                  <w:tcW w:w="1967" w:type="pct"/>
                  <w:vAlign w:val="center"/>
                </w:tcPr>
                <w:p w14:paraId="1F43AE7C">
                  <w:pPr>
                    <w:pStyle w:val="34"/>
                    <w:bidi w:val="0"/>
                    <w:rPr>
                      <w:rFonts w:hint="default"/>
                      <w:color w:val="auto"/>
                      <w:highlight w:val="none"/>
                      <w:lang w:val="en-US" w:eastAsia="zh-CN"/>
                    </w:rPr>
                  </w:pPr>
                  <w:r>
                    <w:rPr>
                      <w:rFonts w:hint="eastAsia"/>
                      <w:color w:val="auto"/>
                      <w:highlight w:val="none"/>
                      <w:lang w:val="en-US" w:eastAsia="zh-CN"/>
                    </w:rPr>
                    <w:t>625m</w:t>
                  </w:r>
                  <w:r>
                    <w:rPr>
                      <w:rFonts w:hint="eastAsia"/>
                      <w:color w:val="auto"/>
                      <w:highlight w:val="none"/>
                      <w:vertAlign w:val="superscript"/>
                      <w:lang w:val="en-US" w:eastAsia="zh-CN"/>
                    </w:rPr>
                    <w:t>3</w:t>
                  </w:r>
                  <w:r>
                    <w:rPr>
                      <w:rFonts w:hint="eastAsia"/>
                      <w:color w:val="auto"/>
                      <w:highlight w:val="none"/>
                      <w:lang w:val="en-US" w:eastAsia="zh-CN"/>
                    </w:rPr>
                    <w:t>（25m*10m*2.5m）</w:t>
                  </w:r>
                </w:p>
              </w:tc>
              <w:tc>
                <w:tcPr>
                  <w:tcW w:w="758" w:type="pct"/>
                  <w:vAlign w:val="center"/>
                </w:tcPr>
                <w:p w14:paraId="19C2BF69">
                  <w:pPr>
                    <w:pStyle w:val="34"/>
                    <w:bidi w:val="0"/>
                    <w:rPr>
                      <w:color w:val="auto"/>
                      <w:highlight w:val="none"/>
                    </w:rPr>
                  </w:pPr>
                  <w:r>
                    <w:rPr>
                      <w:rFonts w:hint="eastAsia"/>
                      <w:color w:val="auto"/>
                      <w:highlight w:val="none"/>
                      <w:lang w:val="en-US" w:eastAsia="zh-CN"/>
                    </w:rPr>
                    <w:t>1座</w:t>
                  </w:r>
                </w:p>
              </w:tc>
            </w:tr>
            <w:tr w14:paraId="3F4835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vAlign w:val="center"/>
                </w:tcPr>
                <w:p w14:paraId="3C7D4B82">
                  <w:pPr>
                    <w:pStyle w:val="34"/>
                    <w:bidi w:val="0"/>
                    <w:rPr>
                      <w:rFonts w:hint="default"/>
                      <w:color w:val="auto"/>
                      <w:highlight w:val="none"/>
                      <w:lang w:val="en-US" w:eastAsia="zh-CN"/>
                    </w:rPr>
                  </w:pPr>
                  <w:r>
                    <w:rPr>
                      <w:rFonts w:hint="eastAsia"/>
                      <w:color w:val="auto"/>
                      <w:highlight w:val="none"/>
                      <w:lang w:val="en-US" w:eastAsia="zh-CN"/>
                    </w:rPr>
                    <w:t>6</w:t>
                  </w:r>
                </w:p>
              </w:tc>
              <w:tc>
                <w:tcPr>
                  <w:tcW w:w="1579" w:type="pct"/>
                  <w:shd w:val="clear" w:color="auto" w:fill="auto"/>
                  <w:vAlign w:val="center"/>
                </w:tcPr>
                <w:p w14:paraId="0FCE672F">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highlight w:val="none"/>
                    </w:rPr>
                    <w:t>平皮带</w:t>
                  </w:r>
                </w:p>
              </w:tc>
              <w:tc>
                <w:tcPr>
                  <w:tcW w:w="1967" w:type="pct"/>
                  <w:shd w:val="clear" w:color="auto" w:fill="auto"/>
                  <w:vAlign w:val="center"/>
                </w:tcPr>
                <w:p w14:paraId="59BDDB59">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11kw</w:t>
                  </w:r>
                </w:p>
              </w:tc>
              <w:tc>
                <w:tcPr>
                  <w:tcW w:w="758" w:type="pct"/>
                  <w:shd w:val="clear" w:color="auto" w:fill="auto"/>
                  <w:vAlign w:val="center"/>
                </w:tcPr>
                <w:p w14:paraId="04CC906C">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1条</w:t>
                  </w:r>
                </w:p>
              </w:tc>
            </w:tr>
            <w:tr w14:paraId="77558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vAlign w:val="center"/>
                </w:tcPr>
                <w:p w14:paraId="3324DD36">
                  <w:pPr>
                    <w:pStyle w:val="34"/>
                    <w:bidi w:val="0"/>
                    <w:rPr>
                      <w:rFonts w:hint="eastAsia" w:eastAsia="宋体"/>
                      <w:color w:val="auto"/>
                      <w:highlight w:val="none"/>
                      <w:lang w:val="en-US" w:eastAsia="zh-CN"/>
                    </w:rPr>
                  </w:pPr>
                  <w:r>
                    <w:rPr>
                      <w:rFonts w:hint="eastAsia"/>
                      <w:color w:val="auto"/>
                      <w:highlight w:val="none"/>
                      <w:lang w:val="en-US" w:eastAsia="zh-CN"/>
                    </w:rPr>
                    <w:t>7</w:t>
                  </w:r>
                </w:p>
              </w:tc>
              <w:tc>
                <w:tcPr>
                  <w:tcW w:w="1579" w:type="pct"/>
                  <w:shd w:val="clear" w:color="auto" w:fill="auto"/>
                  <w:vAlign w:val="center"/>
                </w:tcPr>
                <w:p w14:paraId="3C7D897A">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highlight w:val="none"/>
                    </w:rPr>
                    <w:t>斜皮带</w:t>
                  </w:r>
                </w:p>
              </w:tc>
              <w:tc>
                <w:tcPr>
                  <w:tcW w:w="1967" w:type="pct"/>
                  <w:shd w:val="clear" w:color="auto" w:fill="auto"/>
                  <w:vAlign w:val="center"/>
                </w:tcPr>
                <w:p w14:paraId="50748B10">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37kw</w:t>
                  </w:r>
                </w:p>
              </w:tc>
              <w:tc>
                <w:tcPr>
                  <w:tcW w:w="758" w:type="pct"/>
                  <w:shd w:val="clear" w:color="auto" w:fill="auto"/>
                  <w:vAlign w:val="center"/>
                </w:tcPr>
                <w:p w14:paraId="315526BD">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1条</w:t>
                  </w:r>
                </w:p>
              </w:tc>
            </w:tr>
            <w:tr w14:paraId="4F476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vAlign w:val="center"/>
                </w:tcPr>
                <w:p w14:paraId="604BDF4F">
                  <w:pPr>
                    <w:pStyle w:val="34"/>
                    <w:bidi w:val="0"/>
                    <w:rPr>
                      <w:rFonts w:hint="default"/>
                      <w:color w:val="auto"/>
                      <w:highlight w:val="none"/>
                      <w:lang w:val="en-US" w:eastAsia="zh-CN"/>
                    </w:rPr>
                  </w:pPr>
                  <w:r>
                    <w:rPr>
                      <w:rFonts w:hint="eastAsia"/>
                      <w:color w:val="auto"/>
                      <w:highlight w:val="none"/>
                      <w:lang w:val="en-US" w:eastAsia="zh-CN"/>
                    </w:rPr>
                    <w:t>8</w:t>
                  </w:r>
                </w:p>
              </w:tc>
              <w:tc>
                <w:tcPr>
                  <w:tcW w:w="1579" w:type="pct"/>
                  <w:shd w:val="clear" w:color="auto" w:fill="auto"/>
                  <w:vAlign w:val="center"/>
                </w:tcPr>
                <w:p w14:paraId="4FF46132">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输送机</w:t>
                  </w:r>
                </w:p>
              </w:tc>
              <w:tc>
                <w:tcPr>
                  <w:tcW w:w="1967" w:type="pct"/>
                  <w:shd w:val="clear" w:color="auto" w:fill="auto"/>
                  <w:vAlign w:val="center"/>
                </w:tcPr>
                <w:p w14:paraId="68924AD1">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72t/h</w:t>
                  </w:r>
                </w:p>
              </w:tc>
              <w:tc>
                <w:tcPr>
                  <w:tcW w:w="758" w:type="pct"/>
                  <w:shd w:val="clear" w:color="auto" w:fill="auto"/>
                  <w:vAlign w:val="center"/>
                </w:tcPr>
                <w:p w14:paraId="5DC936D5">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1个</w:t>
                  </w:r>
                </w:p>
              </w:tc>
            </w:tr>
            <w:tr w14:paraId="2E6A1F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vAlign w:val="center"/>
                </w:tcPr>
                <w:p w14:paraId="4FB7F98C">
                  <w:pPr>
                    <w:pStyle w:val="34"/>
                    <w:bidi w:val="0"/>
                    <w:rPr>
                      <w:rFonts w:hint="default"/>
                      <w:color w:val="auto"/>
                      <w:highlight w:val="none"/>
                      <w:lang w:val="en-US" w:eastAsia="zh-CN"/>
                    </w:rPr>
                  </w:pPr>
                  <w:r>
                    <w:rPr>
                      <w:rFonts w:hint="eastAsia"/>
                      <w:color w:val="auto"/>
                      <w:highlight w:val="none"/>
                      <w:lang w:val="en-US" w:eastAsia="zh-CN"/>
                    </w:rPr>
                    <w:t>9</w:t>
                  </w:r>
                </w:p>
              </w:tc>
              <w:tc>
                <w:tcPr>
                  <w:tcW w:w="1579" w:type="pct"/>
                  <w:shd w:val="clear" w:color="auto" w:fill="auto"/>
                  <w:vAlign w:val="center"/>
                </w:tcPr>
                <w:p w14:paraId="177E9B5E">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sz w:val="21"/>
                      <w:szCs w:val="21"/>
                      <w:highlight w:val="none"/>
                      <w:lang w:val="en-US" w:eastAsia="zh-CN"/>
                    </w:rPr>
                    <w:t>搅拌机</w:t>
                  </w:r>
                  <w:r>
                    <w:rPr>
                      <w:rFonts w:hint="eastAsia"/>
                      <w:color w:val="auto"/>
                      <w:highlight w:val="none"/>
                      <w:lang w:val="en-US" w:eastAsia="zh-CN"/>
                    </w:rPr>
                    <w:t>除尘装置</w:t>
                  </w:r>
                </w:p>
              </w:tc>
              <w:tc>
                <w:tcPr>
                  <w:tcW w:w="1967" w:type="pct"/>
                  <w:shd w:val="clear" w:color="auto" w:fill="auto"/>
                  <w:vAlign w:val="center"/>
                </w:tcPr>
                <w:p w14:paraId="04A13A0C">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布袋除尘</w:t>
                  </w:r>
                </w:p>
              </w:tc>
              <w:tc>
                <w:tcPr>
                  <w:tcW w:w="758" w:type="pct"/>
                  <w:shd w:val="clear" w:color="auto" w:fill="auto"/>
                  <w:vAlign w:val="center"/>
                </w:tcPr>
                <w:p w14:paraId="1477E4F5">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1套</w:t>
                  </w:r>
                </w:p>
              </w:tc>
            </w:tr>
            <w:tr w14:paraId="31B4DF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shd w:val="clear" w:color="auto" w:fill="auto"/>
                  <w:vAlign w:val="center"/>
                </w:tcPr>
                <w:p w14:paraId="6449F415">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10</w:t>
                  </w:r>
                </w:p>
              </w:tc>
              <w:tc>
                <w:tcPr>
                  <w:tcW w:w="1579" w:type="pct"/>
                  <w:shd w:val="clear" w:color="auto" w:fill="auto"/>
                  <w:vAlign w:val="center"/>
                </w:tcPr>
                <w:p w14:paraId="293188BD">
                  <w:pPr>
                    <w:pStyle w:val="34"/>
                    <w:bidi w:val="0"/>
                    <w:ind w:firstLine="0" w:firstLineChars="0"/>
                    <w:rPr>
                      <w:rFonts w:hint="eastAsia"/>
                      <w:color w:val="auto"/>
                      <w:highlight w:val="none"/>
                      <w:lang w:val="en-US" w:eastAsia="zh-CN"/>
                    </w:rPr>
                  </w:pPr>
                  <w:r>
                    <w:rPr>
                      <w:rFonts w:hint="eastAsia"/>
                      <w:color w:val="auto"/>
                      <w:sz w:val="21"/>
                      <w:szCs w:val="21"/>
                      <w:highlight w:val="none"/>
                      <w:lang w:val="en-US" w:eastAsia="zh-CN"/>
                    </w:rPr>
                    <w:t>水泥</w:t>
                  </w:r>
                  <w:r>
                    <w:rPr>
                      <w:rFonts w:hint="eastAsia"/>
                      <w:color w:val="auto"/>
                      <w:highlight w:val="none"/>
                      <w:lang w:val="en-US" w:eastAsia="zh-CN"/>
                    </w:rPr>
                    <w:t>筒仓除尘装置</w:t>
                  </w:r>
                </w:p>
              </w:tc>
              <w:tc>
                <w:tcPr>
                  <w:tcW w:w="1967" w:type="pct"/>
                  <w:shd w:val="clear" w:color="auto" w:fill="auto"/>
                  <w:vAlign w:val="center"/>
                </w:tcPr>
                <w:p w14:paraId="0C096E0F">
                  <w:pPr>
                    <w:pStyle w:val="34"/>
                    <w:bidi w:val="0"/>
                    <w:ind w:firstLine="0" w:firstLineChars="0"/>
                    <w:rPr>
                      <w:rFonts w:hint="eastAsia"/>
                      <w:color w:val="auto"/>
                      <w:highlight w:val="none"/>
                      <w:lang w:val="en-US" w:eastAsia="zh-CN"/>
                    </w:rPr>
                  </w:pPr>
                  <w:r>
                    <w:rPr>
                      <w:rFonts w:hint="eastAsia"/>
                      <w:color w:val="auto"/>
                      <w:highlight w:val="none"/>
                      <w:lang w:val="en-US" w:eastAsia="zh-CN"/>
                    </w:rPr>
                    <w:t>布袋除尘</w:t>
                  </w:r>
                </w:p>
              </w:tc>
              <w:tc>
                <w:tcPr>
                  <w:tcW w:w="758" w:type="pct"/>
                  <w:shd w:val="clear" w:color="auto" w:fill="auto"/>
                  <w:vAlign w:val="center"/>
                </w:tcPr>
                <w:p w14:paraId="54FE47C2">
                  <w:pPr>
                    <w:pStyle w:val="34"/>
                    <w:bidi w:val="0"/>
                    <w:ind w:firstLine="0" w:firstLineChars="0"/>
                    <w:rPr>
                      <w:rFonts w:hint="eastAsia"/>
                      <w:color w:val="auto"/>
                      <w:highlight w:val="none"/>
                      <w:lang w:val="en-US" w:eastAsia="zh-CN"/>
                    </w:rPr>
                  </w:pPr>
                  <w:r>
                    <w:rPr>
                      <w:rFonts w:hint="eastAsia"/>
                      <w:color w:val="auto"/>
                      <w:highlight w:val="none"/>
                      <w:lang w:val="en-US" w:eastAsia="zh-CN"/>
                    </w:rPr>
                    <w:t>3套</w:t>
                  </w:r>
                </w:p>
              </w:tc>
            </w:tr>
            <w:tr w14:paraId="76645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shd w:val="clear" w:color="auto" w:fill="auto"/>
                  <w:vAlign w:val="center"/>
                </w:tcPr>
                <w:p w14:paraId="566A0C9C">
                  <w:pPr>
                    <w:pStyle w:val="34"/>
                    <w:bidi w:val="0"/>
                    <w:ind w:firstLine="0" w:firstLineChars="0"/>
                    <w:rPr>
                      <w:rFonts w:hint="default"/>
                      <w:color w:val="auto"/>
                      <w:highlight w:val="none"/>
                      <w:lang w:val="en-US" w:eastAsia="zh-CN"/>
                    </w:rPr>
                  </w:pPr>
                  <w:r>
                    <w:rPr>
                      <w:rFonts w:hint="eastAsia"/>
                      <w:color w:val="auto"/>
                      <w:highlight w:val="none"/>
                      <w:lang w:val="en-US" w:eastAsia="zh-CN"/>
                    </w:rPr>
                    <w:t>11</w:t>
                  </w:r>
                </w:p>
              </w:tc>
              <w:tc>
                <w:tcPr>
                  <w:tcW w:w="1579" w:type="pct"/>
                  <w:shd w:val="clear" w:color="auto" w:fill="auto"/>
                  <w:vAlign w:val="center"/>
                </w:tcPr>
                <w:p w14:paraId="6D214EB2">
                  <w:pPr>
                    <w:pStyle w:val="34"/>
                    <w:bidi w:val="0"/>
                    <w:ind w:firstLine="0" w:firstLineChars="0"/>
                    <w:rPr>
                      <w:rFonts w:hint="eastAsia"/>
                      <w:color w:val="auto"/>
                      <w:highlight w:val="none"/>
                      <w:lang w:val="en-US" w:eastAsia="zh-CN"/>
                    </w:rPr>
                  </w:pPr>
                  <w:r>
                    <w:rPr>
                      <w:rFonts w:hint="eastAsia"/>
                      <w:color w:val="auto"/>
                      <w:sz w:val="21"/>
                      <w:szCs w:val="21"/>
                      <w:highlight w:val="none"/>
                      <w:lang w:val="en-US" w:eastAsia="zh-CN"/>
                    </w:rPr>
                    <w:t>粉煤灰筒仓</w:t>
                  </w:r>
                  <w:r>
                    <w:rPr>
                      <w:rFonts w:hint="eastAsia"/>
                      <w:color w:val="auto"/>
                      <w:highlight w:val="none"/>
                      <w:lang w:val="en-US" w:eastAsia="zh-CN"/>
                    </w:rPr>
                    <w:t>除尘装置</w:t>
                  </w:r>
                </w:p>
              </w:tc>
              <w:tc>
                <w:tcPr>
                  <w:tcW w:w="1967" w:type="pct"/>
                  <w:shd w:val="clear" w:color="auto" w:fill="auto"/>
                  <w:vAlign w:val="center"/>
                </w:tcPr>
                <w:p w14:paraId="4F3E0733">
                  <w:pPr>
                    <w:pStyle w:val="34"/>
                    <w:bidi w:val="0"/>
                    <w:rPr>
                      <w:rFonts w:hint="eastAsia"/>
                      <w:color w:val="auto"/>
                      <w:highlight w:val="none"/>
                      <w:lang w:val="en-US" w:eastAsia="zh-CN"/>
                    </w:rPr>
                  </w:pPr>
                  <w:r>
                    <w:rPr>
                      <w:rFonts w:hint="eastAsia"/>
                      <w:color w:val="auto"/>
                      <w:highlight w:val="none"/>
                      <w:lang w:val="en-US" w:eastAsia="zh-CN"/>
                    </w:rPr>
                    <w:t>布袋除尘</w:t>
                  </w:r>
                </w:p>
              </w:tc>
              <w:tc>
                <w:tcPr>
                  <w:tcW w:w="758" w:type="pct"/>
                  <w:shd w:val="clear" w:color="auto" w:fill="auto"/>
                  <w:vAlign w:val="center"/>
                </w:tcPr>
                <w:p w14:paraId="3B87BE86">
                  <w:pPr>
                    <w:pStyle w:val="34"/>
                    <w:bidi w:val="0"/>
                    <w:ind w:firstLine="0" w:firstLineChars="0"/>
                    <w:rPr>
                      <w:rFonts w:hint="default"/>
                      <w:color w:val="auto"/>
                      <w:highlight w:val="none"/>
                      <w:lang w:val="en-US" w:eastAsia="zh-CN"/>
                    </w:rPr>
                  </w:pPr>
                  <w:r>
                    <w:rPr>
                      <w:rFonts w:hint="eastAsia"/>
                      <w:color w:val="auto"/>
                      <w:highlight w:val="none"/>
                      <w:lang w:val="en-US" w:eastAsia="zh-CN"/>
                    </w:rPr>
                    <w:t>1套</w:t>
                  </w:r>
                </w:p>
              </w:tc>
            </w:tr>
            <w:tr w14:paraId="075A61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shd w:val="clear" w:color="auto" w:fill="auto"/>
                  <w:vAlign w:val="center"/>
                </w:tcPr>
                <w:p w14:paraId="14A6685F">
                  <w:pPr>
                    <w:pStyle w:val="34"/>
                    <w:bidi w:val="0"/>
                    <w:ind w:firstLine="0" w:firstLineChars="0"/>
                    <w:rPr>
                      <w:rFonts w:hint="default"/>
                      <w:color w:val="auto"/>
                      <w:highlight w:val="none"/>
                      <w:lang w:val="en-US" w:eastAsia="zh-CN"/>
                    </w:rPr>
                  </w:pPr>
                  <w:r>
                    <w:rPr>
                      <w:rFonts w:hint="eastAsia"/>
                      <w:color w:val="auto"/>
                      <w:highlight w:val="none"/>
                      <w:lang w:val="en-US" w:eastAsia="zh-CN"/>
                    </w:rPr>
                    <w:t>12</w:t>
                  </w:r>
                </w:p>
              </w:tc>
              <w:tc>
                <w:tcPr>
                  <w:tcW w:w="1579" w:type="pct"/>
                  <w:shd w:val="clear" w:color="auto" w:fill="auto"/>
                  <w:vAlign w:val="center"/>
                </w:tcPr>
                <w:p w14:paraId="63FFF104">
                  <w:pPr>
                    <w:pStyle w:val="34"/>
                    <w:bidi w:val="0"/>
                    <w:ind w:firstLine="0" w:firstLineChars="0"/>
                    <w:rPr>
                      <w:rFonts w:hint="eastAsia"/>
                      <w:color w:val="auto"/>
                      <w:highlight w:val="none"/>
                      <w:lang w:val="en-US" w:eastAsia="zh-CN"/>
                    </w:rPr>
                  </w:pPr>
                  <w:r>
                    <w:rPr>
                      <w:rFonts w:hint="eastAsia"/>
                      <w:color w:val="auto"/>
                      <w:sz w:val="21"/>
                      <w:szCs w:val="21"/>
                      <w:highlight w:val="none"/>
                      <w:lang w:val="en-US" w:eastAsia="zh-CN"/>
                    </w:rPr>
                    <w:t>外加剂罐</w:t>
                  </w:r>
                  <w:r>
                    <w:rPr>
                      <w:rFonts w:hint="eastAsia"/>
                      <w:color w:val="auto"/>
                      <w:highlight w:val="none"/>
                      <w:lang w:val="en-US" w:eastAsia="zh-CN"/>
                    </w:rPr>
                    <w:t>除尘装置</w:t>
                  </w:r>
                </w:p>
              </w:tc>
              <w:tc>
                <w:tcPr>
                  <w:tcW w:w="1967" w:type="pct"/>
                  <w:shd w:val="clear" w:color="auto" w:fill="auto"/>
                  <w:vAlign w:val="center"/>
                </w:tcPr>
                <w:p w14:paraId="28907117">
                  <w:pPr>
                    <w:pStyle w:val="34"/>
                    <w:bidi w:val="0"/>
                    <w:rPr>
                      <w:rFonts w:hint="eastAsia"/>
                      <w:color w:val="auto"/>
                      <w:highlight w:val="none"/>
                      <w:lang w:val="en-US" w:eastAsia="zh-CN"/>
                    </w:rPr>
                  </w:pPr>
                  <w:r>
                    <w:rPr>
                      <w:rFonts w:hint="eastAsia"/>
                      <w:color w:val="auto"/>
                      <w:highlight w:val="none"/>
                      <w:lang w:val="en-US" w:eastAsia="zh-CN"/>
                    </w:rPr>
                    <w:t>布袋除尘</w:t>
                  </w:r>
                </w:p>
              </w:tc>
              <w:tc>
                <w:tcPr>
                  <w:tcW w:w="758" w:type="pct"/>
                  <w:shd w:val="clear" w:color="auto" w:fill="auto"/>
                  <w:vAlign w:val="center"/>
                </w:tcPr>
                <w:p w14:paraId="65B3AB05">
                  <w:pPr>
                    <w:pStyle w:val="34"/>
                    <w:bidi w:val="0"/>
                    <w:ind w:firstLine="0" w:firstLineChars="0"/>
                    <w:rPr>
                      <w:rFonts w:hint="default"/>
                      <w:color w:val="auto"/>
                      <w:highlight w:val="none"/>
                      <w:lang w:val="en-US" w:eastAsia="zh-CN"/>
                    </w:rPr>
                  </w:pPr>
                  <w:r>
                    <w:rPr>
                      <w:rFonts w:hint="eastAsia"/>
                      <w:color w:val="auto"/>
                      <w:highlight w:val="none"/>
                      <w:lang w:val="en-US" w:eastAsia="zh-CN"/>
                    </w:rPr>
                    <w:t>2套</w:t>
                  </w:r>
                </w:p>
              </w:tc>
            </w:tr>
            <w:tr w14:paraId="12B266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shd w:val="clear" w:color="auto" w:fill="auto"/>
                  <w:vAlign w:val="center"/>
                </w:tcPr>
                <w:p w14:paraId="6518ED14">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13</w:t>
                  </w:r>
                </w:p>
              </w:tc>
              <w:tc>
                <w:tcPr>
                  <w:tcW w:w="1579" w:type="pct"/>
                  <w:shd w:val="clear" w:color="auto" w:fill="auto"/>
                  <w:vAlign w:val="center"/>
                </w:tcPr>
                <w:p w14:paraId="39A25646">
                  <w:pPr>
                    <w:pStyle w:val="34"/>
                    <w:bidi w:val="0"/>
                    <w:ind w:firstLine="0" w:firstLineChars="0"/>
                    <w:rPr>
                      <w:rFonts w:hint="default"/>
                      <w:color w:val="auto"/>
                      <w:highlight w:val="none"/>
                      <w:lang w:val="en-US" w:eastAsia="zh-CN"/>
                    </w:rPr>
                  </w:pPr>
                  <w:r>
                    <w:rPr>
                      <w:rFonts w:hint="eastAsia"/>
                      <w:color w:val="auto"/>
                      <w:highlight w:val="none"/>
                      <w:lang w:val="en-US" w:eastAsia="zh-CN"/>
                    </w:rPr>
                    <w:t>车辆清洗系统</w:t>
                  </w:r>
                </w:p>
              </w:tc>
              <w:tc>
                <w:tcPr>
                  <w:tcW w:w="1967" w:type="pct"/>
                  <w:shd w:val="clear" w:color="auto" w:fill="auto"/>
                  <w:vAlign w:val="center"/>
                </w:tcPr>
                <w:p w14:paraId="0FE89A61">
                  <w:pPr>
                    <w:pStyle w:val="34"/>
                    <w:bidi w:val="0"/>
                    <w:ind w:firstLine="0" w:firstLineChars="0"/>
                    <w:rPr>
                      <w:rFonts w:hint="default"/>
                      <w:color w:val="auto"/>
                      <w:highlight w:val="none"/>
                      <w:lang w:val="en-US" w:eastAsia="zh-CN"/>
                    </w:rPr>
                  </w:pPr>
                  <w:r>
                    <w:rPr>
                      <w:rFonts w:hint="eastAsia"/>
                      <w:color w:val="auto"/>
                      <w:highlight w:val="none"/>
                      <w:lang w:val="en-US" w:eastAsia="zh-CN"/>
                    </w:rPr>
                    <w:t>/</w:t>
                  </w:r>
                </w:p>
              </w:tc>
              <w:tc>
                <w:tcPr>
                  <w:tcW w:w="758" w:type="pct"/>
                  <w:shd w:val="clear" w:color="auto" w:fill="auto"/>
                  <w:vAlign w:val="center"/>
                </w:tcPr>
                <w:p w14:paraId="6CCB8E4E">
                  <w:pPr>
                    <w:pStyle w:val="34"/>
                    <w:bidi w:val="0"/>
                    <w:ind w:firstLine="0" w:firstLineChars="0"/>
                    <w:rPr>
                      <w:rFonts w:hint="default"/>
                      <w:color w:val="auto"/>
                      <w:highlight w:val="none"/>
                      <w:lang w:val="en-US" w:eastAsia="zh-CN"/>
                    </w:rPr>
                  </w:pPr>
                  <w:r>
                    <w:rPr>
                      <w:rFonts w:hint="eastAsia"/>
                      <w:color w:val="auto"/>
                      <w:highlight w:val="none"/>
                      <w:lang w:val="en-US" w:eastAsia="zh-CN"/>
                    </w:rPr>
                    <w:t>1套</w:t>
                  </w:r>
                </w:p>
              </w:tc>
            </w:tr>
            <w:tr w14:paraId="32A0A5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shd w:val="clear" w:color="auto" w:fill="auto"/>
                  <w:vAlign w:val="center"/>
                </w:tcPr>
                <w:p w14:paraId="57CE47A1">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14</w:t>
                  </w:r>
                </w:p>
              </w:tc>
              <w:tc>
                <w:tcPr>
                  <w:tcW w:w="1579" w:type="pct"/>
                  <w:shd w:val="clear" w:color="auto" w:fill="auto"/>
                  <w:vAlign w:val="center"/>
                </w:tcPr>
                <w:p w14:paraId="3604C560">
                  <w:pPr>
                    <w:pStyle w:val="34"/>
                    <w:bidi w:val="0"/>
                    <w:ind w:firstLine="0" w:firstLineChars="0"/>
                    <w:rPr>
                      <w:rFonts w:hint="default"/>
                      <w:color w:val="auto"/>
                      <w:highlight w:val="none"/>
                      <w:lang w:val="en-US" w:eastAsia="zh-CN"/>
                    </w:rPr>
                  </w:pPr>
                  <w:r>
                    <w:rPr>
                      <w:rFonts w:hint="eastAsia"/>
                      <w:color w:val="auto"/>
                      <w:highlight w:val="none"/>
                      <w:lang w:val="en-US" w:eastAsia="zh-CN"/>
                    </w:rPr>
                    <w:t>罐车</w:t>
                  </w:r>
                </w:p>
              </w:tc>
              <w:tc>
                <w:tcPr>
                  <w:tcW w:w="1967" w:type="pct"/>
                  <w:shd w:val="clear" w:color="auto" w:fill="auto"/>
                  <w:vAlign w:val="center"/>
                </w:tcPr>
                <w:p w14:paraId="671770A6">
                  <w:pPr>
                    <w:pStyle w:val="34"/>
                    <w:bidi w:val="0"/>
                    <w:ind w:firstLine="0" w:firstLineChars="0"/>
                    <w:rPr>
                      <w:rFonts w:hint="default"/>
                      <w:color w:val="auto"/>
                      <w:highlight w:val="none"/>
                      <w:lang w:val="en-US" w:eastAsia="zh-CN"/>
                    </w:rPr>
                  </w:pPr>
                  <w:r>
                    <w:rPr>
                      <w:rFonts w:hint="eastAsia"/>
                      <w:color w:val="auto"/>
                      <w:highlight w:val="none"/>
                      <w:lang w:val="en-US" w:eastAsia="zh-CN"/>
                    </w:rPr>
                    <w:t>/</w:t>
                  </w:r>
                </w:p>
              </w:tc>
              <w:tc>
                <w:tcPr>
                  <w:tcW w:w="758" w:type="pct"/>
                  <w:shd w:val="clear" w:color="auto" w:fill="auto"/>
                  <w:vAlign w:val="center"/>
                </w:tcPr>
                <w:p w14:paraId="2B0BC826">
                  <w:pPr>
                    <w:pStyle w:val="34"/>
                    <w:bidi w:val="0"/>
                    <w:ind w:firstLine="0" w:firstLineChars="0"/>
                    <w:rPr>
                      <w:rFonts w:hint="default"/>
                      <w:color w:val="auto"/>
                      <w:highlight w:val="none"/>
                      <w:lang w:val="en-US" w:eastAsia="zh-CN"/>
                    </w:rPr>
                  </w:pPr>
                  <w:r>
                    <w:rPr>
                      <w:rFonts w:hint="eastAsia"/>
                      <w:color w:val="auto"/>
                      <w:highlight w:val="none"/>
                      <w:lang w:val="en-US" w:eastAsia="zh-CN"/>
                    </w:rPr>
                    <w:t>5辆</w:t>
                  </w:r>
                </w:p>
              </w:tc>
            </w:tr>
            <w:tr w14:paraId="2B9310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4" w:type="pct"/>
                  <w:vAlign w:val="center"/>
                </w:tcPr>
                <w:p w14:paraId="66B7B4DC">
                  <w:pPr>
                    <w:pStyle w:val="34"/>
                    <w:bidi w:val="0"/>
                    <w:rPr>
                      <w:rFonts w:hint="default"/>
                      <w:color w:val="auto"/>
                      <w:highlight w:val="none"/>
                      <w:lang w:val="en-US" w:eastAsia="zh-CN"/>
                    </w:rPr>
                  </w:pPr>
                  <w:r>
                    <w:rPr>
                      <w:rFonts w:hint="eastAsia"/>
                      <w:color w:val="auto"/>
                      <w:highlight w:val="none"/>
                      <w:lang w:val="en-US" w:eastAsia="zh-CN"/>
                    </w:rPr>
                    <w:t>15</w:t>
                  </w:r>
                </w:p>
              </w:tc>
              <w:tc>
                <w:tcPr>
                  <w:tcW w:w="1579" w:type="pct"/>
                  <w:shd w:val="clear" w:color="auto" w:fill="auto"/>
                  <w:vAlign w:val="center"/>
                </w:tcPr>
                <w:p w14:paraId="508681EC">
                  <w:pPr>
                    <w:pStyle w:val="34"/>
                    <w:bidi w:val="0"/>
                    <w:ind w:firstLine="0" w:firstLineChars="0"/>
                    <w:rPr>
                      <w:rFonts w:hint="default"/>
                      <w:color w:val="auto"/>
                      <w:highlight w:val="none"/>
                      <w:lang w:val="en-US" w:eastAsia="zh-CN"/>
                    </w:rPr>
                  </w:pPr>
                  <w:r>
                    <w:rPr>
                      <w:rFonts w:hint="eastAsia"/>
                      <w:color w:val="auto"/>
                      <w:highlight w:val="none"/>
                      <w:lang w:val="en-US" w:eastAsia="zh-CN"/>
                    </w:rPr>
                    <w:t>铲车</w:t>
                  </w:r>
                </w:p>
              </w:tc>
              <w:tc>
                <w:tcPr>
                  <w:tcW w:w="1967" w:type="pct"/>
                  <w:shd w:val="clear" w:color="auto" w:fill="auto"/>
                  <w:vAlign w:val="center"/>
                </w:tcPr>
                <w:p w14:paraId="78A5A155">
                  <w:pPr>
                    <w:pStyle w:val="34"/>
                    <w:bidi w:val="0"/>
                    <w:ind w:firstLine="0" w:firstLineChars="0"/>
                    <w:rPr>
                      <w:rFonts w:hint="default"/>
                      <w:color w:val="auto"/>
                      <w:highlight w:val="none"/>
                      <w:lang w:val="en-US" w:eastAsia="zh-CN"/>
                    </w:rPr>
                  </w:pPr>
                  <w:r>
                    <w:rPr>
                      <w:rFonts w:hint="eastAsia"/>
                      <w:color w:val="auto"/>
                      <w:highlight w:val="none"/>
                      <w:lang w:val="en-US" w:eastAsia="zh-CN"/>
                    </w:rPr>
                    <w:t>/</w:t>
                  </w:r>
                </w:p>
              </w:tc>
              <w:tc>
                <w:tcPr>
                  <w:tcW w:w="758" w:type="pct"/>
                  <w:shd w:val="clear" w:color="auto" w:fill="auto"/>
                  <w:vAlign w:val="center"/>
                </w:tcPr>
                <w:p w14:paraId="4897E0CE">
                  <w:pPr>
                    <w:pStyle w:val="34"/>
                    <w:bidi w:val="0"/>
                    <w:ind w:firstLine="0" w:firstLineChars="0"/>
                    <w:rPr>
                      <w:rFonts w:hint="eastAsia"/>
                      <w:color w:val="auto"/>
                      <w:highlight w:val="none"/>
                      <w:lang w:val="en-US" w:eastAsia="zh-CN"/>
                    </w:rPr>
                  </w:pPr>
                  <w:r>
                    <w:rPr>
                      <w:rFonts w:hint="eastAsia"/>
                      <w:color w:val="auto"/>
                      <w:highlight w:val="none"/>
                      <w:lang w:val="en-US" w:eastAsia="zh-CN"/>
                    </w:rPr>
                    <w:t>2辆</w:t>
                  </w:r>
                </w:p>
              </w:tc>
            </w:tr>
          </w:tbl>
          <w:p w14:paraId="683BB2F5">
            <w:pPr>
              <w:pStyle w:val="30"/>
              <w:bidi w:val="0"/>
              <w:rPr>
                <w:b/>
                <w:bCs/>
                <w:color w:val="auto"/>
                <w:highlight w:val="none"/>
              </w:rPr>
            </w:pPr>
            <w:r>
              <w:rPr>
                <w:rFonts w:hint="eastAsia"/>
                <w:b/>
                <w:bCs/>
                <w:color w:val="auto"/>
                <w:highlight w:val="none"/>
              </w:rPr>
              <w:t>3、主要原辅材料</w:t>
            </w:r>
          </w:p>
          <w:p w14:paraId="63A8EBDF">
            <w:pPr>
              <w:spacing w:line="380" w:lineRule="exact"/>
              <w:ind w:firstLine="480" w:firstLineChars="20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主要原辅材料见下表。</w:t>
            </w:r>
          </w:p>
          <w:p w14:paraId="067D697A">
            <w:pPr>
              <w:pStyle w:val="36"/>
              <w:bidi w:val="0"/>
              <w:rPr>
                <w:color w:val="auto"/>
                <w:highlight w:val="none"/>
              </w:rPr>
            </w:pPr>
            <w:r>
              <w:rPr>
                <w:color w:val="auto"/>
                <w:highlight w:val="none"/>
              </w:rPr>
              <w:t>表</w:t>
            </w:r>
            <w:r>
              <w:rPr>
                <w:rFonts w:hint="eastAsia"/>
                <w:color w:val="auto"/>
                <w:highlight w:val="none"/>
              </w:rPr>
              <w:t>2-</w:t>
            </w:r>
            <w:r>
              <w:rPr>
                <w:color w:val="auto"/>
                <w:highlight w:val="none"/>
              </w:rPr>
              <w:t>3</w:t>
            </w:r>
            <w:r>
              <w:rPr>
                <w:rFonts w:hint="eastAsia"/>
                <w:color w:val="auto"/>
                <w:highlight w:val="none"/>
                <w:lang w:val="en-US" w:eastAsia="zh-CN"/>
              </w:rPr>
              <w:t>-1</w:t>
            </w:r>
            <w:r>
              <w:rPr>
                <w:color w:val="auto"/>
                <w:highlight w:val="none"/>
              </w:rPr>
              <w:t>原辅材料一览表</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2"/>
              <w:gridCol w:w="1095"/>
              <w:gridCol w:w="1785"/>
              <w:gridCol w:w="1215"/>
              <w:gridCol w:w="1292"/>
              <w:gridCol w:w="1359"/>
            </w:tblGrid>
            <w:tr w14:paraId="29C9D3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Align w:val="center"/>
                </w:tcPr>
                <w:p w14:paraId="21BB8CD1">
                  <w:pPr>
                    <w:pStyle w:val="34"/>
                    <w:bidi w:val="0"/>
                    <w:rPr>
                      <w:color w:val="auto"/>
                      <w:highlight w:val="none"/>
                    </w:rPr>
                  </w:pPr>
                  <w:r>
                    <w:rPr>
                      <w:color w:val="auto"/>
                      <w:highlight w:val="none"/>
                    </w:rPr>
                    <w:t>序号</w:t>
                  </w:r>
                </w:p>
              </w:tc>
              <w:tc>
                <w:tcPr>
                  <w:tcW w:w="725" w:type="pct"/>
                  <w:vAlign w:val="center"/>
                </w:tcPr>
                <w:p w14:paraId="55E323C5">
                  <w:pPr>
                    <w:pStyle w:val="34"/>
                    <w:bidi w:val="0"/>
                    <w:rPr>
                      <w:color w:val="auto"/>
                      <w:highlight w:val="none"/>
                    </w:rPr>
                  </w:pPr>
                  <w:r>
                    <w:rPr>
                      <w:color w:val="auto"/>
                      <w:highlight w:val="none"/>
                    </w:rPr>
                    <w:t>名称</w:t>
                  </w:r>
                </w:p>
              </w:tc>
              <w:tc>
                <w:tcPr>
                  <w:tcW w:w="1182" w:type="pct"/>
                  <w:vAlign w:val="center"/>
                </w:tcPr>
                <w:p w14:paraId="7CAB3839">
                  <w:pPr>
                    <w:pStyle w:val="34"/>
                    <w:bidi w:val="0"/>
                    <w:rPr>
                      <w:color w:val="auto"/>
                      <w:highlight w:val="none"/>
                    </w:rPr>
                  </w:pPr>
                  <w:r>
                    <w:rPr>
                      <w:rFonts w:hint="eastAsia"/>
                      <w:color w:val="auto"/>
                      <w:highlight w:val="none"/>
                      <w:lang w:val="en-US" w:eastAsia="zh-CN"/>
                    </w:rPr>
                    <w:t>1m</w:t>
                  </w:r>
                  <w:r>
                    <w:rPr>
                      <w:rFonts w:hint="eastAsia"/>
                      <w:color w:val="auto"/>
                      <w:highlight w:val="none"/>
                      <w:vertAlign w:val="superscript"/>
                      <w:lang w:val="en-US" w:eastAsia="zh-CN"/>
                    </w:rPr>
                    <w:t>3</w:t>
                  </w:r>
                  <w:r>
                    <w:rPr>
                      <w:rStyle w:val="38"/>
                      <w:rFonts w:hint="eastAsia"/>
                      <w:b w:val="0"/>
                      <w:bCs/>
                      <w:color w:val="auto"/>
                      <w:highlight w:val="none"/>
                      <w:vertAlign w:val="baseline"/>
                      <w:lang w:val="en-US" w:eastAsia="zh-CN"/>
                    </w:rPr>
                    <w:t>产品用</w:t>
                  </w:r>
                  <w:r>
                    <w:rPr>
                      <w:color w:val="auto"/>
                      <w:highlight w:val="none"/>
                      <w:vertAlign w:val="baseline"/>
                    </w:rPr>
                    <w:t>量</w:t>
                  </w:r>
                </w:p>
              </w:tc>
              <w:tc>
                <w:tcPr>
                  <w:tcW w:w="804" w:type="pct"/>
                  <w:vAlign w:val="center"/>
                </w:tcPr>
                <w:p w14:paraId="1DA1D386">
                  <w:pPr>
                    <w:pStyle w:val="34"/>
                    <w:bidi w:val="0"/>
                    <w:rPr>
                      <w:rFonts w:hint="eastAsia" w:eastAsia="宋体"/>
                      <w:color w:val="auto"/>
                      <w:highlight w:val="none"/>
                      <w:lang w:val="en-US" w:eastAsia="zh-CN"/>
                    </w:rPr>
                  </w:pPr>
                  <w:r>
                    <w:rPr>
                      <w:rFonts w:hint="eastAsia"/>
                      <w:color w:val="auto"/>
                      <w:highlight w:val="none"/>
                      <w:lang w:val="en-US" w:eastAsia="zh-CN"/>
                    </w:rPr>
                    <w:t>年用量</w:t>
                  </w:r>
                </w:p>
              </w:tc>
              <w:tc>
                <w:tcPr>
                  <w:tcW w:w="855" w:type="pct"/>
                  <w:vAlign w:val="center"/>
                </w:tcPr>
                <w:p w14:paraId="4C534984">
                  <w:pPr>
                    <w:pStyle w:val="34"/>
                    <w:bidi w:val="0"/>
                    <w:rPr>
                      <w:color w:val="auto"/>
                      <w:highlight w:val="none"/>
                    </w:rPr>
                  </w:pPr>
                  <w:r>
                    <w:rPr>
                      <w:rFonts w:hint="default" w:ascii="Times New Roman" w:hAnsi="Times New Roman" w:cs="Times New Roman"/>
                      <w:color w:val="auto"/>
                      <w:sz w:val="21"/>
                      <w:szCs w:val="21"/>
                      <w:highlight w:val="none"/>
                    </w:rPr>
                    <w:t>厂区最大储存量</w:t>
                  </w:r>
                </w:p>
              </w:tc>
              <w:tc>
                <w:tcPr>
                  <w:tcW w:w="900" w:type="pct"/>
                  <w:vAlign w:val="center"/>
                </w:tcPr>
                <w:p w14:paraId="73155E63">
                  <w:pPr>
                    <w:pStyle w:val="34"/>
                    <w:bidi w:val="0"/>
                    <w:rPr>
                      <w:color w:val="auto"/>
                      <w:highlight w:val="none"/>
                    </w:rPr>
                  </w:pPr>
                  <w:r>
                    <w:rPr>
                      <w:color w:val="auto"/>
                      <w:highlight w:val="none"/>
                    </w:rPr>
                    <w:t>备注</w:t>
                  </w:r>
                </w:p>
              </w:tc>
            </w:tr>
            <w:tr w14:paraId="62B914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Align w:val="center"/>
                </w:tcPr>
                <w:p w14:paraId="25A34830">
                  <w:pPr>
                    <w:pStyle w:val="34"/>
                    <w:bidi w:val="0"/>
                    <w:ind w:firstLine="0" w:firstLineChars="0"/>
                    <w:rPr>
                      <w:rFonts w:hint="eastAsia"/>
                      <w:color w:val="auto"/>
                      <w:highlight w:val="none"/>
                      <w:lang w:val="en-US" w:eastAsia="zh-CN"/>
                    </w:rPr>
                  </w:pPr>
                  <w:r>
                    <w:rPr>
                      <w:rFonts w:hint="eastAsia"/>
                      <w:color w:val="auto"/>
                      <w:highlight w:val="none"/>
                      <w:lang w:val="en-US" w:eastAsia="zh-CN"/>
                    </w:rPr>
                    <w:t>1</w:t>
                  </w:r>
                </w:p>
              </w:tc>
              <w:tc>
                <w:tcPr>
                  <w:tcW w:w="725" w:type="pct"/>
                  <w:vAlign w:val="center"/>
                </w:tcPr>
                <w:p w14:paraId="4C29C09D">
                  <w:pPr>
                    <w:pStyle w:val="34"/>
                    <w:bidi w:val="0"/>
                    <w:rPr>
                      <w:rFonts w:hint="default"/>
                      <w:color w:val="auto"/>
                      <w:highlight w:val="none"/>
                      <w:lang w:val="en-US" w:eastAsia="zh-CN"/>
                    </w:rPr>
                  </w:pPr>
                  <w:r>
                    <w:rPr>
                      <w:rFonts w:hint="eastAsia"/>
                      <w:color w:val="auto"/>
                      <w:highlight w:val="none"/>
                      <w:lang w:val="en-US" w:eastAsia="zh-CN"/>
                    </w:rPr>
                    <w:t>水泥</w:t>
                  </w:r>
                </w:p>
              </w:tc>
              <w:tc>
                <w:tcPr>
                  <w:tcW w:w="1182" w:type="pct"/>
                  <w:vAlign w:val="center"/>
                </w:tcPr>
                <w:p w14:paraId="31376C4C">
                  <w:pPr>
                    <w:pStyle w:val="34"/>
                    <w:bidi w:val="0"/>
                    <w:rPr>
                      <w:rFonts w:hint="default"/>
                      <w:color w:val="auto"/>
                      <w:highlight w:val="none"/>
                      <w:lang w:val="en-US" w:eastAsia="zh-CN"/>
                    </w:rPr>
                  </w:pPr>
                  <w:r>
                    <w:rPr>
                      <w:rFonts w:hint="eastAsia"/>
                      <w:color w:val="auto"/>
                      <w:highlight w:val="none"/>
                      <w:lang w:val="en-US" w:eastAsia="zh-CN"/>
                    </w:rPr>
                    <w:t>320kg</w:t>
                  </w:r>
                </w:p>
              </w:tc>
              <w:tc>
                <w:tcPr>
                  <w:tcW w:w="804" w:type="pct"/>
                  <w:vAlign w:val="center"/>
                </w:tcPr>
                <w:p w14:paraId="59B6427E">
                  <w:pPr>
                    <w:pStyle w:val="34"/>
                    <w:bidi w:val="0"/>
                    <w:rPr>
                      <w:rFonts w:hint="default"/>
                      <w:color w:val="auto"/>
                      <w:highlight w:val="none"/>
                      <w:lang w:val="en-US"/>
                    </w:rPr>
                  </w:pPr>
                  <w:r>
                    <w:rPr>
                      <w:rFonts w:hint="eastAsia"/>
                      <w:color w:val="auto"/>
                      <w:highlight w:val="none"/>
                      <w:lang w:val="en-US" w:eastAsia="zh-CN"/>
                    </w:rPr>
                    <w:t>16000t</w:t>
                  </w:r>
                </w:p>
              </w:tc>
              <w:tc>
                <w:tcPr>
                  <w:tcW w:w="855" w:type="pct"/>
                  <w:vAlign w:val="center"/>
                </w:tcPr>
                <w:p w14:paraId="7F170FCB">
                  <w:pPr>
                    <w:pStyle w:val="34"/>
                    <w:bidi w:val="0"/>
                    <w:ind w:firstLine="0" w:firstLineChars="0"/>
                    <w:rPr>
                      <w:rFonts w:hint="default" w:eastAsia="宋体"/>
                      <w:color w:val="auto"/>
                      <w:highlight w:val="none"/>
                      <w:lang w:val="en-US" w:eastAsia="zh-CN"/>
                    </w:rPr>
                  </w:pPr>
                  <w:r>
                    <w:rPr>
                      <w:rFonts w:hint="eastAsia"/>
                      <w:color w:val="auto"/>
                      <w:highlight w:val="none"/>
                      <w:lang w:val="en-US" w:eastAsia="zh-CN"/>
                    </w:rPr>
                    <w:t>720t</w:t>
                  </w:r>
                </w:p>
              </w:tc>
              <w:tc>
                <w:tcPr>
                  <w:tcW w:w="900" w:type="pct"/>
                  <w:vAlign w:val="center"/>
                </w:tcPr>
                <w:p w14:paraId="1F798FF0">
                  <w:pPr>
                    <w:pStyle w:val="34"/>
                    <w:bidi w:val="0"/>
                    <w:ind w:firstLine="0" w:firstLineChars="0"/>
                    <w:rPr>
                      <w:color w:val="auto"/>
                      <w:highlight w:val="none"/>
                    </w:rPr>
                  </w:pPr>
                  <w:r>
                    <w:rPr>
                      <w:color w:val="auto"/>
                      <w:highlight w:val="none"/>
                    </w:rPr>
                    <w:t>外购</w:t>
                  </w:r>
                </w:p>
              </w:tc>
            </w:tr>
            <w:tr w14:paraId="17E0E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Align w:val="center"/>
                </w:tcPr>
                <w:p w14:paraId="33A24356">
                  <w:pPr>
                    <w:pStyle w:val="34"/>
                    <w:bidi w:val="0"/>
                    <w:ind w:firstLine="0" w:firstLineChars="0"/>
                    <w:rPr>
                      <w:rFonts w:hint="eastAsia"/>
                      <w:color w:val="auto"/>
                      <w:highlight w:val="none"/>
                      <w:lang w:val="en-US" w:eastAsia="zh-CN"/>
                    </w:rPr>
                  </w:pPr>
                  <w:r>
                    <w:rPr>
                      <w:rFonts w:hint="eastAsia"/>
                      <w:color w:val="auto"/>
                      <w:highlight w:val="none"/>
                      <w:lang w:val="en-US" w:eastAsia="zh-CN"/>
                    </w:rPr>
                    <w:t>2</w:t>
                  </w:r>
                </w:p>
              </w:tc>
              <w:tc>
                <w:tcPr>
                  <w:tcW w:w="725" w:type="pct"/>
                  <w:vAlign w:val="center"/>
                </w:tcPr>
                <w:p w14:paraId="003252E9">
                  <w:pPr>
                    <w:pStyle w:val="34"/>
                    <w:bidi w:val="0"/>
                    <w:rPr>
                      <w:rFonts w:hint="default"/>
                      <w:color w:val="auto"/>
                      <w:highlight w:val="none"/>
                      <w:lang w:val="en-US" w:eastAsia="zh-CN"/>
                    </w:rPr>
                  </w:pPr>
                  <w:r>
                    <w:rPr>
                      <w:rFonts w:hint="eastAsia"/>
                      <w:color w:val="auto"/>
                      <w:highlight w:val="none"/>
                      <w:lang w:val="en-US" w:eastAsia="zh-CN"/>
                    </w:rPr>
                    <w:t>粉煤灰</w:t>
                  </w:r>
                </w:p>
              </w:tc>
              <w:tc>
                <w:tcPr>
                  <w:tcW w:w="1182" w:type="pct"/>
                  <w:vAlign w:val="center"/>
                </w:tcPr>
                <w:p w14:paraId="0D4F7B6F">
                  <w:pPr>
                    <w:pStyle w:val="34"/>
                    <w:bidi w:val="0"/>
                    <w:rPr>
                      <w:rFonts w:hint="default"/>
                      <w:color w:val="auto"/>
                      <w:highlight w:val="none"/>
                      <w:lang w:val="en-US" w:eastAsia="zh-CN"/>
                    </w:rPr>
                  </w:pPr>
                  <w:r>
                    <w:rPr>
                      <w:rFonts w:hint="eastAsia"/>
                      <w:color w:val="auto"/>
                      <w:highlight w:val="none"/>
                      <w:lang w:val="en-US" w:eastAsia="zh-CN"/>
                    </w:rPr>
                    <w:t>100kg</w:t>
                  </w:r>
                </w:p>
              </w:tc>
              <w:tc>
                <w:tcPr>
                  <w:tcW w:w="804" w:type="pct"/>
                  <w:vAlign w:val="center"/>
                </w:tcPr>
                <w:p w14:paraId="07E176A9">
                  <w:pPr>
                    <w:pStyle w:val="34"/>
                    <w:bidi w:val="0"/>
                    <w:rPr>
                      <w:color w:val="auto"/>
                      <w:highlight w:val="none"/>
                    </w:rPr>
                  </w:pPr>
                  <w:r>
                    <w:rPr>
                      <w:rFonts w:hint="eastAsia"/>
                      <w:color w:val="auto"/>
                      <w:highlight w:val="none"/>
                      <w:lang w:val="en-US" w:eastAsia="zh-CN"/>
                    </w:rPr>
                    <w:t>5000t</w:t>
                  </w:r>
                </w:p>
              </w:tc>
              <w:tc>
                <w:tcPr>
                  <w:tcW w:w="855" w:type="pct"/>
                  <w:vAlign w:val="center"/>
                </w:tcPr>
                <w:p w14:paraId="44A242E3">
                  <w:pPr>
                    <w:pStyle w:val="34"/>
                    <w:bidi w:val="0"/>
                    <w:ind w:firstLine="0" w:firstLineChars="0"/>
                    <w:rPr>
                      <w:rFonts w:hint="default" w:eastAsia="宋体"/>
                      <w:color w:val="auto"/>
                      <w:highlight w:val="none"/>
                      <w:lang w:val="en-US" w:eastAsia="zh-CN"/>
                    </w:rPr>
                  </w:pPr>
                  <w:r>
                    <w:rPr>
                      <w:rFonts w:hint="eastAsia"/>
                      <w:color w:val="auto"/>
                      <w:highlight w:val="none"/>
                      <w:lang w:val="en-US" w:eastAsia="zh-CN"/>
                    </w:rPr>
                    <w:t>240t</w:t>
                  </w:r>
                </w:p>
              </w:tc>
              <w:tc>
                <w:tcPr>
                  <w:tcW w:w="900" w:type="pct"/>
                  <w:vAlign w:val="center"/>
                </w:tcPr>
                <w:p w14:paraId="100F6FB6">
                  <w:pPr>
                    <w:pStyle w:val="34"/>
                    <w:bidi w:val="0"/>
                    <w:ind w:firstLine="0" w:firstLineChars="0"/>
                    <w:rPr>
                      <w:color w:val="auto"/>
                      <w:highlight w:val="none"/>
                      <w:lang w:val="en-US" w:eastAsia="zh-CN"/>
                    </w:rPr>
                  </w:pPr>
                  <w:r>
                    <w:rPr>
                      <w:color w:val="auto"/>
                      <w:highlight w:val="none"/>
                    </w:rPr>
                    <w:t>外购</w:t>
                  </w:r>
                </w:p>
              </w:tc>
            </w:tr>
            <w:tr w14:paraId="524D3F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Align w:val="center"/>
                </w:tcPr>
                <w:p w14:paraId="673E29C7">
                  <w:pPr>
                    <w:pStyle w:val="34"/>
                    <w:bidi w:val="0"/>
                    <w:ind w:firstLine="0" w:firstLineChars="0"/>
                    <w:rPr>
                      <w:rFonts w:hint="eastAsia"/>
                      <w:color w:val="auto"/>
                      <w:highlight w:val="none"/>
                      <w:lang w:val="en-US" w:eastAsia="zh-CN"/>
                    </w:rPr>
                  </w:pPr>
                  <w:r>
                    <w:rPr>
                      <w:rFonts w:hint="eastAsia"/>
                      <w:color w:val="auto"/>
                      <w:highlight w:val="none"/>
                      <w:lang w:val="en-US" w:eastAsia="zh-CN"/>
                    </w:rPr>
                    <w:t>3</w:t>
                  </w:r>
                </w:p>
              </w:tc>
              <w:tc>
                <w:tcPr>
                  <w:tcW w:w="725" w:type="pct"/>
                  <w:vAlign w:val="center"/>
                </w:tcPr>
                <w:p w14:paraId="2C28A076">
                  <w:pPr>
                    <w:pStyle w:val="34"/>
                    <w:bidi w:val="0"/>
                    <w:rPr>
                      <w:rFonts w:hint="default"/>
                      <w:color w:val="auto"/>
                      <w:highlight w:val="none"/>
                      <w:lang w:val="en-US" w:eastAsia="zh-CN"/>
                    </w:rPr>
                  </w:pPr>
                  <w:r>
                    <w:rPr>
                      <w:rFonts w:hint="eastAsia"/>
                      <w:color w:val="auto"/>
                      <w:highlight w:val="none"/>
                      <w:lang w:val="en-US" w:eastAsia="zh-CN"/>
                    </w:rPr>
                    <w:t>砂子</w:t>
                  </w:r>
                </w:p>
              </w:tc>
              <w:tc>
                <w:tcPr>
                  <w:tcW w:w="1182" w:type="pct"/>
                  <w:vAlign w:val="center"/>
                </w:tcPr>
                <w:p w14:paraId="6CBB04CD">
                  <w:pPr>
                    <w:pStyle w:val="34"/>
                    <w:bidi w:val="0"/>
                    <w:rPr>
                      <w:rFonts w:hint="default"/>
                      <w:color w:val="auto"/>
                      <w:highlight w:val="none"/>
                      <w:lang w:val="en-US" w:eastAsia="zh-CN"/>
                    </w:rPr>
                  </w:pPr>
                  <w:r>
                    <w:rPr>
                      <w:rFonts w:hint="eastAsia"/>
                      <w:color w:val="auto"/>
                      <w:highlight w:val="none"/>
                      <w:lang w:val="en-US" w:eastAsia="zh-CN"/>
                    </w:rPr>
                    <w:t>810kg</w:t>
                  </w:r>
                </w:p>
              </w:tc>
              <w:tc>
                <w:tcPr>
                  <w:tcW w:w="804" w:type="pct"/>
                  <w:vAlign w:val="center"/>
                </w:tcPr>
                <w:p w14:paraId="02D81282">
                  <w:pPr>
                    <w:pStyle w:val="34"/>
                    <w:bidi w:val="0"/>
                    <w:rPr>
                      <w:color w:val="auto"/>
                      <w:highlight w:val="none"/>
                    </w:rPr>
                  </w:pPr>
                  <w:r>
                    <w:rPr>
                      <w:rFonts w:hint="eastAsia"/>
                      <w:color w:val="auto"/>
                      <w:highlight w:val="none"/>
                      <w:lang w:val="en-US" w:eastAsia="zh-CN"/>
                    </w:rPr>
                    <w:t>40500t</w:t>
                  </w:r>
                </w:p>
              </w:tc>
              <w:tc>
                <w:tcPr>
                  <w:tcW w:w="855" w:type="pct"/>
                  <w:vAlign w:val="center"/>
                </w:tcPr>
                <w:p w14:paraId="66C5104D">
                  <w:pPr>
                    <w:pStyle w:val="34"/>
                    <w:bidi w:val="0"/>
                    <w:ind w:firstLine="0" w:firstLineChars="0"/>
                    <w:rPr>
                      <w:rFonts w:hint="default" w:eastAsia="宋体"/>
                      <w:color w:val="auto"/>
                      <w:highlight w:val="none"/>
                      <w:lang w:val="en-US" w:eastAsia="zh-CN"/>
                    </w:rPr>
                  </w:pPr>
                  <w:r>
                    <w:rPr>
                      <w:rFonts w:hint="eastAsia"/>
                      <w:color w:val="auto"/>
                      <w:highlight w:val="none"/>
                      <w:lang w:val="en-US" w:eastAsia="zh-CN"/>
                    </w:rPr>
                    <w:t>4000t</w:t>
                  </w:r>
                </w:p>
              </w:tc>
              <w:tc>
                <w:tcPr>
                  <w:tcW w:w="900" w:type="pct"/>
                  <w:vAlign w:val="center"/>
                </w:tcPr>
                <w:p w14:paraId="3E675330">
                  <w:pPr>
                    <w:pStyle w:val="34"/>
                    <w:bidi w:val="0"/>
                    <w:ind w:firstLine="0" w:firstLineChars="0"/>
                    <w:rPr>
                      <w:color w:val="auto"/>
                      <w:highlight w:val="none"/>
                      <w:lang w:val="en-US" w:eastAsia="zh-CN"/>
                    </w:rPr>
                  </w:pPr>
                  <w:r>
                    <w:rPr>
                      <w:color w:val="auto"/>
                      <w:highlight w:val="none"/>
                    </w:rPr>
                    <w:t>外购</w:t>
                  </w:r>
                </w:p>
              </w:tc>
            </w:tr>
            <w:tr w14:paraId="19C8DA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Align w:val="center"/>
                </w:tcPr>
                <w:p w14:paraId="1D8B5F62">
                  <w:pPr>
                    <w:pStyle w:val="34"/>
                    <w:bidi w:val="0"/>
                    <w:ind w:firstLine="0" w:firstLineChars="0"/>
                    <w:rPr>
                      <w:rFonts w:hint="eastAsia"/>
                      <w:color w:val="auto"/>
                      <w:highlight w:val="none"/>
                      <w:lang w:val="en-US" w:eastAsia="zh-CN"/>
                    </w:rPr>
                  </w:pPr>
                  <w:r>
                    <w:rPr>
                      <w:rFonts w:hint="eastAsia"/>
                      <w:color w:val="auto"/>
                      <w:highlight w:val="none"/>
                      <w:lang w:val="en-US" w:eastAsia="zh-CN"/>
                    </w:rPr>
                    <w:t>4</w:t>
                  </w:r>
                </w:p>
              </w:tc>
              <w:tc>
                <w:tcPr>
                  <w:tcW w:w="725" w:type="pct"/>
                  <w:vAlign w:val="center"/>
                </w:tcPr>
                <w:p w14:paraId="55C9A193">
                  <w:pPr>
                    <w:pStyle w:val="34"/>
                    <w:bidi w:val="0"/>
                    <w:rPr>
                      <w:rFonts w:hint="default"/>
                      <w:color w:val="auto"/>
                      <w:highlight w:val="none"/>
                      <w:lang w:val="en-US" w:eastAsia="zh-CN"/>
                    </w:rPr>
                  </w:pPr>
                  <w:r>
                    <w:rPr>
                      <w:rFonts w:hint="eastAsia"/>
                      <w:color w:val="auto"/>
                      <w:highlight w:val="none"/>
                      <w:lang w:val="en-US" w:eastAsia="zh-CN"/>
                    </w:rPr>
                    <w:t>石子</w:t>
                  </w:r>
                </w:p>
              </w:tc>
              <w:tc>
                <w:tcPr>
                  <w:tcW w:w="1182" w:type="pct"/>
                  <w:vAlign w:val="center"/>
                </w:tcPr>
                <w:p w14:paraId="6B607BF6">
                  <w:pPr>
                    <w:pStyle w:val="34"/>
                    <w:bidi w:val="0"/>
                    <w:rPr>
                      <w:rFonts w:hint="default"/>
                      <w:color w:val="auto"/>
                      <w:highlight w:val="none"/>
                      <w:lang w:val="en-US" w:eastAsia="zh-CN"/>
                    </w:rPr>
                  </w:pPr>
                  <w:r>
                    <w:rPr>
                      <w:rFonts w:hint="eastAsia"/>
                      <w:color w:val="auto"/>
                      <w:highlight w:val="none"/>
                      <w:lang w:val="en-US" w:eastAsia="zh-CN"/>
                    </w:rPr>
                    <w:t>1100kg</w:t>
                  </w:r>
                </w:p>
              </w:tc>
              <w:tc>
                <w:tcPr>
                  <w:tcW w:w="804" w:type="pct"/>
                  <w:vAlign w:val="center"/>
                </w:tcPr>
                <w:p w14:paraId="0CD20FB5">
                  <w:pPr>
                    <w:pStyle w:val="34"/>
                    <w:bidi w:val="0"/>
                    <w:rPr>
                      <w:color w:val="auto"/>
                      <w:highlight w:val="none"/>
                    </w:rPr>
                  </w:pPr>
                  <w:r>
                    <w:rPr>
                      <w:rFonts w:hint="eastAsia"/>
                      <w:color w:val="auto"/>
                      <w:highlight w:val="none"/>
                      <w:lang w:val="en-US" w:eastAsia="zh-CN"/>
                    </w:rPr>
                    <w:t>55000t</w:t>
                  </w:r>
                </w:p>
              </w:tc>
              <w:tc>
                <w:tcPr>
                  <w:tcW w:w="855" w:type="pct"/>
                  <w:vAlign w:val="center"/>
                </w:tcPr>
                <w:p w14:paraId="24D0FD2B">
                  <w:pPr>
                    <w:pStyle w:val="34"/>
                    <w:bidi w:val="0"/>
                    <w:rPr>
                      <w:rFonts w:hint="default" w:eastAsia="宋体"/>
                      <w:color w:val="auto"/>
                      <w:highlight w:val="none"/>
                      <w:lang w:val="en-US" w:eastAsia="zh-CN"/>
                    </w:rPr>
                  </w:pPr>
                  <w:r>
                    <w:rPr>
                      <w:rFonts w:hint="eastAsia"/>
                      <w:color w:val="auto"/>
                      <w:highlight w:val="none"/>
                      <w:lang w:val="en-US" w:eastAsia="zh-CN"/>
                    </w:rPr>
                    <w:t>3000t</w:t>
                  </w:r>
                </w:p>
              </w:tc>
              <w:tc>
                <w:tcPr>
                  <w:tcW w:w="900" w:type="pct"/>
                  <w:vAlign w:val="center"/>
                </w:tcPr>
                <w:p w14:paraId="0C406FA4">
                  <w:pPr>
                    <w:pStyle w:val="34"/>
                    <w:bidi w:val="0"/>
                    <w:rPr>
                      <w:color w:val="auto"/>
                      <w:highlight w:val="none"/>
                    </w:rPr>
                  </w:pPr>
                  <w:r>
                    <w:rPr>
                      <w:color w:val="auto"/>
                      <w:highlight w:val="none"/>
                    </w:rPr>
                    <w:t>外购</w:t>
                  </w:r>
                </w:p>
              </w:tc>
            </w:tr>
            <w:tr w14:paraId="29CE14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Align w:val="center"/>
                </w:tcPr>
                <w:p w14:paraId="227AEF38">
                  <w:pPr>
                    <w:pStyle w:val="34"/>
                    <w:bidi w:val="0"/>
                    <w:ind w:firstLine="0" w:firstLineChars="0"/>
                    <w:rPr>
                      <w:rFonts w:hint="default"/>
                      <w:color w:val="auto"/>
                      <w:highlight w:val="none"/>
                      <w:lang w:val="en-US" w:eastAsia="zh-CN"/>
                    </w:rPr>
                  </w:pPr>
                  <w:r>
                    <w:rPr>
                      <w:rFonts w:hint="eastAsia"/>
                      <w:color w:val="auto"/>
                      <w:highlight w:val="none"/>
                      <w:lang w:val="en-US" w:eastAsia="zh-CN"/>
                    </w:rPr>
                    <w:t>5</w:t>
                  </w:r>
                </w:p>
              </w:tc>
              <w:tc>
                <w:tcPr>
                  <w:tcW w:w="725" w:type="pct"/>
                  <w:vAlign w:val="center"/>
                </w:tcPr>
                <w:p w14:paraId="3175B816">
                  <w:pPr>
                    <w:pStyle w:val="34"/>
                    <w:bidi w:val="0"/>
                    <w:rPr>
                      <w:rFonts w:hint="eastAsia"/>
                      <w:color w:val="auto"/>
                      <w:highlight w:val="none"/>
                      <w:lang w:val="en-US" w:eastAsia="zh-CN"/>
                    </w:rPr>
                  </w:pPr>
                  <w:r>
                    <w:rPr>
                      <w:rFonts w:hint="eastAsia"/>
                      <w:color w:val="auto"/>
                      <w:highlight w:val="none"/>
                      <w:lang w:val="en-US" w:eastAsia="zh-CN"/>
                    </w:rPr>
                    <w:t>水</w:t>
                  </w:r>
                </w:p>
              </w:tc>
              <w:tc>
                <w:tcPr>
                  <w:tcW w:w="1182" w:type="pct"/>
                  <w:vAlign w:val="center"/>
                </w:tcPr>
                <w:p w14:paraId="4BCF9F77">
                  <w:pPr>
                    <w:pStyle w:val="34"/>
                    <w:bidi w:val="0"/>
                    <w:rPr>
                      <w:rFonts w:hint="eastAsia"/>
                      <w:color w:val="auto"/>
                      <w:highlight w:val="none"/>
                      <w:lang w:val="en-US" w:eastAsia="zh-CN"/>
                    </w:rPr>
                  </w:pPr>
                  <w:r>
                    <w:rPr>
                      <w:rFonts w:hint="eastAsia"/>
                      <w:color w:val="auto"/>
                      <w:highlight w:val="none"/>
                      <w:lang w:val="en-US" w:eastAsia="zh-CN"/>
                    </w:rPr>
                    <w:t>130kg</w:t>
                  </w:r>
                </w:p>
              </w:tc>
              <w:tc>
                <w:tcPr>
                  <w:tcW w:w="804" w:type="pct"/>
                  <w:vAlign w:val="center"/>
                </w:tcPr>
                <w:p w14:paraId="23CC0D5B">
                  <w:pPr>
                    <w:pStyle w:val="34"/>
                    <w:bidi w:val="0"/>
                    <w:rPr>
                      <w:color w:val="auto"/>
                      <w:highlight w:val="none"/>
                    </w:rPr>
                  </w:pPr>
                  <w:r>
                    <w:rPr>
                      <w:rFonts w:hint="eastAsia"/>
                      <w:color w:val="auto"/>
                      <w:highlight w:val="none"/>
                      <w:lang w:val="en-US" w:eastAsia="zh-CN"/>
                    </w:rPr>
                    <w:t>6500t</w:t>
                  </w:r>
                </w:p>
              </w:tc>
              <w:tc>
                <w:tcPr>
                  <w:tcW w:w="855" w:type="pct"/>
                  <w:vAlign w:val="center"/>
                </w:tcPr>
                <w:p w14:paraId="37A08B03">
                  <w:pPr>
                    <w:pStyle w:val="34"/>
                    <w:bidi w:val="0"/>
                    <w:rPr>
                      <w:rFonts w:hint="default"/>
                      <w:color w:val="auto"/>
                      <w:highlight w:val="none"/>
                      <w:lang w:val="en-US" w:eastAsia="zh-CN"/>
                    </w:rPr>
                  </w:pPr>
                  <w:r>
                    <w:rPr>
                      <w:rFonts w:hint="eastAsia"/>
                      <w:color w:val="auto"/>
                      <w:highlight w:val="none"/>
                      <w:lang w:val="en-US" w:eastAsia="zh-CN"/>
                    </w:rPr>
                    <w:t>/</w:t>
                  </w:r>
                </w:p>
              </w:tc>
              <w:tc>
                <w:tcPr>
                  <w:tcW w:w="900" w:type="pct"/>
                  <w:vAlign w:val="center"/>
                </w:tcPr>
                <w:p w14:paraId="1DF3ED7D">
                  <w:pPr>
                    <w:pStyle w:val="34"/>
                    <w:bidi w:val="0"/>
                    <w:rPr>
                      <w:rFonts w:hint="eastAsia" w:eastAsia="宋体"/>
                      <w:color w:val="auto"/>
                      <w:highlight w:val="none"/>
                      <w:lang w:val="en-US" w:eastAsia="zh-CN"/>
                    </w:rPr>
                  </w:pPr>
                  <w:r>
                    <w:rPr>
                      <w:rFonts w:hint="eastAsia"/>
                      <w:color w:val="auto"/>
                      <w:highlight w:val="none"/>
                      <w:lang w:val="en-US" w:eastAsia="zh-CN"/>
                    </w:rPr>
                    <w:t>厂区水井</w:t>
                  </w:r>
                </w:p>
              </w:tc>
            </w:tr>
            <w:tr w14:paraId="59CE66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Align w:val="center"/>
                </w:tcPr>
                <w:p w14:paraId="65DDAE44">
                  <w:pPr>
                    <w:pStyle w:val="34"/>
                    <w:bidi w:val="0"/>
                    <w:ind w:firstLine="0" w:firstLineChars="0"/>
                    <w:rPr>
                      <w:rFonts w:hint="default"/>
                      <w:color w:val="auto"/>
                      <w:highlight w:val="none"/>
                      <w:lang w:val="en-US" w:eastAsia="zh-CN"/>
                    </w:rPr>
                  </w:pPr>
                  <w:r>
                    <w:rPr>
                      <w:rFonts w:hint="eastAsia"/>
                      <w:color w:val="auto"/>
                      <w:highlight w:val="none"/>
                      <w:lang w:val="en-US" w:eastAsia="zh-CN"/>
                    </w:rPr>
                    <w:t>6</w:t>
                  </w:r>
                </w:p>
              </w:tc>
              <w:tc>
                <w:tcPr>
                  <w:tcW w:w="725" w:type="pct"/>
                  <w:vAlign w:val="center"/>
                </w:tcPr>
                <w:p w14:paraId="6F958FD9">
                  <w:pPr>
                    <w:pStyle w:val="34"/>
                    <w:bidi w:val="0"/>
                    <w:rPr>
                      <w:rFonts w:hint="eastAsia"/>
                      <w:color w:val="auto"/>
                      <w:highlight w:val="none"/>
                      <w:lang w:val="en-US" w:eastAsia="zh-CN"/>
                    </w:rPr>
                  </w:pPr>
                  <w:r>
                    <w:rPr>
                      <w:rFonts w:hint="eastAsia"/>
                      <w:color w:val="auto"/>
                      <w:highlight w:val="none"/>
                      <w:lang w:val="en-US" w:eastAsia="zh-CN"/>
                    </w:rPr>
                    <w:t>外加剂</w:t>
                  </w:r>
                </w:p>
              </w:tc>
              <w:tc>
                <w:tcPr>
                  <w:tcW w:w="1182" w:type="pct"/>
                  <w:vAlign w:val="center"/>
                </w:tcPr>
                <w:p w14:paraId="5581D5E0">
                  <w:pPr>
                    <w:pStyle w:val="34"/>
                    <w:bidi w:val="0"/>
                    <w:rPr>
                      <w:rFonts w:hint="eastAsia"/>
                      <w:color w:val="auto"/>
                      <w:highlight w:val="none"/>
                      <w:lang w:val="en-US" w:eastAsia="zh-CN"/>
                    </w:rPr>
                  </w:pPr>
                  <w:r>
                    <w:rPr>
                      <w:rFonts w:hint="eastAsia"/>
                      <w:color w:val="auto"/>
                      <w:highlight w:val="none"/>
                      <w:lang w:val="en-US" w:eastAsia="zh-CN"/>
                    </w:rPr>
                    <w:t>10kg</w:t>
                  </w:r>
                </w:p>
              </w:tc>
              <w:tc>
                <w:tcPr>
                  <w:tcW w:w="804" w:type="pct"/>
                  <w:vAlign w:val="center"/>
                </w:tcPr>
                <w:p w14:paraId="4FEAC310">
                  <w:pPr>
                    <w:pStyle w:val="34"/>
                    <w:bidi w:val="0"/>
                    <w:rPr>
                      <w:color w:val="auto"/>
                      <w:highlight w:val="none"/>
                    </w:rPr>
                  </w:pPr>
                  <w:r>
                    <w:rPr>
                      <w:rFonts w:hint="eastAsia"/>
                      <w:color w:val="auto"/>
                      <w:highlight w:val="none"/>
                      <w:lang w:val="en-US" w:eastAsia="zh-CN"/>
                    </w:rPr>
                    <w:t>500t</w:t>
                  </w:r>
                </w:p>
              </w:tc>
              <w:tc>
                <w:tcPr>
                  <w:tcW w:w="855" w:type="pct"/>
                  <w:vAlign w:val="center"/>
                </w:tcPr>
                <w:p w14:paraId="04228D76">
                  <w:pPr>
                    <w:pStyle w:val="34"/>
                    <w:bidi w:val="0"/>
                    <w:rPr>
                      <w:rFonts w:hint="default" w:eastAsia="宋体"/>
                      <w:color w:val="auto"/>
                      <w:highlight w:val="none"/>
                      <w:lang w:val="en-US" w:eastAsia="zh-CN"/>
                    </w:rPr>
                  </w:pPr>
                  <w:r>
                    <w:rPr>
                      <w:rFonts w:hint="eastAsia"/>
                      <w:color w:val="auto"/>
                      <w:highlight w:val="none"/>
                      <w:lang w:val="en-US" w:eastAsia="zh-CN"/>
                    </w:rPr>
                    <w:t>16t</w:t>
                  </w:r>
                </w:p>
              </w:tc>
              <w:tc>
                <w:tcPr>
                  <w:tcW w:w="900" w:type="pct"/>
                  <w:vAlign w:val="center"/>
                </w:tcPr>
                <w:p w14:paraId="2E54EADC">
                  <w:pPr>
                    <w:pStyle w:val="34"/>
                    <w:bidi w:val="0"/>
                    <w:rPr>
                      <w:color w:val="auto"/>
                      <w:highlight w:val="none"/>
                    </w:rPr>
                  </w:pPr>
                  <w:r>
                    <w:rPr>
                      <w:color w:val="auto"/>
                      <w:highlight w:val="none"/>
                    </w:rPr>
                    <w:t>外购</w:t>
                  </w:r>
                </w:p>
              </w:tc>
            </w:tr>
          </w:tbl>
          <w:p w14:paraId="1EE9D711">
            <w:pPr>
              <w:pStyle w:val="36"/>
              <w:keepNext w:val="0"/>
              <w:keepLines w:val="0"/>
              <w:pageBreakBefore w:val="0"/>
              <w:widowControl w:val="0"/>
              <w:kinsoku/>
              <w:wordWrap w:val="0"/>
              <w:overflowPunct/>
              <w:topLinePunct w:val="0"/>
              <w:autoSpaceDE/>
              <w:autoSpaceDN/>
              <w:bidi w:val="0"/>
              <w:adjustRightInd/>
              <w:snapToGrid/>
              <w:spacing w:before="157" w:beforeLines="50"/>
              <w:textAlignment w:val="auto"/>
              <w:rPr>
                <w:rFonts w:hint="default"/>
                <w:color w:val="auto"/>
                <w:highlight w:val="none"/>
                <w:lang w:val="en-US"/>
              </w:rPr>
            </w:pPr>
            <w:r>
              <w:rPr>
                <w:rFonts w:hint="default"/>
                <w:color w:val="auto"/>
                <w:highlight w:val="none"/>
              </w:rPr>
              <w:t>表2-</w:t>
            </w:r>
            <w:r>
              <w:rPr>
                <w:rFonts w:hint="eastAsia"/>
                <w:color w:val="auto"/>
                <w:highlight w:val="none"/>
                <w:lang w:val="en-US" w:eastAsia="zh-CN"/>
              </w:rPr>
              <w:t>3-2</w:t>
            </w:r>
            <w:r>
              <w:rPr>
                <w:rFonts w:hint="default"/>
                <w:color w:val="auto"/>
                <w:highlight w:val="none"/>
                <w:lang w:val="en-US" w:eastAsia="zh-CN"/>
              </w:rPr>
              <w:t>物料平衡表</w:t>
            </w:r>
          </w:p>
          <w:tbl>
            <w:tblPr>
              <w:tblStyle w:val="24"/>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2"/>
              <w:gridCol w:w="1310"/>
              <w:gridCol w:w="1310"/>
              <w:gridCol w:w="1310"/>
              <w:gridCol w:w="1310"/>
              <w:gridCol w:w="1311"/>
            </w:tblGrid>
            <w:tr w14:paraId="020581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tcBorders>
                    <w:tl2br w:val="nil"/>
                    <w:tr2bl w:val="nil"/>
                  </w:tcBorders>
                  <w:vAlign w:val="center"/>
                </w:tcPr>
                <w:p w14:paraId="2A7F1718">
                  <w:pPr>
                    <w:pStyle w:val="46"/>
                    <w:bidi w:val="0"/>
                    <w:ind w:left="0" w:leftChars="0" w:firstLine="0" w:firstLineChars="0"/>
                    <w:rPr>
                      <w:rFonts w:hint="default"/>
                      <w:b/>
                      <w:bCs/>
                      <w:color w:val="auto"/>
                      <w:sz w:val="21"/>
                      <w:szCs w:val="21"/>
                      <w:highlight w:val="none"/>
                      <w:lang w:val="en-US" w:eastAsia="zh-CN"/>
                    </w:rPr>
                  </w:pPr>
                  <w:r>
                    <w:rPr>
                      <w:rFonts w:hint="eastAsia"/>
                      <w:b/>
                      <w:bCs/>
                      <w:color w:val="auto"/>
                      <w:sz w:val="21"/>
                      <w:szCs w:val="21"/>
                      <w:highlight w:val="none"/>
                      <w:lang w:val="en-US" w:eastAsia="zh-CN"/>
                    </w:rPr>
                    <w:t>生产线</w:t>
                  </w:r>
                </w:p>
              </w:tc>
              <w:tc>
                <w:tcPr>
                  <w:tcW w:w="2620" w:type="dxa"/>
                  <w:gridSpan w:val="2"/>
                  <w:tcBorders>
                    <w:tl2br w:val="nil"/>
                    <w:tr2bl w:val="nil"/>
                  </w:tcBorders>
                  <w:vAlign w:val="center"/>
                </w:tcPr>
                <w:p w14:paraId="37392618">
                  <w:pPr>
                    <w:pStyle w:val="46"/>
                    <w:bidi w:val="0"/>
                    <w:ind w:left="0" w:leftChars="0" w:firstLine="0" w:firstLineChars="0"/>
                    <w:rPr>
                      <w:rFonts w:hint="default"/>
                      <w:b/>
                      <w:bCs/>
                      <w:color w:val="auto"/>
                      <w:sz w:val="21"/>
                      <w:szCs w:val="21"/>
                      <w:highlight w:val="none"/>
                      <w:lang w:val="en-US" w:eastAsia="zh-CN"/>
                    </w:rPr>
                  </w:pPr>
                  <w:r>
                    <w:rPr>
                      <w:rFonts w:hint="eastAsia"/>
                      <w:b/>
                      <w:bCs/>
                      <w:color w:val="auto"/>
                      <w:sz w:val="21"/>
                      <w:szCs w:val="21"/>
                      <w:highlight w:val="none"/>
                      <w:lang w:val="en-US" w:eastAsia="zh-CN"/>
                    </w:rPr>
                    <w:t>投入</w:t>
                  </w:r>
                </w:p>
              </w:tc>
              <w:tc>
                <w:tcPr>
                  <w:tcW w:w="3931" w:type="dxa"/>
                  <w:gridSpan w:val="3"/>
                  <w:tcBorders>
                    <w:tl2br w:val="nil"/>
                    <w:tr2bl w:val="nil"/>
                  </w:tcBorders>
                  <w:vAlign w:val="center"/>
                </w:tcPr>
                <w:p w14:paraId="2EBA45E6">
                  <w:pPr>
                    <w:pStyle w:val="46"/>
                    <w:bidi w:val="0"/>
                    <w:ind w:left="0" w:leftChars="0" w:firstLine="0" w:firstLineChars="0"/>
                    <w:rPr>
                      <w:rFonts w:hint="default"/>
                      <w:b/>
                      <w:bCs/>
                      <w:color w:val="auto"/>
                      <w:sz w:val="21"/>
                      <w:szCs w:val="21"/>
                      <w:highlight w:val="none"/>
                      <w:lang w:val="en-US" w:eastAsia="zh-CN"/>
                    </w:rPr>
                  </w:pPr>
                  <w:r>
                    <w:rPr>
                      <w:rFonts w:hint="eastAsia"/>
                      <w:b/>
                      <w:bCs/>
                      <w:color w:val="auto"/>
                      <w:sz w:val="21"/>
                      <w:szCs w:val="21"/>
                      <w:highlight w:val="none"/>
                      <w:lang w:val="en-US" w:eastAsia="zh-CN"/>
                    </w:rPr>
                    <w:t>产出</w:t>
                  </w:r>
                </w:p>
              </w:tc>
            </w:tr>
            <w:tr w14:paraId="186CBC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vMerge w:val="restart"/>
                  <w:shd w:val="clear" w:color="auto" w:fill="auto"/>
                  <w:vAlign w:val="center"/>
                </w:tcPr>
                <w:p w14:paraId="1DA39B3B">
                  <w:pPr>
                    <w:pStyle w:val="46"/>
                    <w:bidi w:val="0"/>
                    <w:rPr>
                      <w:rFonts w:hint="default"/>
                      <w:color w:val="auto"/>
                      <w:sz w:val="21"/>
                      <w:szCs w:val="21"/>
                      <w:highlight w:val="none"/>
                      <w:lang w:val="en-US" w:eastAsia="zh-CN"/>
                    </w:rPr>
                  </w:pPr>
                  <w:r>
                    <w:rPr>
                      <w:rFonts w:hint="eastAsia"/>
                      <w:color w:val="auto"/>
                      <w:highlight w:val="none"/>
                      <w:lang w:val="en-US" w:eastAsia="zh-CN"/>
                    </w:rPr>
                    <w:t>商品混凝土生产线</w:t>
                  </w:r>
                </w:p>
              </w:tc>
              <w:tc>
                <w:tcPr>
                  <w:tcW w:w="1310" w:type="dxa"/>
                  <w:vAlign w:val="center"/>
                </w:tcPr>
                <w:p w14:paraId="1CE71E86">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物料名称</w:t>
                  </w:r>
                </w:p>
              </w:tc>
              <w:tc>
                <w:tcPr>
                  <w:tcW w:w="1310" w:type="dxa"/>
                  <w:vAlign w:val="center"/>
                </w:tcPr>
                <w:p w14:paraId="1032F63C">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用量（t/a）</w:t>
                  </w:r>
                </w:p>
              </w:tc>
              <w:tc>
                <w:tcPr>
                  <w:tcW w:w="1310" w:type="dxa"/>
                  <w:vAlign w:val="center"/>
                </w:tcPr>
                <w:p w14:paraId="14ACC2F9">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类别</w:t>
                  </w:r>
                </w:p>
              </w:tc>
              <w:tc>
                <w:tcPr>
                  <w:tcW w:w="1310" w:type="dxa"/>
                  <w:vAlign w:val="center"/>
                </w:tcPr>
                <w:p w14:paraId="2176A4F9">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产品名称</w:t>
                  </w:r>
                </w:p>
              </w:tc>
              <w:tc>
                <w:tcPr>
                  <w:tcW w:w="1311" w:type="dxa"/>
                  <w:vAlign w:val="center"/>
                </w:tcPr>
                <w:p w14:paraId="1E238AEC">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产量（t/a）</w:t>
                  </w:r>
                </w:p>
              </w:tc>
            </w:tr>
            <w:tr w14:paraId="5C298F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vMerge w:val="continue"/>
                  <w:vAlign w:val="center"/>
                </w:tcPr>
                <w:p w14:paraId="65E1FB45">
                  <w:pPr>
                    <w:pStyle w:val="46"/>
                    <w:bidi w:val="0"/>
                    <w:rPr>
                      <w:rFonts w:hint="eastAsia"/>
                      <w:color w:val="auto"/>
                      <w:sz w:val="21"/>
                      <w:szCs w:val="21"/>
                      <w:highlight w:val="none"/>
                      <w:lang w:val="en-US" w:eastAsia="zh-CN"/>
                    </w:rPr>
                  </w:pPr>
                </w:p>
              </w:tc>
              <w:tc>
                <w:tcPr>
                  <w:tcW w:w="1310" w:type="dxa"/>
                  <w:vAlign w:val="center"/>
                </w:tcPr>
                <w:p w14:paraId="635F39EC">
                  <w:pPr>
                    <w:pStyle w:val="34"/>
                    <w:bidi w:val="0"/>
                    <w:ind w:firstLine="0" w:firstLineChars="0"/>
                    <w:rPr>
                      <w:rFonts w:hint="default"/>
                      <w:color w:val="auto"/>
                      <w:sz w:val="21"/>
                      <w:szCs w:val="21"/>
                      <w:highlight w:val="none"/>
                      <w:lang w:val="en-US" w:eastAsia="zh-CN"/>
                    </w:rPr>
                  </w:pPr>
                  <w:r>
                    <w:rPr>
                      <w:rFonts w:hint="eastAsia"/>
                      <w:color w:val="auto"/>
                      <w:highlight w:val="none"/>
                      <w:lang w:val="en-US" w:eastAsia="zh-CN"/>
                    </w:rPr>
                    <w:t>水泥</w:t>
                  </w:r>
                </w:p>
              </w:tc>
              <w:tc>
                <w:tcPr>
                  <w:tcW w:w="1310" w:type="dxa"/>
                  <w:vAlign w:val="center"/>
                </w:tcPr>
                <w:p w14:paraId="0CB6810A">
                  <w:pPr>
                    <w:pStyle w:val="34"/>
                    <w:bidi w:val="0"/>
                    <w:ind w:firstLine="0" w:firstLineChars="0"/>
                    <w:rPr>
                      <w:rFonts w:hint="default"/>
                      <w:color w:val="auto"/>
                      <w:sz w:val="21"/>
                      <w:szCs w:val="21"/>
                      <w:highlight w:val="none"/>
                      <w:lang w:val="en-US" w:eastAsia="zh-CN"/>
                    </w:rPr>
                  </w:pPr>
                  <w:r>
                    <w:rPr>
                      <w:rFonts w:hint="eastAsia"/>
                      <w:color w:val="auto"/>
                      <w:highlight w:val="none"/>
                      <w:lang w:val="en-US" w:eastAsia="zh-CN"/>
                    </w:rPr>
                    <w:t>16000</w:t>
                  </w:r>
                </w:p>
              </w:tc>
              <w:tc>
                <w:tcPr>
                  <w:tcW w:w="1310" w:type="dxa"/>
                  <w:vMerge w:val="restart"/>
                  <w:vAlign w:val="center"/>
                </w:tcPr>
                <w:p w14:paraId="112B68B4">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产品</w:t>
                  </w:r>
                </w:p>
              </w:tc>
              <w:tc>
                <w:tcPr>
                  <w:tcW w:w="1310" w:type="dxa"/>
                  <w:vMerge w:val="restart"/>
                  <w:vAlign w:val="center"/>
                </w:tcPr>
                <w:p w14:paraId="0C901379">
                  <w:pPr>
                    <w:pStyle w:val="34"/>
                    <w:bidi w:val="0"/>
                    <w:ind w:firstLine="0" w:firstLineChars="0"/>
                    <w:rPr>
                      <w:rFonts w:hint="default"/>
                      <w:color w:val="auto"/>
                      <w:sz w:val="21"/>
                      <w:szCs w:val="21"/>
                      <w:highlight w:val="none"/>
                      <w:lang w:val="en-US" w:eastAsia="zh-CN"/>
                    </w:rPr>
                  </w:pPr>
                  <w:r>
                    <w:rPr>
                      <w:rFonts w:hint="eastAsia"/>
                      <w:color w:val="auto"/>
                      <w:highlight w:val="none"/>
                      <w:lang w:val="en-US" w:eastAsia="zh-CN"/>
                    </w:rPr>
                    <w:t>商品混凝土</w:t>
                  </w:r>
                </w:p>
              </w:tc>
              <w:tc>
                <w:tcPr>
                  <w:tcW w:w="1311" w:type="dxa"/>
                  <w:vMerge w:val="restart"/>
                  <w:vAlign w:val="center"/>
                </w:tcPr>
                <w:p w14:paraId="7E811B1E">
                  <w:pPr>
                    <w:pStyle w:val="34"/>
                    <w:bidi w:val="0"/>
                    <w:ind w:firstLine="0" w:firstLineChars="0"/>
                    <w:rPr>
                      <w:rFonts w:hint="default"/>
                      <w:color w:val="auto"/>
                      <w:highlight w:val="none"/>
                      <w:lang w:val="en-US" w:eastAsia="zh-CN"/>
                    </w:rPr>
                  </w:pPr>
                  <w:r>
                    <w:rPr>
                      <w:rFonts w:hint="eastAsia"/>
                      <w:color w:val="auto"/>
                      <w:highlight w:val="none"/>
                      <w:lang w:val="en-US" w:eastAsia="zh-CN"/>
                    </w:rPr>
                    <w:t>123497.55</w:t>
                  </w:r>
                </w:p>
              </w:tc>
            </w:tr>
            <w:tr w14:paraId="53E042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vMerge w:val="continue"/>
                  <w:vAlign w:val="center"/>
                </w:tcPr>
                <w:p w14:paraId="5D1EEB7F">
                  <w:pPr>
                    <w:pStyle w:val="46"/>
                    <w:bidi w:val="0"/>
                    <w:rPr>
                      <w:rFonts w:hint="eastAsia"/>
                      <w:color w:val="auto"/>
                      <w:sz w:val="21"/>
                      <w:szCs w:val="21"/>
                      <w:highlight w:val="none"/>
                      <w:lang w:val="en-US" w:eastAsia="zh-CN"/>
                    </w:rPr>
                  </w:pPr>
                </w:p>
              </w:tc>
              <w:tc>
                <w:tcPr>
                  <w:tcW w:w="1310" w:type="dxa"/>
                  <w:vAlign w:val="center"/>
                </w:tcPr>
                <w:p w14:paraId="2809C2CF">
                  <w:pPr>
                    <w:pStyle w:val="34"/>
                    <w:bidi w:val="0"/>
                    <w:ind w:firstLine="0" w:firstLineChars="0"/>
                    <w:rPr>
                      <w:rFonts w:hint="eastAsia"/>
                      <w:color w:val="auto"/>
                      <w:highlight w:val="none"/>
                      <w:lang w:val="en-US" w:eastAsia="zh-CN"/>
                    </w:rPr>
                  </w:pPr>
                  <w:r>
                    <w:rPr>
                      <w:rFonts w:hint="eastAsia"/>
                      <w:color w:val="auto"/>
                      <w:highlight w:val="none"/>
                      <w:lang w:val="en-US" w:eastAsia="zh-CN"/>
                    </w:rPr>
                    <w:t>粉煤灰</w:t>
                  </w:r>
                </w:p>
              </w:tc>
              <w:tc>
                <w:tcPr>
                  <w:tcW w:w="1310" w:type="dxa"/>
                  <w:vAlign w:val="center"/>
                </w:tcPr>
                <w:p w14:paraId="44D53D67">
                  <w:pPr>
                    <w:pStyle w:val="34"/>
                    <w:bidi w:val="0"/>
                    <w:ind w:firstLine="0" w:firstLineChars="0"/>
                    <w:rPr>
                      <w:rFonts w:hint="eastAsia"/>
                      <w:color w:val="auto"/>
                      <w:highlight w:val="none"/>
                      <w:lang w:val="en-US" w:eastAsia="zh-CN"/>
                    </w:rPr>
                  </w:pPr>
                  <w:r>
                    <w:rPr>
                      <w:rFonts w:hint="eastAsia"/>
                      <w:color w:val="auto"/>
                      <w:highlight w:val="none"/>
                      <w:lang w:val="en-US" w:eastAsia="zh-CN"/>
                    </w:rPr>
                    <w:t>5000</w:t>
                  </w:r>
                </w:p>
              </w:tc>
              <w:tc>
                <w:tcPr>
                  <w:tcW w:w="1310" w:type="dxa"/>
                  <w:vMerge w:val="continue"/>
                  <w:vAlign w:val="center"/>
                </w:tcPr>
                <w:p w14:paraId="4596575C">
                  <w:pPr>
                    <w:pStyle w:val="46"/>
                    <w:bidi w:val="0"/>
                    <w:rPr>
                      <w:rFonts w:hint="eastAsia"/>
                      <w:color w:val="auto"/>
                      <w:sz w:val="21"/>
                      <w:szCs w:val="21"/>
                      <w:highlight w:val="none"/>
                      <w:lang w:val="en-US" w:eastAsia="zh-CN"/>
                    </w:rPr>
                  </w:pPr>
                </w:p>
              </w:tc>
              <w:tc>
                <w:tcPr>
                  <w:tcW w:w="1310" w:type="dxa"/>
                  <w:vMerge w:val="continue"/>
                  <w:vAlign w:val="center"/>
                </w:tcPr>
                <w:p w14:paraId="748812DE">
                  <w:pPr>
                    <w:pStyle w:val="34"/>
                    <w:bidi w:val="0"/>
                    <w:ind w:firstLine="0" w:firstLineChars="0"/>
                    <w:rPr>
                      <w:rFonts w:hint="eastAsia"/>
                      <w:color w:val="auto"/>
                      <w:highlight w:val="none"/>
                      <w:lang w:val="en-US" w:eastAsia="zh-CN"/>
                    </w:rPr>
                  </w:pPr>
                </w:p>
              </w:tc>
              <w:tc>
                <w:tcPr>
                  <w:tcW w:w="1311" w:type="dxa"/>
                  <w:vMerge w:val="continue"/>
                  <w:vAlign w:val="center"/>
                </w:tcPr>
                <w:p w14:paraId="74BCB30D">
                  <w:pPr>
                    <w:pStyle w:val="34"/>
                    <w:bidi w:val="0"/>
                    <w:ind w:firstLine="0" w:firstLineChars="0"/>
                    <w:rPr>
                      <w:rFonts w:hint="eastAsia"/>
                      <w:color w:val="auto"/>
                      <w:highlight w:val="none"/>
                      <w:lang w:val="en-US" w:eastAsia="zh-CN"/>
                    </w:rPr>
                  </w:pPr>
                </w:p>
              </w:tc>
            </w:tr>
            <w:tr w14:paraId="25E3ED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vMerge w:val="continue"/>
                  <w:vAlign w:val="center"/>
                </w:tcPr>
                <w:p w14:paraId="4F936C3B">
                  <w:pPr>
                    <w:pStyle w:val="46"/>
                    <w:bidi w:val="0"/>
                    <w:rPr>
                      <w:rFonts w:hint="eastAsia"/>
                      <w:color w:val="auto"/>
                      <w:sz w:val="21"/>
                      <w:szCs w:val="21"/>
                      <w:highlight w:val="none"/>
                      <w:lang w:val="en-US" w:eastAsia="zh-CN"/>
                    </w:rPr>
                  </w:pPr>
                </w:p>
              </w:tc>
              <w:tc>
                <w:tcPr>
                  <w:tcW w:w="1310" w:type="dxa"/>
                  <w:vAlign w:val="center"/>
                </w:tcPr>
                <w:p w14:paraId="3796B8A5">
                  <w:pPr>
                    <w:pStyle w:val="34"/>
                    <w:bidi w:val="0"/>
                    <w:ind w:firstLine="0" w:firstLineChars="0"/>
                    <w:rPr>
                      <w:rFonts w:hint="eastAsia"/>
                      <w:color w:val="auto"/>
                      <w:highlight w:val="none"/>
                      <w:lang w:val="en-US" w:eastAsia="zh-CN"/>
                    </w:rPr>
                  </w:pPr>
                  <w:r>
                    <w:rPr>
                      <w:rFonts w:hint="eastAsia"/>
                      <w:color w:val="auto"/>
                      <w:highlight w:val="none"/>
                      <w:lang w:val="en-US" w:eastAsia="zh-CN"/>
                    </w:rPr>
                    <w:t>砂子</w:t>
                  </w:r>
                </w:p>
              </w:tc>
              <w:tc>
                <w:tcPr>
                  <w:tcW w:w="1310" w:type="dxa"/>
                  <w:vAlign w:val="center"/>
                </w:tcPr>
                <w:p w14:paraId="44456796">
                  <w:pPr>
                    <w:pStyle w:val="34"/>
                    <w:bidi w:val="0"/>
                    <w:ind w:firstLine="0" w:firstLineChars="0"/>
                    <w:rPr>
                      <w:rFonts w:hint="eastAsia"/>
                      <w:color w:val="auto"/>
                      <w:highlight w:val="none"/>
                      <w:lang w:val="en-US" w:eastAsia="zh-CN"/>
                    </w:rPr>
                  </w:pPr>
                  <w:r>
                    <w:rPr>
                      <w:rFonts w:hint="eastAsia"/>
                      <w:color w:val="auto"/>
                      <w:highlight w:val="none"/>
                      <w:lang w:val="en-US" w:eastAsia="zh-CN"/>
                    </w:rPr>
                    <w:t>40500</w:t>
                  </w:r>
                </w:p>
              </w:tc>
              <w:tc>
                <w:tcPr>
                  <w:tcW w:w="1310" w:type="dxa"/>
                  <w:vMerge w:val="continue"/>
                  <w:vAlign w:val="center"/>
                </w:tcPr>
                <w:p w14:paraId="5BB6E6BD">
                  <w:pPr>
                    <w:pStyle w:val="46"/>
                    <w:bidi w:val="0"/>
                    <w:rPr>
                      <w:rFonts w:hint="eastAsia"/>
                      <w:color w:val="auto"/>
                      <w:sz w:val="21"/>
                      <w:szCs w:val="21"/>
                      <w:highlight w:val="none"/>
                      <w:lang w:val="en-US" w:eastAsia="zh-CN"/>
                    </w:rPr>
                  </w:pPr>
                </w:p>
              </w:tc>
              <w:tc>
                <w:tcPr>
                  <w:tcW w:w="1310" w:type="dxa"/>
                  <w:vMerge w:val="continue"/>
                  <w:vAlign w:val="center"/>
                </w:tcPr>
                <w:p w14:paraId="5BB4E3D4">
                  <w:pPr>
                    <w:pStyle w:val="34"/>
                    <w:bidi w:val="0"/>
                    <w:ind w:firstLine="0" w:firstLineChars="0"/>
                    <w:rPr>
                      <w:rFonts w:hint="eastAsia"/>
                      <w:color w:val="auto"/>
                      <w:highlight w:val="none"/>
                      <w:lang w:val="en-US" w:eastAsia="zh-CN"/>
                    </w:rPr>
                  </w:pPr>
                </w:p>
              </w:tc>
              <w:tc>
                <w:tcPr>
                  <w:tcW w:w="1311" w:type="dxa"/>
                  <w:vMerge w:val="continue"/>
                  <w:vAlign w:val="center"/>
                </w:tcPr>
                <w:p w14:paraId="7E8B6CD9">
                  <w:pPr>
                    <w:pStyle w:val="34"/>
                    <w:bidi w:val="0"/>
                    <w:ind w:firstLine="0" w:firstLineChars="0"/>
                    <w:rPr>
                      <w:rFonts w:hint="eastAsia"/>
                      <w:color w:val="auto"/>
                      <w:highlight w:val="none"/>
                      <w:lang w:val="en-US" w:eastAsia="zh-CN"/>
                    </w:rPr>
                  </w:pPr>
                </w:p>
              </w:tc>
            </w:tr>
            <w:tr w14:paraId="3CC60C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vMerge w:val="continue"/>
                  <w:vAlign w:val="center"/>
                </w:tcPr>
                <w:p w14:paraId="60026E32">
                  <w:pPr>
                    <w:pStyle w:val="46"/>
                    <w:bidi w:val="0"/>
                    <w:rPr>
                      <w:rFonts w:hint="eastAsia"/>
                      <w:color w:val="auto"/>
                      <w:sz w:val="21"/>
                      <w:szCs w:val="21"/>
                      <w:highlight w:val="none"/>
                      <w:lang w:val="en-US" w:eastAsia="zh-CN"/>
                    </w:rPr>
                  </w:pPr>
                </w:p>
              </w:tc>
              <w:tc>
                <w:tcPr>
                  <w:tcW w:w="1310" w:type="dxa"/>
                  <w:vAlign w:val="center"/>
                </w:tcPr>
                <w:p w14:paraId="5A86CF5E">
                  <w:pPr>
                    <w:pStyle w:val="34"/>
                    <w:bidi w:val="0"/>
                    <w:ind w:firstLine="0" w:firstLineChars="0"/>
                    <w:rPr>
                      <w:rFonts w:hint="eastAsia"/>
                      <w:color w:val="auto"/>
                      <w:highlight w:val="none"/>
                      <w:lang w:val="en-US" w:eastAsia="zh-CN"/>
                    </w:rPr>
                  </w:pPr>
                  <w:r>
                    <w:rPr>
                      <w:rFonts w:hint="eastAsia"/>
                      <w:color w:val="auto"/>
                      <w:highlight w:val="none"/>
                      <w:lang w:val="en-US" w:eastAsia="zh-CN"/>
                    </w:rPr>
                    <w:t>石子</w:t>
                  </w:r>
                </w:p>
              </w:tc>
              <w:tc>
                <w:tcPr>
                  <w:tcW w:w="1310" w:type="dxa"/>
                  <w:vAlign w:val="center"/>
                </w:tcPr>
                <w:p w14:paraId="466113F7">
                  <w:pPr>
                    <w:pStyle w:val="34"/>
                    <w:bidi w:val="0"/>
                    <w:ind w:firstLine="0" w:firstLineChars="0"/>
                    <w:rPr>
                      <w:rFonts w:hint="eastAsia"/>
                      <w:color w:val="auto"/>
                      <w:highlight w:val="none"/>
                      <w:lang w:val="en-US" w:eastAsia="zh-CN"/>
                    </w:rPr>
                  </w:pPr>
                  <w:r>
                    <w:rPr>
                      <w:rFonts w:hint="eastAsia"/>
                      <w:color w:val="auto"/>
                      <w:highlight w:val="none"/>
                      <w:lang w:val="en-US" w:eastAsia="zh-CN"/>
                    </w:rPr>
                    <w:t>55000</w:t>
                  </w:r>
                </w:p>
              </w:tc>
              <w:tc>
                <w:tcPr>
                  <w:tcW w:w="1310" w:type="dxa"/>
                  <w:vMerge w:val="continue"/>
                  <w:vAlign w:val="center"/>
                </w:tcPr>
                <w:p w14:paraId="69D4A992">
                  <w:pPr>
                    <w:pStyle w:val="46"/>
                    <w:bidi w:val="0"/>
                    <w:rPr>
                      <w:rFonts w:hint="eastAsia"/>
                      <w:color w:val="auto"/>
                      <w:sz w:val="21"/>
                      <w:szCs w:val="21"/>
                      <w:highlight w:val="none"/>
                      <w:lang w:val="en-US" w:eastAsia="zh-CN"/>
                    </w:rPr>
                  </w:pPr>
                </w:p>
              </w:tc>
              <w:tc>
                <w:tcPr>
                  <w:tcW w:w="1310" w:type="dxa"/>
                  <w:vMerge w:val="continue"/>
                  <w:vAlign w:val="center"/>
                </w:tcPr>
                <w:p w14:paraId="1209F51C">
                  <w:pPr>
                    <w:pStyle w:val="34"/>
                    <w:bidi w:val="0"/>
                    <w:ind w:firstLine="0" w:firstLineChars="0"/>
                    <w:rPr>
                      <w:rFonts w:hint="eastAsia"/>
                      <w:color w:val="auto"/>
                      <w:highlight w:val="none"/>
                      <w:lang w:val="en-US" w:eastAsia="zh-CN"/>
                    </w:rPr>
                  </w:pPr>
                </w:p>
              </w:tc>
              <w:tc>
                <w:tcPr>
                  <w:tcW w:w="1311" w:type="dxa"/>
                  <w:vMerge w:val="continue"/>
                  <w:vAlign w:val="center"/>
                </w:tcPr>
                <w:p w14:paraId="6F8BB329">
                  <w:pPr>
                    <w:pStyle w:val="34"/>
                    <w:bidi w:val="0"/>
                    <w:ind w:firstLine="0" w:firstLineChars="0"/>
                    <w:rPr>
                      <w:rFonts w:hint="eastAsia"/>
                      <w:color w:val="auto"/>
                      <w:highlight w:val="none"/>
                      <w:lang w:val="en-US" w:eastAsia="zh-CN"/>
                    </w:rPr>
                  </w:pPr>
                </w:p>
              </w:tc>
            </w:tr>
            <w:tr w14:paraId="7A3D27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vMerge w:val="continue"/>
                  <w:shd w:val="clear" w:color="auto" w:fill="auto"/>
                  <w:vAlign w:val="center"/>
                </w:tcPr>
                <w:p w14:paraId="3B74167E">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p>
              </w:tc>
              <w:tc>
                <w:tcPr>
                  <w:tcW w:w="1310" w:type="dxa"/>
                  <w:vAlign w:val="center"/>
                </w:tcPr>
                <w:p w14:paraId="6209DAA5">
                  <w:pPr>
                    <w:pStyle w:val="34"/>
                    <w:bidi w:val="0"/>
                    <w:ind w:firstLine="0" w:firstLineChars="0"/>
                    <w:rPr>
                      <w:rFonts w:hint="default"/>
                      <w:color w:val="auto"/>
                      <w:sz w:val="21"/>
                      <w:szCs w:val="21"/>
                      <w:highlight w:val="none"/>
                      <w:lang w:val="en-US" w:eastAsia="zh-CN"/>
                    </w:rPr>
                  </w:pPr>
                  <w:r>
                    <w:rPr>
                      <w:rFonts w:hint="eastAsia"/>
                      <w:color w:val="auto"/>
                      <w:highlight w:val="none"/>
                      <w:lang w:val="en-US" w:eastAsia="zh-CN"/>
                    </w:rPr>
                    <w:t>水</w:t>
                  </w:r>
                </w:p>
              </w:tc>
              <w:tc>
                <w:tcPr>
                  <w:tcW w:w="1310" w:type="dxa"/>
                  <w:vAlign w:val="center"/>
                </w:tcPr>
                <w:p w14:paraId="3CED0875">
                  <w:pPr>
                    <w:pStyle w:val="34"/>
                    <w:bidi w:val="0"/>
                    <w:ind w:firstLine="0" w:firstLineChars="0"/>
                    <w:rPr>
                      <w:rFonts w:hint="eastAsia"/>
                      <w:color w:val="auto"/>
                      <w:sz w:val="21"/>
                      <w:szCs w:val="21"/>
                      <w:highlight w:val="none"/>
                      <w:lang w:val="en-US" w:eastAsia="zh-CN"/>
                    </w:rPr>
                  </w:pPr>
                  <w:r>
                    <w:rPr>
                      <w:rFonts w:hint="eastAsia"/>
                      <w:color w:val="auto"/>
                      <w:highlight w:val="none"/>
                      <w:lang w:val="en-US" w:eastAsia="zh-CN"/>
                    </w:rPr>
                    <w:t>6500</w:t>
                  </w:r>
                </w:p>
              </w:tc>
              <w:tc>
                <w:tcPr>
                  <w:tcW w:w="1310" w:type="dxa"/>
                  <w:vMerge w:val="continue"/>
                  <w:vAlign w:val="center"/>
                </w:tcPr>
                <w:p w14:paraId="77673762">
                  <w:pPr>
                    <w:pStyle w:val="46"/>
                    <w:bidi w:val="0"/>
                    <w:rPr>
                      <w:rFonts w:hint="eastAsia"/>
                      <w:color w:val="auto"/>
                      <w:sz w:val="21"/>
                      <w:szCs w:val="21"/>
                      <w:highlight w:val="none"/>
                      <w:lang w:eastAsia="zh-CN"/>
                    </w:rPr>
                  </w:pPr>
                </w:p>
              </w:tc>
              <w:tc>
                <w:tcPr>
                  <w:tcW w:w="1310" w:type="dxa"/>
                  <w:vMerge w:val="continue"/>
                  <w:vAlign w:val="center"/>
                </w:tcPr>
                <w:p w14:paraId="0036D3F3">
                  <w:pPr>
                    <w:pStyle w:val="34"/>
                    <w:bidi w:val="0"/>
                    <w:ind w:firstLine="0" w:firstLineChars="0"/>
                    <w:rPr>
                      <w:rFonts w:hint="default"/>
                      <w:color w:val="auto"/>
                      <w:sz w:val="21"/>
                      <w:szCs w:val="21"/>
                      <w:highlight w:val="none"/>
                      <w:lang w:val="en-US" w:eastAsia="zh-CN"/>
                    </w:rPr>
                  </w:pPr>
                </w:p>
              </w:tc>
              <w:tc>
                <w:tcPr>
                  <w:tcW w:w="1311" w:type="dxa"/>
                  <w:vMerge w:val="continue"/>
                  <w:vAlign w:val="center"/>
                </w:tcPr>
                <w:p w14:paraId="54A71FBE">
                  <w:pPr>
                    <w:pStyle w:val="34"/>
                    <w:bidi w:val="0"/>
                    <w:ind w:firstLine="0" w:firstLineChars="0"/>
                    <w:rPr>
                      <w:rFonts w:hint="default"/>
                      <w:color w:val="auto"/>
                      <w:highlight w:val="none"/>
                      <w:lang w:val="en-US" w:eastAsia="zh-CN"/>
                    </w:rPr>
                  </w:pPr>
                </w:p>
              </w:tc>
            </w:tr>
            <w:tr w14:paraId="1036D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vMerge w:val="continue"/>
                  <w:vAlign w:val="center"/>
                </w:tcPr>
                <w:p w14:paraId="6C2A2101">
                  <w:pPr>
                    <w:pStyle w:val="46"/>
                    <w:bidi w:val="0"/>
                    <w:rPr>
                      <w:rFonts w:hint="eastAsia"/>
                      <w:color w:val="auto"/>
                      <w:sz w:val="21"/>
                      <w:szCs w:val="21"/>
                      <w:highlight w:val="none"/>
                      <w:lang w:eastAsia="zh-CN"/>
                    </w:rPr>
                  </w:pPr>
                </w:p>
              </w:tc>
              <w:tc>
                <w:tcPr>
                  <w:tcW w:w="1310" w:type="dxa"/>
                  <w:vAlign w:val="center"/>
                </w:tcPr>
                <w:p w14:paraId="4F46DEED">
                  <w:pPr>
                    <w:pStyle w:val="34"/>
                    <w:bidi w:val="0"/>
                    <w:ind w:firstLine="0" w:firstLineChars="0"/>
                    <w:rPr>
                      <w:rFonts w:hint="eastAsia"/>
                      <w:color w:val="auto"/>
                      <w:sz w:val="21"/>
                      <w:szCs w:val="21"/>
                      <w:highlight w:val="none"/>
                      <w:lang w:eastAsia="zh-CN"/>
                    </w:rPr>
                  </w:pPr>
                  <w:r>
                    <w:rPr>
                      <w:rFonts w:hint="eastAsia"/>
                      <w:color w:val="auto"/>
                      <w:highlight w:val="none"/>
                      <w:lang w:val="en-US" w:eastAsia="zh-CN"/>
                    </w:rPr>
                    <w:t>外加剂</w:t>
                  </w:r>
                </w:p>
              </w:tc>
              <w:tc>
                <w:tcPr>
                  <w:tcW w:w="1310" w:type="dxa"/>
                  <w:vAlign w:val="center"/>
                </w:tcPr>
                <w:p w14:paraId="125606F5">
                  <w:pPr>
                    <w:pStyle w:val="34"/>
                    <w:bidi w:val="0"/>
                    <w:ind w:firstLine="0" w:firstLineChars="0"/>
                    <w:rPr>
                      <w:rFonts w:hint="eastAsia"/>
                      <w:color w:val="auto"/>
                      <w:sz w:val="21"/>
                      <w:szCs w:val="21"/>
                      <w:highlight w:val="none"/>
                      <w:lang w:eastAsia="zh-CN"/>
                    </w:rPr>
                  </w:pPr>
                  <w:r>
                    <w:rPr>
                      <w:rFonts w:hint="eastAsia"/>
                      <w:color w:val="auto"/>
                      <w:highlight w:val="none"/>
                      <w:lang w:val="en-US" w:eastAsia="zh-CN"/>
                    </w:rPr>
                    <w:t>500</w:t>
                  </w:r>
                </w:p>
              </w:tc>
              <w:tc>
                <w:tcPr>
                  <w:tcW w:w="1310" w:type="dxa"/>
                  <w:vMerge w:val="continue"/>
                  <w:vAlign w:val="center"/>
                </w:tcPr>
                <w:p w14:paraId="1E5CA3B6">
                  <w:pPr>
                    <w:pStyle w:val="46"/>
                    <w:bidi w:val="0"/>
                    <w:rPr>
                      <w:rFonts w:hint="eastAsia"/>
                      <w:color w:val="auto"/>
                      <w:sz w:val="21"/>
                      <w:szCs w:val="21"/>
                      <w:highlight w:val="none"/>
                      <w:lang w:eastAsia="zh-CN"/>
                    </w:rPr>
                  </w:pPr>
                </w:p>
              </w:tc>
              <w:tc>
                <w:tcPr>
                  <w:tcW w:w="1310" w:type="dxa"/>
                  <w:vMerge w:val="continue"/>
                  <w:vAlign w:val="center"/>
                </w:tcPr>
                <w:p w14:paraId="325DEAA2">
                  <w:pPr>
                    <w:pStyle w:val="34"/>
                    <w:bidi w:val="0"/>
                    <w:ind w:firstLine="0" w:firstLineChars="0"/>
                    <w:rPr>
                      <w:rFonts w:hint="default"/>
                      <w:color w:val="auto"/>
                      <w:sz w:val="21"/>
                      <w:szCs w:val="21"/>
                      <w:highlight w:val="none"/>
                      <w:lang w:val="en-US" w:eastAsia="zh-CN"/>
                    </w:rPr>
                  </w:pPr>
                </w:p>
              </w:tc>
              <w:tc>
                <w:tcPr>
                  <w:tcW w:w="1311" w:type="dxa"/>
                  <w:vMerge w:val="continue"/>
                  <w:vAlign w:val="center"/>
                </w:tcPr>
                <w:p w14:paraId="4E766D48">
                  <w:pPr>
                    <w:pStyle w:val="34"/>
                    <w:bidi w:val="0"/>
                    <w:rPr>
                      <w:rFonts w:hint="default"/>
                      <w:color w:val="auto"/>
                      <w:highlight w:val="none"/>
                      <w:lang w:val="en-US" w:eastAsia="zh-CN"/>
                    </w:rPr>
                  </w:pPr>
                </w:p>
              </w:tc>
            </w:tr>
            <w:tr w14:paraId="21946D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vMerge w:val="continue"/>
                  <w:vAlign w:val="center"/>
                </w:tcPr>
                <w:p w14:paraId="2F1BDF1C">
                  <w:pPr>
                    <w:pStyle w:val="46"/>
                    <w:bidi w:val="0"/>
                    <w:rPr>
                      <w:rFonts w:hint="eastAsia"/>
                      <w:color w:val="auto"/>
                      <w:sz w:val="21"/>
                      <w:szCs w:val="21"/>
                      <w:highlight w:val="none"/>
                      <w:lang w:eastAsia="zh-CN"/>
                    </w:rPr>
                  </w:pPr>
                </w:p>
              </w:tc>
              <w:tc>
                <w:tcPr>
                  <w:tcW w:w="2620" w:type="dxa"/>
                  <w:gridSpan w:val="2"/>
                  <w:vMerge w:val="restart"/>
                  <w:vAlign w:val="center"/>
                </w:tcPr>
                <w:p w14:paraId="4998A2D4">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1310" w:type="dxa"/>
                  <w:vMerge w:val="restart"/>
                  <w:vAlign w:val="center"/>
                </w:tcPr>
                <w:p w14:paraId="57D63BFB">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损耗</w:t>
                  </w:r>
                </w:p>
              </w:tc>
              <w:tc>
                <w:tcPr>
                  <w:tcW w:w="1310" w:type="dxa"/>
                  <w:shd w:val="clear" w:color="auto" w:fill="auto"/>
                  <w:vAlign w:val="center"/>
                </w:tcPr>
                <w:p w14:paraId="549178D7">
                  <w:pPr>
                    <w:pStyle w:val="46"/>
                    <w:bidi w:val="0"/>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无组织粉尘</w:t>
                  </w:r>
                </w:p>
              </w:tc>
              <w:tc>
                <w:tcPr>
                  <w:tcW w:w="1311" w:type="dxa"/>
                  <w:shd w:val="clear" w:color="auto" w:fill="auto"/>
                  <w:vAlign w:val="center"/>
                </w:tcPr>
                <w:p w14:paraId="48064EF5">
                  <w:pPr>
                    <w:pStyle w:val="46"/>
                    <w:bidi w:val="0"/>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0.95</w:t>
                  </w:r>
                </w:p>
              </w:tc>
            </w:tr>
            <w:tr w14:paraId="7442D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vMerge w:val="continue"/>
                  <w:vAlign w:val="center"/>
                </w:tcPr>
                <w:p w14:paraId="4A1D511C">
                  <w:pPr>
                    <w:pStyle w:val="46"/>
                    <w:bidi w:val="0"/>
                    <w:rPr>
                      <w:rFonts w:hint="eastAsia"/>
                      <w:color w:val="auto"/>
                      <w:sz w:val="21"/>
                      <w:szCs w:val="21"/>
                      <w:highlight w:val="none"/>
                      <w:lang w:eastAsia="zh-CN"/>
                    </w:rPr>
                  </w:pPr>
                </w:p>
              </w:tc>
              <w:tc>
                <w:tcPr>
                  <w:tcW w:w="2620" w:type="dxa"/>
                  <w:gridSpan w:val="2"/>
                  <w:vMerge w:val="continue"/>
                  <w:vAlign w:val="center"/>
                </w:tcPr>
                <w:p w14:paraId="448F9C6C">
                  <w:pPr>
                    <w:pStyle w:val="46"/>
                    <w:bidi w:val="0"/>
                    <w:rPr>
                      <w:rFonts w:hint="eastAsia"/>
                      <w:color w:val="auto"/>
                      <w:sz w:val="21"/>
                      <w:szCs w:val="21"/>
                      <w:highlight w:val="none"/>
                      <w:lang w:val="en-US" w:eastAsia="zh-CN"/>
                    </w:rPr>
                  </w:pPr>
                </w:p>
              </w:tc>
              <w:tc>
                <w:tcPr>
                  <w:tcW w:w="1310" w:type="dxa"/>
                  <w:vMerge w:val="continue"/>
                  <w:vAlign w:val="center"/>
                </w:tcPr>
                <w:p w14:paraId="722840C9">
                  <w:pPr>
                    <w:pStyle w:val="46"/>
                    <w:bidi w:val="0"/>
                    <w:rPr>
                      <w:rFonts w:hint="eastAsia"/>
                      <w:color w:val="auto"/>
                      <w:sz w:val="21"/>
                      <w:szCs w:val="21"/>
                      <w:highlight w:val="none"/>
                      <w:lang w:val="en-US" w:eastAsia="zh-CN"/>
                    </w:rPr>
                  </w:pPr>
                </w:p>
              </w:tc>
              <w:tc>
                <w:tcPr>
                  <w:tcW w:w="1310" w:type="dxa"/>
                  <w:shd w:val="clear" w:color="auto" w:fill="auto"/>
                  <w:vAlign w:val="center"/>
                </w:tcPr>
                <w:p w14:paraId="36723AC6">
                  <w:pPr>
                    <w:pStyle w:val="46"/>
                    <w:bidi w:val="0"/>
                    <w:ind w:left="0" w:leftChars="0" w:firstLine="0" w:firstLineChars="0"/>
                    <w:rPr>
                      <w:rFonts w:hint="default" w:eastAsia="宋体"/>
                      <w:color w:val="auto"/>
                      <w:highlight w:val="none"/>
                      <w:lang w:val="en-US" w:eastAsia="zh-CN"/>
                    </w:rPr>
                  </w:pPr>
                  <w:r>
                    <w:rPr>
                      <w:rFonts w:hint="eastAsia"/>
                      <w:color w:val="auto"/>
                      <w:highlight w:val="none"/>
                      <w:lang w:val="en-US" w:eastAsia="zh-CN"/>
                    </w:rPr>
                    <w:t>实验室废料</w:t>
                  </w:r>
                </w:p>
              </w:tc>
              <w:tc>
                <w:tcPr>
                  <w:tcW w:w="1311" w:type="dxa"/>
                  <w:shd w:val="clear" w:color="auto" w:fill="auto"/>
                  <w:vAlign w:val="center"/>
                </w:tcPr>
                <w:p w14:paraId="102DB5C9">
                  <w:pPr>
                    <w:pStyle w:val="46"/>
                    <w:bidi w:val="0"/>
                    <w:ind w:left="0" w:leftChars="0"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1.5</w:t>
                  </w:r>
                </w:p>
              </w:tc>
            </w:tr>
            <w:tr w14:paraId="04A9A8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2" w:type="dxa"/>
                  <w:vAlign w:val="center"/>
                </w:tcPr>
                <w:p w14:paraId="14BA1669">
                  <w:pPr>
                    <w:pStyle w:val="46"/>
                    <w:bidi w:val="0"/>
                    <w:ind w:left="0" w:leftChars="0" w:firstLine="0" w:firstLineChars="0"/>
                    <w:rPr>
                      <w:rFonts w:hint="eastAsia"/>
                      <w:color w:val="auto"/>
                      <w:sz w:val="21"/>
                      <w:szCs w:val="21"/>
                      <w:highlight w:val="none"/>
                      <w:lang w:eastAsia="zh-CN"/>
                    </w:rPr>
                  </w:pPr>
                  <w:r>
                    <w:rPr>
                      <w:rFonts w:hint="eastAsia"/>
                      <w:color w:val="auto"/>
                      <w:sz w:val="21"/>
                      <w:szCs w:val="21"/>
                      <w:highlight w:val="none"/>
                      <w:lang w:val="en-US" w:eastAsia="zh-CN"/>
                    </w:rPr>
                    <w:t>合计</w:t>
                  </w:r>
                </w:p>
              </w:tc>
              <w:tc>
                <w:tcPr>
                  <w:tcW w:w="2620" w:type="dxa"/>
                  <w:gridSpan w:val="2"/>
                  <w:vAlign w:val="center"/>
                </w:tcPr>
                <w:p w14:paraId="3830AC15">
                  <w:pPr>
                    <w:pStyle w:val="46"/>
                    <w:bidi w:val="0"/>
                    <w:ind w:left="0" w:leftChars="0"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123500</w:t>
                  </w:r>
                </w:p>
              </w:tc>
              <w:tc>
                <w:tcPr>
                  <w:tcW w:w="1310" w:type="dxa"/>
                  <w:vAlign w:val="center"/>
                </w:tcPr>
                <w:p w14:paraId="7363BC0D">
                  <w:pPr>
                    <w:pStyle w:val="46"/>
                    <w:bidi w:val="0"/>
                    <w:ind w:left="0" w:leftChars="0" w:firstLine="0" w:firstLineChars="0"/>
                    <w:rPr>
                      <w:rFonts w:hint="eastAsia"/>
                      <w:color w:val="auto"/>
                      <w:sz w:val="21"/>
                      <w:szCs w:val="21"/>
                      <w:highlight w:val="none"/>
                      <w:lang w:eastAsia="zh-CN"/>
                    </w:rPr>
                  </w:pPr>
                  <w:r>
                    <w:rPr>
                      <w:rFonts w:hint="eastAsia"/>
                      <w:color w:val="auto"/>
                      <w:sz w:val="21"/>
                      <w:szCs w:val="21"/>
                      <w:highlight w:val="none"/>
                      <w:lang w:val="en-US" w:eastAsia="zh-CN"/>
                    </w:rPr>
                    <w:t>/</w:t>
                  </w:r>
                </w:p>
              </w:tc>
              <w:tc>
                <w:tcPr>
                  <w:tcW w:w="1310" w:type="dxa"/>
                  <w:vAlign w:val="center"/>
                </w:tcPr>
                <w:p w14:paraId="5FA4BC7C">
                  <w:pPr>
                    <w:pStyle w:val="46"/>
                    <w:bidi w:val="0"/>
                    <w:ind w:left="0" w:leftChars="0" w:firstLine="0" w:firstLineChars="0"/>
                    <w:rPr>
                      <w:rFonts w:hint="eastAsia"/>
                      <w:color w:val="auto"/>
                      <w:highlight w:val="none"/>
                      <w:lang w:val="en-US" w:eastAsia="zh-CN"/>
                    </w:rPr>
                  </w:pPr>
                  <w:r>
                    <w:rPr>
                      <w:rFonts w:hint="eastAsia"/>
                      <w:color w:val="auto"/>
                      <w:sz w:val="21"/>
                      <w:szCs w:val="21"/>
                      <w:highlight w:val="none"/>
                      <w:lang w:val="en-US" w:eastAsia="zh-CN"/>
                    </w:rPr>
                    <w:t>/</w:t>
                  </w:r>
                </w:p>
              </w:tc>
              <w:tc>
                <w:tcPr>
                  <w:tcW w:w="1311" w:type="dxa"/>
                  <w:shd w:val="clear" w:color="auto" w:fill="auto"/>
                  <w:vAlign w:val="center"/>
                </w:tcPr>
                <w:p w14:paraId="60C304E6">
                  <w:pPr>
                    <w:pStyle w:val="46"/>
                    <w:bidi w:val="0"/>
                    <w:ind w:left="0" w:leftChars="0" w:firstLine="0" w:firstLineChars="0"/>
                    <w:rPr>
                      <w:rFonts w:hint="default"/>
                      <w:color w:val="auto"/>
                      <w:highlight w:val="none"/>
                      <w:lang w:val="en-US" w:eastAsia="zh-CN"/>
                    </w:rPr>
                  </w:pPr>
                  <w:r>
                    <w:rPr>
                      <w:rFonts w:hint="eastAsia"/>
                      <w:color w:val="auto"/>
                      <w:sz w:val="21"/>
                      <w:szCs w:val="21"/>
                      <w:highlight w:val="none"/>
                      <w:lang w:val="en-US" w:eastAsia="zh-CN"/>
                    </w:rPr>
                    <w:t>123500</w:t>
                  </w:r>
                </w:p>
              </w:tc>
            </w:tr>
          </w:tbl>
          <w:p w14:paraId="3A5DE3E8">
            <w:pPr>
              <w:pStyle w:val="30"/>
              <w:bidi w:val="0"/>
              <w:rPr>
                <w:rFonts w:hint="eastAsia"/>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color w:val="auto"/>
                <w:highlight w:val="none"/>
              </w:rPr>
              <w:t>原辅料的理化性质</w:t>
            </w:r>
            <w:r>
              <w:rPr>
                <w:rFonts w:hint="eastAsia"/>
                <w:color w:val="auto"/>
                <w:highlight w:val="none"/>
              </w:rPr>
              <w:t>：</w:t>
            </w:r>
          </w:p>
          <w:p w14:paraId="75FF0BE4">
            <w:pPr>
              <w:pStyle w:val="31"/>
              <w:bidi w:val="0"/>
              <w:rPr>
                <w:rFonts w:hint="eastAsia"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水泥：水泥品种是以水泥的性能为依据划分的。我国常用的水泥都是硅酸盐系列水泥，主要是通过调整硅酸盐水泥熟料，合理掺入不同品种、不同数量的混合材料而划分的。硅酸盐水泥熟料中主要矿物有硅酸三钙、硅酸二钙、铝酸三钙和铁铝酸四钙四种。水泥的性质主要由熟料的矿物组成和矿物结构、混合材料的质量和数量、石膏掺量、粉磨细度等决定的。所以不同生产厂和不同生产方式的水泥，其性质是不同的</w:t>
            </w:r>
          </w:p>
          <w:p w14:paraId="56AC7FA3">
            <w:pPr>
              <w:pStyle w:val="31"/>
              <w:bidi w:val="0"/>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2）砂：</w:t>
            </w:r>
            <w:r>
              <w:rPr>
                <w:rFonts w:hint="eastAsia"/>
                <w:color w:val="auto"/>
                <w:highlight w:val="none"/>
                <w:lang w:val="en-US" w:eastAsia="zh-CN"/>
              </w:rPr>
              <w:t>主要为</w:t>
            </w:r>
            <w:r>
              <w:rPr>
                <w:rFonts w:hint="default"/>
                <w:color w:val="auto"/>
                <w:highlight w:val="none"/>
                <w:lang w:val="en-US" w:eastAsia="zh-CN"/>
              </w:rPr>
              <w:t>SiO</w:t>
            </w:r>
            <w:r>
              <w:rPr>
                <w:rFonts w:hint="default"/>
                <w:color w:val="auto"/>
                <w:highlight w:val="none"/>
                <w:vertAlign w:val="subscript"/>
                <w:lang w:val="en-US" w:eastAsia="zh-CN"/>
              </w:rPr>
              <w:t>2</w:t>
            </w:r>
            <w:r>
              <w:rPr>
                <w:rFonts w:hint="eastAsia"/>
                <w:color w:val="auto"/>
                <w:highlight w:val="none"/>
                <w:lang w:val="en-US" w:eastAsia="zh-CN"/>
              </w:rPr>
              <w:t>，多为人工制造，或是人工从某些石块上打磨下来的，颗粒相对更大一些，饱满感更强一些，拿在手中能清晰地感觉到有颗粒存在。砂砾在混凝土中，能同水泥分子相结合，增加水泥分子的扩散面积，形成水泥浆后，增强水泥的水化作用可填充石子颗粒间的空隙，与石子一起共同起到骨架作用，提高混凝土的密实性和强度并具有一定的润滑作用，改善混凝土拌合物的和易性，在水泥水化过程中，有效地降低水泥水化热，抑制水泥因物理、化学反应体积变化时裂缝的产生。</w:t>
            </w:r>
          </w:p>
          <w:p w14:paraId="1AFBFDBF">
            <w:pPr>
              <w:pStyle w:val="31"/>
              <w:bidi w:val="0"/>
              <w:rPr>
                <w:rFonts w:hint="eastAsia"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3）粉煤灰：是从煤燃烧后的烟气中收捕下来的细灰，粉煤灰是燃煤电厂排出的主要固体废物。我国火电厂粉煤灰的主要氧化物组成为：SiO</w:t>
            </w:r>
            <w:r>
              <w:rPr>
                <w:rFonts w:hint="eastAsia" w:ascii="Times New Roman" w:hAnsi="Times New Roman" w:eastAsia="宋体"/>
                <w:color w:val="auto"/>
                <w:highlight w:val="none"/>
                <w:vertAlign w:val="subscript"/>
                <w:lang w:val="en-US" w:eastAsia="zh-CN"/>
              </w:rPr>
              <w:t>2</w:t>
            </w:r>
            <w:r>
              <w:rPr>
                <w:rFonts w:hint="eastAsia" w:ascii="Times New Roman" w:hAnsi="Times New Roman" w:eastAsia="宋体"/>
                <w:color w:val="auto"/>
                <w:highlight w:val="none"/>
                <w:lang w:val="en-US" w:eastAsia="zh-CN"/>
              </w:rPr>
              <w:t>、Al</w:t>
            </w:r>
            <w:r>
              <w:rPr>
                <w:rFonts w:hint="eastAsia" w:ascii="Times New Roman" w:hAnsi="Times New Roman" w:eastAsia="宋体"/>
                <w:color w:val="auto"/>
                <w:highlight w:val="none"/>
                <w:vertAlign w:val="subscript"/>
                <w:lang w:val="en-US" w:eastAsia="zh-CN"/>
              </w:rPr>
              <w:t>2</w:t>
            </w:r>
            <w:r>
              <w:rPr>
                <w:rFonts w:hint="eastAsia" w:ascii="Times New Roman" w:hAnsi="Times New Roman" w:eastAsia="宋体"/>
                <w:color w:val="auto"/>
                <w:highlight w:val="none"/>
                <w:lang w:val="en-US" w:eastAsia="zh-CN"/>
              </w:rPr>
              <w:t>O</w:t>
            </w:r>
            <w:r>
              <w:rPr>
                <w:rFonts w:hint="eastAsia" w:ascii="Times New Roman" w:hAnsi="Times New Roman" w:eastAsia="宋体"/>
                <w:color w:val="auto"/>
                <w:highlight w:val="none"/>
                <w:vertAlign w:val="subscript"/>
                <w:lang w:val="en-US" w:eastAsia="zh-CN"/>
              </w:rPr>
              <w:t>3</w:t>
            </w:r>
            <w:r>
              <w:rPr>
                <w:rFonts w:hint="eastAsia" w:ascii="Times New Roman" w:hAnsi="Times New Roman" w:eastAsia="宋体"/>
                <w:color w:val="auto"/>
                <w:highlight w:val="none"/>
                <w:lang w:val="en-US" w:eastAsia="zh-CN"/>
              </w:rPr>
              <w:t>、FeO、Fe</w:t>
            </w:r>
            <w:r>
              <w:rPr>
                <w:rFonts w:hint="eastAsia" w:ascii="Times New Roman" w:hAnsi="Times New Roman" w:eastAsia="宋体"/>
                <w:color w:val="auto"/>
                <w:highlight w:val="none"/>
                <w:vertAlign w:val="subscript"/>
                <w:lang w:val="en-US" w:eastAsia="zh-CN"/>
              </w:rPr>
              <w:t>2</w:t>
            </w:r>
            <w:r>
              <w:rPr>
                <w:rFonts w:hint="eastAsia" w:ascii="Times New Roman" w:hAnsi="Times New Roman" w:eastAsia="宋体"/>
                <w:color w:val="auto"/>
                <w:highlight w:val="none"/>
                <w:lang w:val="en-US" w:eastAsia="zh-CN"/>
              </w:rPr>
              <w:t>O</w:t>
            </w:r>
            <w:r>
              <w:rPr>
                <w:rFonts w:hint="eastAsia" w:ascii="Times New Roman" w:hAnsi="Times New Roman" w:eastAsia="宋体"/>
                <w:color w:val="auto"/>
                <w:highlight w:val="none"/>
                <w:vertAlign w:val="subscript"/>
                <w:lang w:val="en-US" w:eastAsia="zh-CN"/>
              </w:rPr>
              <w:t>3</w:t>
            </w:r>
            <w:r>
              <w:rPr>
                <w:rFonts w:hint="eastAsia" w:ascii="Times New Roman" w:hAnsi="Times New Roman" w:eastAsia="宋体"/>
                <w:color w:val="auto"/>
                <w:highlight w:val="none"/>
                <w:lang w:val="en-US" w:eastAsia="zh-CN"/>
              </w:rPr>
              <w:t>、CaO、TiO</w:t>
            </w:r>
            <w:r>
              <w:rPr>
                <w:rFonts w:hint="eastAsia" w:ascii="Times New Roman" w:hAnsi="Times New Roman" w:eastAsia="宋体"/>
                <w:color w:val="auto"/>
                <w:highlight w:val="none"/>
                <w:vertAlign w:val="subscript"/>
                <w:lang w:val="en-US" w:eastAsia="zh-CN"/>
              </w:rPr>
              <w:t>2</w:t>
            </w:r>
            <w:r>
              <w:rPr>
                <w:rFonts w:hint="eastAsia" w:ascii="Times New Roman" w:hAnsi="Times New Roman" w:eastAsia="宋体"/>
                <w:color w:val="auto"/>
                <w:highlight w:val="none"/>
                <w:lang w:val="en-US" w:eastAsia="zh-CN"/>
              </w:rPr>
              <w:t>等。粉煤灰外观类似水泥，颜色在粉煤灰外观类似水泥，颜色在乳白色到灰黑色之间变化。粉煤灰的颜色是一项重要的质量指标，可以反映含碳量的多少和差异。在一定程度上也可以反映粉煤灰的细度，颜色越深粉煤灰粒度越细，含碳量越高。粉煤灰就有低钙粉煤灰和高钙粉煤灰之分。通常高钙粉煤灰的颜色偏黄，低钙粉煤灰的颜色偏灰。粉煤灰颗粒呈多孔型蜂</w:t>
            </w:r>
            <w:r>
              <w:rPr>
                <w:rFonts w:hint="default" w:ascii="Times New Roman" w:hAnsi="Times New Roman" w:eastAsia="宋体" w:cs="Times New Roman"/>
                <w:color w:val="auto"/>
                <w:highlight w:val="none"/>
                <w:lang w:val="en-US" w:eastAsia="zh-CN"/>
              </w:rPr>
              <w:t>窝状组织，比表面积较大，具有较高的吸附活性，颗粒的粒径范围为0.5~300μ</w:t>
            </w:r>
            <w:r>
              <w:rPr>
                <w:rFonts w:hint="eastAsia" w:ascii="Times New Roman" w:hAnsi="Times New Roman" w:eastAsia="宋体"/>
                <w:color w:val="auto"/>
                <w:highlight w:val="none"/>
                <w:lang w:val="en-US" w:eastAsia="zh-CN"/>
              </w:rPr>
              <w:t>m。并且珠壁具有多孔结构，孔隙率高达50%—80%，有很强的吸水性。</w:t>
            </w:r>
          </w:p>
          <w:p w14:paraId="1DC46F5A">
            <w:pPr>
              <w:pStyle w:val="31"/>
              <w:bidi w:val="0"/>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4）外加剂：混凝土抗渗泵送剂，是一种改善混凝土泵送性能的外加剂，具有卓越的减水增强效果和缓凝保塑性能。所谓泵送性能，就是混凝土拌合物具有能顺利通过</w:t>
            </w:r>
            <w:r>
              <w:rPr>
                <w:rFonts w:hint="eastAsia"/>
                <w:color w:val="auto"/>
                <w:highlight w:val="none"/>
                <w:lang w:val="en-US" w:eastAsia="zh-CN"/>
              </w:rPr>
              <w:t>输送</w:t>
            </w:r>
            <w:r>
              <w:rPr>
                <w:rFonts w:hint="eastAsia" w:ascii="Times New Roman" w:hAnsi="Times New Roman" w:eastAsia="宋体"/>
                <w:color w:val="auto"/>
                <w:highlight w:val="none"/>
                <w:lang w:val="en-US" w:eastAsia="zh-CN"/>
              </w:rPr>
              <w:t>管道、不阻塞、不离析、粘塑性良好的性能。</w:t>
            </w:r>
          </w:p>
          <w:p w14:paraId="6DCDB864">
            <w:pPr>
              <w:pStyle w:val="31"/>
              <w:bidi w:val="0"/>
              <w:rPr>
                <w:b/>
                <w:bCs/>
                <w:color w:val="auto"/>
                <w:highlight w:val="none"/>
              </w:rPr>
            </w:pPr>
            <w:r>
              <w:rPr>
                <w:rFonts w:hint="eastAsia"/>
                <w:b/>
                <w:bCs/>
                <w:color w:val="auto"/>
                <w:highlight w:val="none"/>
              </w:rPr>
              <w:t>4、产品方案</w:t>
            </w:r>
          </w:p>
          <w:p w14:paraId="3B23BBB7">
            <w:pPr>
              <w:pStyle w:val="31"/>
              <w:bidi w:val="0"/>
              <w:rPr>
                <w:rFonts w:hint="eastAsia"/>
                <w:color w:val="auto"/>
                <w:highlight w:val="none"/>
                <w:lang w:eastAsia="zh-CN"/>
              </w:rPr>
            </w:pPr>
            <w:r>
              <w:rPr>
                <w:rFonts w:hint="eastAsia"/>
                <w:color w:val="auto"/>
                <w:highlight w:val="none"/>
                <w:lang w:val="en-US" w:eastAsia="zh-CN"/>
              </w:rPr>
              <w:t>本项目生产产品方案</w:t>
            </w:r>
            <w:r>
              <w:rPr>
                <w:color w:val="auto"/>
                <w:highlight w:val="none"/>
              </w:rPr>
              <w:t>见下表</w:t>
            </w:r>
            <w:r>
              <w:rPr>
                <w:rFonts w:hint="eastAsia"/>
                <w:color w:val="auto"/>
                <w:highlight w:val="none"/>
                <w:lang w:eastAsia="zh-CN"/>
              </w:rPr>
              <w:t>：</w:t>
            </w:r>
          </w:p>
          <w:p w14:paraId="55813951">
            <w:pPr>
              <w:pStyle w:val="36"/>
              <w:bidi w:val="0"/>
              <w:rPr>
                <w:color w:val="auto"/>
                <w:highlight w:val="none"/>
              </w:rPr>
            </w:pPr>
            <w:r>
              <w:rPr>
                <w:color w:val="auto"/>
                <w:highlight w:val="none"/>
              </w:rPr>
              <w:t>表</w:t>
            </w:r>
            <w:r>
              <w:rPr>
                <w:rFonts w:hint="eastAsia"/>
                <w:color w:val="auto"/>
                <w:highlight w:val="none"/>
              </w:rPr>
              <w:t>2-</w:t>
            </w:r>
            <w:r>
              <w:rPr>
                <w:color w:val="auto"/>
                <w:highlight w:val="none"/>
              </w:rPr>
              <w:t>4产品方案一览表</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7"/>
              <w:gridCol w:w="1890"/>
              <w:gridCol w:w="1619"/>
              <w:gridCol w:w="1486"/>
              <w:gridCol w:w="1486"/>
            </w:tblGrid>
            <w:tr w14:paraId="1D1396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7" w:type="pct"/>
                  <w:vAlign w:val="center"/>
                </w:tcPr>
                <w:p w14:paraId="71A50B47">
                  <w:pPr>
                    <w:pStyle w:val="34"/>
                    <w:bidi w:val="0"/>
                    <w:rPr>
                      <w:color w:val="auto"/>
                      <w:highlight w:val="none"/>
                    </w:rPr>
                  </w:pPr>
                  <w:r>
                    <w:rPr>
                      <w:color w:val="auto"/>
                      <w:highlight w:val="none"/>
                    </w:rPr>
                    <w:t>序号</w:t>
                  </w:r>
                </w:p>
              </w:tc>
              <w:tc>
                <w:tcPr>
                  <w:tcW w:w="1252" w:type="pct"/>
                  <w:vAlign w:val="center"/>
                </w:tcPr>
                <w:p w14:paraId="26AAA99C">
                  <w:pPr>
                    <w:pStyle w:val="34"/>
                    <w:bidi w:val="0"/>
                    <w:rPr>
                      <w:color w:val="auto"/>
                      <w:highlight w:val="none"/>
                    </w:rPr>
                  </w:pPr>
                  <w:r>
                    <w:rPr>
                      <w:color w:val="auto"/>
                      <w:highlight w:val="none"/>
                    </w:rPr>
                    <w:t>名称</w:t>
                  </w:r>
                </w:p>
              </w:tc>
              <w:tc>
                <w:tcPr>
                  <w:tcW w:w="1072" w:type="pct"/>
                  <w:vAlign w:val="center"/>
                </w:tcPr>
                <w:p w14:paraId="71D1DA73">
                  <w:pPr>
                    <w:pStyle w:val="34"/>
                    <w:bidi w:val="0"/>
                    <w:rPr>
                      <w:color w:val="auto"/>
                      <w:highlight w:val="none"/>
                    </w:rPr>
                  </w:pPr>
                  <w:r>
                    <w:rPr>
                      <w:rFonts w:hint="eastAsia"/>
                      <w:color w:val="auto"/>
                      <w:highlight w:val="none"/>
                      <w:lang w:val="en-US" w:eastAsia="zh-CN"/>
                    </w:rPr>
                    <w:t>体积</w:t>
                  </w:r>
                </w:p>
              </w:tc>
              <w:tc>
                <w:tcPr>
                  <w:tcW w:w="984" w:type="pct"/>
                  <w:vAlign w:val="center"/>
                </w:tcPr>
                <w:p w14:paraId="2C89F1A2">
                  <w:pPr>
                    <w:pStyle w:val="34"/>
                    <w:bidi w:val="0"/>
                    <w:rPr>
                      <w:rFonts w:hint="eastAsia" w:eastAsia="宋体"/>
                      <w:color w:val="auto"/>
                      <w:highlight w:val="none"/>
                      <w:lang w:val="en-US" w:eastAsia="zh-CN"/>
                    </w:rPr>
                  </w:pPr>
                  <w:r>
                    <w:rPr>
                      <w:rFonts w:hint="eastAsia"/>
                      <w:color w:val="auto"/>
                      <w:highlight w:val="none"/>
                      <w:lang w:val="en-US" w:eastAsia="zh-CN"/>
                    </w:rPr>
                    <w:t>单位密度</w:t>
                  </w:r>
                </w:p>
              </w:tc>
              <w:tc>
                <w:tcPr>
                  <w:tcW w:w="984" w:type="pct"/>
                  <w:vAlign w:val="center"/>
                </w:tcPr>
                <w:p w14:paraId="45D5C5E8">
                  <w:pPr>
                    <w:pStyle w:val="34"/>
                    <w:bidi w:val="0"/>
                    <w:rPr>
                      <w:rFonts w:hint="default" w:eastAsia="宋体"/>
                      <w:color w:val="auto"/>
                      <w:highlight w:val="none"/>
                      <w:lang w:val="en-US" w:eastAsia="zh-CN"/>
                    </w:rPr>
                  </w:pPr>
                  <w:r>
                    <w:rPr>
                      <w:rFonts w:hint="eastAsia"/>
                      <w:color w:val="auto"/>
                      <w:highlight w:val="none"/>
                      <w:lang w:val="en-US" w:eastAsia="zh-CN"/>
                    </w:rPr>
                    <w:t>重量</w:t>
                  </w:r>
                </w:p>
              </w:tc>
            </w:tr>
            <w:tr w14:paraId="62090C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7" w:type="pct"/>
                  <w:vAlign w:val="center"/>
                </w:tcPr>
                <w:p w14:paraId="7EC04D2D">
                  <w:pPr>
                    <w:pStyle w:val="34"/>
                    <w:bidi w:val="0"/>
                    <w:rPr>
                      <w:rFonts w:hint="default"/>
                      <w:color w:val="auto"/>
                      <w:highlight w:val="none"/>
                      <w:lang w:val="en-US" w:eastAsia="zh-CN"/>
                    </w:rPr>
                  </w:pPr>
                  <w:r>
                    <w:rPr>
                      <w:rFonts w:hint="eastAsia"/>
                      <w:color w:val="auto"/>
                      <w:highlight w:val="none"/>
                      <w:lang w:val="en-US" w:eastAsia="zh-CN"/>
                    </w:rPr>
                    <w:t>1</w:t>
                  </w:r>
                </w:p>
              </w:tc>
              <w:tc>
                <w:tcPr>
                  <w:tcW w:w="1252" w:type="pct"/>
                  <w:vAlign w:val="center"/>
                </w:tcPr>
                <w:p w14:paraId="2B5DD752">
                  <w:pPr>
                    <w:pStyle w:val="34"/>
                    <w:bidi w:val="0"/>
                    <w:rPr>
                      <w:rFonts w:hint="eastAsia"/>
                      <w:color w:val="auto"/>
                      <w:highlight w:val="none"/>
                      <w:lang w:val="en-US" w:eastAsia="zh-CN"/>
                    </w:rPr>
                  </w:pPr>
                  <w:r>
                    <w:rPr>
                      <w:rFonts w:hint="eastAsia"/>
                      <w:color w:val="auto"/>
                      <w:highlight w:val="none"/>
                      <w:lang w:val="en-US" w:eastAsia="zh-CN"/>
                    </w:rPr>
                    <w:t>商品混凝土</w:t>
                  </w:r>
                </w:p>
              </w:tc>
              <w:tc>
                <w:tcPr>
                  <w:tcW w:w="1072" w:type="pct"/>
                  <w:vAlign w:val="center"/>
                </w:tcPr>
                <w:p w14:paraId="606BE2F7">
                  <w:pPr>
                    <w:pStyle w:val="34"/>
                    <w:bidi w:val="0"/>
                    <w:rPr>
                      <w:rFonts w:hint="default"/>
                      <w:color w:val="auto"/>
                      <w:highlight w:val="none"/>
                      <w:lang w:val="en-US" w:eastAsia="zh-CN"/>
                    </w:rPr>
                  </w:pPr>
                  <w:r>
                    <w:rPr>
                      <w:rFonts w:hint="eastAsia"/>
                      <w:color w:val="auto"/>
                      <w:highlight w:val="none"/>
                      <w:lang w:val="en-US" w:eastAsia="zh-CN"/>
                    </w:rPr>
                    <w:t>5</w:t>
                  </w:r>
                  <w:r>
                    <w:rPr>
                      <w:rFonts w:hint="eastAsia"/>
                      <w:color w:val="auto"/>
                      <w:highlight w:val="none"/>
                    </w:rPr>
                    <w:t>万</w:t>
                  </w:r>
                  <w:r>
                    <w:rPr>
                      <w:rFonts w:hint="eastAsia"/>
                      <w:color w:val="auto"/>
                      <w:highlight w:val="none"/>
                      <w:lang w:val="en-US" w:eastAsia="zh-CN"/>
                    </w:rPr>
                    <w:t>m</w:t>
                  </w:r>
                  <w:r>
                    <w:rPr>
                      <w:rFonts w:hint="eastAsia"/>
                      <w:color w:val="auto"/>
                      <w:highlight w:val="none"/>
                      <w:vertAlign w:val="superscript"/>
                      <w:lang w:val="en-US" w:eastAsia="zh-CN"/>
                    </w:rPr>
                    <w:t>3</w:t>
                  </w:r>
                </w:p>
              </w:tc>
              <w:tc>
                <w:tcPr>
                  <w:tcW w:w="984" w:type="pct"/>
                  <w:vAlign w:val="center"/>
                </w:tcPr>
                <w:p w14:paraId="3B12042C">
                  <w:pPr>
                    <w:pStyle w:val="34"/>
                    <w:bidi w:val="0"/>
                    <w:rPr>
                      <w:rFonts w:hint="default" w:eastAsia="宋体"/>
                      <w:color w:val="auto"/>
                      <w:highlight w:val="none"/>
                      <w:lang w:val="en-US" w:eastAsia="zh-CN"/>
                    </w:rPr>
                  </w:pPr>
                  <w:r>
                    <w:rPr>
                      <w:rFonts w:hint="eastAsia"/>
                      <w:color w:val="auto"/>
                      <w:highlight w:val="none"/>
                      <w:lang w:val="en-US" w:eastAsia="zh-CN"/>
                    </w:rPr>
                    <w:t>2.47t/m</w:t>
                  </w:r>
                  <w:r>
                    <w:rPr>
                      <w:rFonts w:hint="eastAsia"/>
                      <w:color w:val="auto"/>
                      <w:highlight w:val="none"/>
                      <w:vertAlign w:val="superscript"/>
                      <w:lang w:val="en-US" w:eastAsia="zh-CN"/>
                    </w:rPr>
                    <w:t>3</w:t>
                  </w:r>
                </w:p>
              </w:tc>
              <w:tc>
                <w:tcPr>
                  <w:tcW w:w="984" w:type="pct"/>
                  <w:vAlign w:val="center"/>
                </w:tcPr>
                <w:p w14:paraId="5FC58F46">
                  <w:pPr>
                    <w:pStyle w:val="34"/>
                    <w:bidi w:val="0"/>
                    <w:rPr>
                      <w:rFonts w:hint="default" w:eastAsia="宋体"/>
                      <w:color w:val="auto"/>
                      <w:highlight w:val="none"/>
                      <w:lang w:val="en-US" w:eastAsia="zh-CN"/>
                    </w:rPr>
                  </w:pPr>
                  <w:r>
                    <w:rPr>
                      <w:rFonts w:hint="eastAsia"/>
                      <w:color w:val="auto"/>
                      <w:highlight w:val="none"/>
                      <w:lang w:val="en-US" w:eastAsia="zh-CN"/>
                    </w:rPr>
                    <w:t>12.35万t</w:t>
                  </w:r>
                </w:p>
              </w:tc>
            </w:tr>
          </w:tbl>
          <w:p w14:paraId="0336CCAE">
            <w:pPr>
              <w:pStyle w:val="30"/>
              <w:bidi w:val="0"/>
              <w:rPr>
                <w:b/>
                <w:bCs/>
                <w:color w:val="auto"/>
                <w:highlight w:val="none"/>
              </w:rPr>
            </w:pPr>
            <w:r>
              <w:rPr>
                <w:rFonts w:hint="eastAsia"/>
                <w:b/>
                <w:bCs/>
                <w:color w:val="auto"/>
                <w:highlight w:val="none"/>
              </w:rPr>
              <w:t>5、公用工程</w:t>
            </w:r>
          </w:p>
          <w:p w14:paraId="62410175">
            <w:pPr>
              <w:pStyle w:val="31"/>
              <w:bidi w:val="0"/>
              <w:rPr>
                <w:color w:val="auto"/>
                <w:highlight w:val="none"/>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供水</w:t>
            </w:r>
          </w:p>
          <w:p w14:paraId="2D364B76">
            <w:pPr>
              <w:pStyle w:val="31"/>
              <w:bidi w:val="0"/>
              <w:rPr>
                <w:rFonts w:hint="eastAsia"/>
                <w:color w:val="auto"/>
                <w:highlight w:val="none"/>
                <w:lang w:val="en-US" w:eastAsia="zh-CN"/>
              </w:rPr>
            </w:pPr>
            <w:r>
              <w:rPr>
                <w:color w:val="auto"/>
                <w:highlight w:val="none"/>
              </w:rPr>
              <w:t>本项目</w:t>
            </w:r>
            <w:r>
              <w:rPr>
                <w:rFonts w:hint="eastAsia"/>
                <w:color w:val="auto"/>
                <w:highlight w:val="none"/>
                <w:lang w:val="en-US" w:eastAsia="zh-CN"/>
              </w:rPr>
              <w:t>水源为厂区现有水井。</w:t>
            </w:r>
          </w:p>
          <w:p w14:paraId="4BA2C8B9">
            <w:pPr>
              <w:pStyle w:val="31"/>
              <w:bidi w:val="0"/>
              <w:rPr>
                <w:rFonts w:hint="default"/>
                <w:color w:val="auto"/>
                <w:highlight w:val="none"/>
                <w:lang w:val="en-US" w:eastAsia="zh-CN"/>
              </w:rPr>
            </w:pPr>
            <w:r>
              <w:rPr>
                <w:rFonts w:hint="eastAsia"/>
                <w:color w:val="auto"/>
                <w:highlight w:val="none"/>
                <w:lang w:val="en-US" w:eastAsia="zh-CN"/>
              </w:rPr>
              <w:t>①生活用水</w:t>
            </w:r>
          </w:p>
          <w:p w14:paraId="737E7634">
            <w:pPr>
              <w:pStyle w:val="31"/>
              <w:bidi w:val="0"/>
              <w:rPr>
                <w:rFonts w:hint="eastAsia"/>
                <w:color w:val="auto"/>
                <w:highlight w:val="none"/>
              </w:rPr>
            </w:pPr>
            <w:r>
              <w:rPr>
                <w:rFonts w:hint="eastAsia"/>
                <w:color w:val="auto"/>
                <w:highlight w:val="none"/>
                <w:lang w:val="en-US" w:eastAsia="zh-CN"/>
              </w:rPr>
              <w:t>员工</w:t>
            </w:r>
            <w:r>
              <w:rPr>
                <w:rFonts w:hint="eastAsia"/>
                <w:color w:val="auto"/>
                <w:highlight w:val="none"/>
              </w:rPr>
              <w:t>生活用水量计算</w:t>
            </w:r>
            <w:r>
              <w:rPr>
                <w:rFonts w:hint="eastAsia"/>
                <w:color w:val="auto"/>
                <w:highlight w:val="none"/>
                <w:lang w:eastAsia="zh-CN"/>
              </w:rPr>
              <w:t>参照</w:t>
            </w:r>
            <w:r>
              <w:rPr>
                <w:rFonts w:hint="eastAsia"/>
                <w:color w:val="auto"/>
                <w:highlight w:val="none"/>
              </w:rPr>
              <w:t>黑龙江省地方标准《用水定额》（</w:t>
            </w:r>
            <w:r>
              <w:rPr>
                <w:color w:val="auto"/>
                <w:highlight w:val="none"/>
              </w:rPr>
              <w:t>DB23/T727-202</w:t>
            </w:r>
            <w:r>
              <w:rPr>
                <w:rFonts w:hint="eastAsia"/>
                <w:color w:val="auto"/>
                <w:highlight w:val="none"/>
                <w:lang w:val="en-US" w:eastAsia="zh-CN"/>
              </w:rPr>
              <w:t>5</w:t>
            </w:r>
            <w:r>
              <w:rPr>
                <w:rFonts w:hint="eastAsia"/>
                <w:color w:val="auto"/>
                <w:highlight w:val="none"/>
              </w:rPr>
              <w:t>）</w:t>
            </w:r>
            <w:r>
              <w:rPr>
                <w:color w:val="auto"/>
                <w:highlight w:val="none"/>
              </w:rPr>
              <w:t>，项目职工</w:t>
            </w:r>
            <w:r>
              <w:rPr>
                <w:rFonts w:hint="eastAsia"/>
                <w:color w:val="auto"/>
                <w:highlight w:val="none"/>
              </w:rPr>
              <w:t>生活用水量采用80L/人•d，企业员工</w:t>
            </w:r>
            <w:r>
              <w:rPr>
                <w:rFonts w:hint="eastAsia"/>
                <w:color w:val="auto"/>
                <w:highlight w:val="none"/>
                <w:lang w:val="en-US" w:eastAsia="zh-CN"/>
              </w:rPr>
              <w:t>13</w:t>
            </w:r>
            <w:r>
              <w:rPr>
                <w:rFonts w:hint="eastAsia"/>
                <w:color w:val="auto"/>
                <w:highlight w:val="none"/>
              </w:rPr>
              <w:t>人，每年工作</w:t>
            </w:r>
            <w:r>
              <w:rPr>
                <w:rFonts w:hint="eastAsia"/>
                <w:color w:val="auto"/>
                <w:highlight w:val="none"/>
                <w:lang w:val="en-US" w:eastAsia="zh-CN"/>
              </w:rPr>
              <w:t>180</w:t>
            </w:r>
            <w:r>
              <w:rPr>
                <w:rFonts w:hint="eastAsia"/>
                <w:color w:val="auto"/>
                <w:highlight w:val="none"/>
              </w:rPr>
              <w:t>d，因此</w:t>
            </w:r>
            <w:r>
              <w:rPr>
                <w:color w:val="auto"/>
                <w:highlight w:val="none"/>
              </w:rPr>
              <w:t>生活用水量为</w:t>
            </w:r>
            <w:r>
              <w:rPr>
                <w:rFonts w:hint="eastAsia"/>
                <w:color w:val="auto"/>
                <w:highlight w:val="none"/>
                <w:lang w:val="en-US" w:eastAsia="zh-CN"/>
              </w:rPr>
              <w:t>1.04</w:t>
            </w:r>
            <w:r>
              <w:rPr>
                <w:color w:val="auto"/>
                <w:highlight w:val="none"/>
              </w:rPr>
              <w:t>t/d，</w:t>
            </w:r>
            <w:r>
              <w:rPr>
                <w:rFonts w:hint="eastAsia"/>
                <w:color w:val="auto"/>
                <w:highlight w:val="none"/>
                <w:lang w:val="en-US" w:eastAsia="zh-CN"/>
              </w:rPr>
              <w:t>187.2</w:t>
            </w:r>
            <w:r>
              <w:rPr>
                <w:color w:val="auto"/>
                <w:highlight w:val="none"/>
              </w:rPr>
              <w:t>t/a</w:t>
            </w:r>
            <w:r>
              <w:rPr>
                <w:rFonts w:hint="eastAsia"/>
                <w:color w:val="auto"/>
                <w:highlight w:val="none"/>
              </w:rPr>
              <w:t>；</w:t>
            </w:r>
          </w:p>
          <w:p w14:paraId="3BB4E9BB">
            <w:pPr>
              <w:pStyle w:val="31"/>
              <w:bidi w:val="0"/>
              <w:rPr>
                <w:rFonts w:hint="default"/>
                <w:color w:val="auto"/>
                <w:highlight w:val="none"/>
                <w:lang w:val="en-US" w:eastAsia="zh-CN"/>
              </w:rPr>
            </w:pPr>
            <w:r>
              <w:rPr>
                <w:rFonts w:hint="eastAsia"/>
                <w:color w:val="auto"/>
                <w:highlight w:val="none"/>
                <w:lang w:val="en-US" w:eastAsia="zh-CN"/>
              </w:rPr>
              <w:t>②生产用水</w:t>
            </w:r>
          </w:p>
          <w:p w14:paraId="46ED1823">
            <w:pPr>
              <w:widowControl/>
              <w:spacing w:line="360" w:lineRule="auto"/>
              <w:ind w:firstLine="480" w:firstLineChars="200"/>
              <w:rPr>
                <w:rFonts w:hint="eastAsia"/>
                <w:color w:val="auto"/>
                <w:highlight w:val="none"/>
                <w:lang w:eastAsia="zh-CN"/>
              </w:rPr>
            </w:pPr>
            <w:r>
              <w:rPr>
                <w:color w:val="auto"/>
                <w:highlight w:val="none"/>
              </w:rPr>
              <w:t>本项目生产用水为抑尘用水</w:t>
            </w:r>
            <w:r>
              <w:rPr>
                <w:rFonts w:hint="eastAsia"/>
                <w:color w:val="auto"/>
                <w:highlight w:val="none"/>
              </w:rPr>
              <w:t>（包括下料、上料及原料堆场的洒水</w:t>
            </w:r>
            <w:r>
              <w:rPr>
                <w:rFonts w:hint="eastAsia"/>
                <w:color w:val="auto"/>
                <w:highlight w:val="none"/>
                <w:lang w:eastAsia="zh-CN"/>
              </w:rPr>
              <w:t>抑尘</w:t>
            </w:r>
            <w:r>
              <w:rPr>
                <w:rFonts w:hint="eastAsia"/>
                <w:color w:val="auto"/>
                <w:highlight w:val="none"/>
              </w:rPr>
              <w:t>用水）、</w:t>
            </w:r>
            <w:r>
              <w:rPr>
                <w:color w:val="auto"/>
                <w:highlight w:val="none"/>
              </w:rPr>
              <w:t>设备冲洗水及</w:t>
            </w:r>
            <w:r>
              <w:rPr>
                <w:rFonts w:hint="eastAsia"/>
                <w:color w:val="auto"/>
                <w:highlight w:val="none"/>
                <w:lang w:val="en-US" w:eastAsia="zh-CN"/>
              </w:rPr>
              <w:t>商品混凝土</w:t>
            </w:r>
            <w:r>
              <w:rPr>
                <w:rFonts w:hint="eastAsia"/>
                <w:color w:val="auto"/>
                <w:highlight w:val="none"/>
              </w:rPr>
              <w:t>生产</w:t>
            </w:r>
            <w:r>
              <w:rPr>
                <w:rFonts w:hint="eastAsia"/>
                <w:color w:val="auto"/>
                <w:highlight w:val="none"/>
                <w:lang w:eastAsia="zh-CN"/>
              </w:rPr>
              <w:t>用水。</w:t>
            </w:r>
          </w:p>
          <w:p w14:paraId="545A4524">
            <w:pPr>
              <w:pStyle w:val="31"/>
              <w:bidi w:val="0"/>
              <w:rPr>
                <w:rFonts w:hint="default"/>
                <w:color w:val="auto"/>
                <w:highlight w:val="none"/>
                <w:lang w:val="en-US" w:eastAsia="zh-CN"/>
              </w:rPr>
            </w:pPr>
            <w:r>
              <w:rPr>
                <w:rFonts w:hint="eastAsia"/>
                <w:color w:val="auto"/>
                <w:highlight w:val="none"/>
                <w:lang w:val="en-US" w:eastAsia="zh-CN"/>
              </w:rPr>
              <w:t>a.抑尘用水</w:t>
            </w:r>
          </w:p>
          <w:p w14:paraId="664477D5">
            <w:pPr>
              <w:pStyle w:val="31"/>
              <w:bidi w:val="0"/>
              <w:rPr>
                <w:rFonts w:hint="eastAsia"/>
                <w:color w:val="auto"/>
                <w:highlight w:val="none"/>
                <w:lang w:eastAsia="zh-CN"/>
              </w:rPr>
            </w:pPr>
            <w:r>
              <w:rPr>
                <w:color w:val="auto"/>
                <w:highlight w:val="none"/>
              </w:rPr>
              <w:t>本项目在厂区设置的原料堆场</w:t>
            </w:r>
            <w:r>
              <w:rPr>
                <w:rFonts w:hint="eastAsia"/>
                <w:color w:val="auto"/>
                <w:highlight w:val="none"/>
                <w:lang w:eastAsia="zh-CN"/>
              </w:rPr>
              <w:t>、</w:t>
            </w:r>
            <w:r>
              <w:rPr>
                <w:color w:val="auto"/>
                <w:highlight w:val="none"/>
              </w:rPr>
              <w:t>转载点</w:t>
            </w:r>
            <w:r>
              <w:rPr>
                <w:rFonts w:hint="eastAsia"/>
                <w:color w:val="auto"/>
                <w:highlight w:val="none"/>
                <w:lang w:eastAsia="zh-CN"/>
              </w:rPr>
              <w:t>、</w:t>
            </w:r>
            <w:r>
              <w:rPr>
                <w:rFonts w:hint="eastAsia"/>
                <w:color w:val="auto"/>
                <w:highlight w:val="none"/>
                <w:lang w:val="en-US" w:eastAsia="zh-CN"/>
              </w:rPr>
              <w:t>进料口</w:t>
            </w:r>
            <w:r>
              <w:rPr>
                <w:color w:val="auto"/>
                <w:highlight w:val="none"/>
              </w:rPr>
              <w:t>等起尘处均需洒水</w:t>
            </w:r>
            <w:r>
              <w:rPr>
                <w:rFonts w:hint="eastAsia"/>
                <w:color w:val="auto"/>
                <w:highlight w:val="none"/>
                <w:lang w:val="en-US" w:eastAsia="zh-CN"/>
              </w:rPr>
              <w:t>或</w:t>
            </w:r>
            <w:r>
              <w:rPr>
                <w:rFonts w:hint="eastAsia" w:ascii="Times New Roman" w:hAnsi="Times New Roman" w:eastAsia="宋体" w:cs="Times New Roman"/>
                <w:b w:val="0"/>
                <w:bCs/>
                <w:color w:val="auto"/>
                <w:kern w:val="2"/>
                <w:sz w:val="24"/>
                <w:szCs w:val="24"/>
                <w:highlight w:val="none"/>
                <w:lang w:val="en-US" w:eastAsia="zh-CN" w:bidi="ar-SA"/>
              </w:rPr>
              <w:t>雾化喷淋</w:t>
            </w:r>
            <w:r>
              <w:rPr>
                <w:color w:val="auto"/>
                <w:highlight w:val="none"/>
              </w:rPr>
              <w:t>抑尘，此外，对运输路面等也要进行定期洒水</w:t>
            </w:r>
            <w:r>
              <w:rPr>
                <w:rFonts w:hint="eastAsia"/>
                <w:color w:val="auto"/>
                <w:highlight w:val="none"/>
                <w:lang w:eastAsia="zh-CN"/>
              </w:rPr>
              <w:t>。</w:t>
            </w:r>
            <w:r>
              <w:rPr>
                <w:rFonts w:hint="eastAsia"/>
                <w:color w:val="auto"/>
                <w:highlight w:val="none"/>
              </w:rPr>
              <w:t>根据企业提供信息</w:t>
            </w:r>
            <w:r>
              <w:rPr>
                <w:rFonts w:hint="eastAsia"/>
                <w:color w:val="auto"/>
                <w:highlight w:val="none"/>
                <w:lang w:eastAsia="zh-CN"/>
              </w:rPr>
              <w:t>，</w:t>
            </w:r>
            <w:r>
              <w:rPr>
                <w:color w:val="auto"/>
                <w:highlight w:val="none"/>
              </w:rPr>
              <w:t>每天用于洒水抑尘的新鲜水量约</w:t>
            </w:r>
            <w:r>
              <w:rPr>
                <w:rFonts w:hint="eastAsia"/>
                <w:color w:val="auto"/>
                <w:highlight w:val="none"/>
                <w:lang w:val="en-US" w:eastAsia="zh-CN"/>
              </w:rPr>
              <w:t>15t</w:t>
            </w:r>
            <w:r>
              <w:rPr>
                <w:color w:val="auto"/>
                <w:highlight w:val="none"/>
              </w:rPr>
              <w:t>/d，</w:t>
            </w:r>
            <w:r>
              <w:rPr>
                <w:rFonts w:hint="eastAsia"/>
                <w:color w:val="auto"/>
                <w:highlight w:val="none"/>
                <w:lang w:val="en-US" w:eastAsia="zh-CN"/>
              </w:rPr>
              <w:t>2700t</w:t>
            </w:r>
            <w:r>
              <w:rPr>
                <w:color w:val="auto"/>
                <w:highlight w:val="none"/>
              </w:rPr>
              <w:t>/a</w:t>
            </w:r>
            <w:r>
              <w:rPr>
                <w:rFonts w:hint="eastAsia"/>
                <w:color w:val="auto"/>
                <w:highlight w:val="none"/>
                <w:lang w:eastAsia="zh-CN"/>
              </w:rPr>
              <w:t>，</w:t>
            </w:r>
            <w:r>
              <w:rPr>
                <w:rFonts w:hint="eastAsia"/>
                <w:color w:val="auto"/>
                <w:highlight w:val="none"/>
                <w:lang w:val="en-US" w:eastAsia="zh-CN"/>
              </w:rPr>
              <w:t>全部自然蒸发</w:t>
            </w:r>
            <w:r>
              <w:rPr>
                <w:rFonts w:hint="eastAsia"/>
                <w:color w:val="auto"/>
                <w:highlight w:val="none"/>
                <w:lang w:eastAsia="zh-CN"/>
              </w:rPr>
              <w:t>。</w:t>
            </w:r>
          </w:p>
          <w:p w14:paraId="081EB398">
            <w:pPr>
              <w:pStyle w:val="31"/>
              <w:bidi w:val="0"/>
              <w:rPr>
                <w:color w:val="auto"/>
                <w:highlight w:val="none"/>
              </w:rPr>
            </w:pPr>
            <w:r>
              <w:rPr>
                <w:rFonts w:hint="eastAsia"/>
                <w:color w:val="auto"/>
                <w:highlight w:val="none"/>
                <w:lang w:val="en-US" w:eastAsia="zh-CN"/>
              </w:rPr>
              <w:t>b.</w:t>
            </w:r>
            <w:r>
              <w:rPr>
                <w:color w:val="auto"/>
                <w:highlight w:val="none"/>
              </w:rPr>
              <w:t>设备冲洗水</w:t>
            </w:r>
          </w:p>
          <w:p w14:paraId="7A02B399">
            <w:pPr>
              <w:pStyle w:val="31"/>
              <w:bidi w:val="0"/>
              <w:rPr>
                <w:rFonts w:hint="eastAsia"/>
                <w:color w:val="auto"/>
                <w:highlight w:val="none"/>
                <w:lang w:val="en-US" w:eastAsia="zh-CN"/>
              </w:rPr>
            </w:pPr>
            <w:r>
              <w:rPr>
                <w:rFonts w:hint="eastAsia"/>
                <w:color w:val="auto"/>
                <w:highlight w:val="none"/>
                <w:lang w:val="en-US" w:eastAsia="zh-CN"/>
              </w:rPr>
              <w:t>搅拌机每天清洗一次，搅拌机冲洗用水以2.0t/台·天计，本项目设置搅拌机1台，则项目搅拌机冲洗日用水量为2t/d，年用水量为300t/a</w:t>
            </w:r>
            <w:r>
              <w:rPr>
                <w:rFonts w:hint="eastAsia"/>
                <w:color w:val="auto"/>
                <w:highlight w:val="none"/>
              </w:rPr>
              <w:t>，</w:t>
            </w:r>
            <w:r>
              <w:rPr>
                <w:rFonts w:hint="eastAsia"/>
                <w:color w:val="auto"/>
                <w:highlight w:val="none"/>
                <w:lang w:val="en-US" w:eastAsia="zh-CN"/>
              </w:rPr>
              <w:t>全部回用于生产，不外排。</w:t>
            </w:r>
          </w:p>
          <w:p w14:paraId="20CF6EEC">
            <w:pPr>
              <w:adjustRightInd w:val="0"/>
              <w:snapToGrid w:val="0"/>
              <w:spacing w:line="360" w:lineRule="auto"/>
              <w:ind w:firstLine="480" w:firstLineChars="200"/>
              <w:rPr>
                <w:rFonts w:hint="eastAsia"/>
                <w:color w:val="auto"/>
                <w:highlight w:val="none"/>
                <w:lang w:val="en-US" w:eastAsia="zh-CN"/>
              </w:rPr>
            </w:pPr>
            <w:r>
              <w:rPr>
                <w:rFonts w:hint="eastAsia"/>
                <w:color w:val="auto"/>
                <w:highlight w:val="none"/>
                <w:lang w:val="en-US" w:eastAsia="zh-CN"/>
              </w:rPr>
              <w:t>c.</w:t>
            </w:r>
            <w:r>
              <w:rPr>
                <w:rFonts w:hint="eastAsia"/>
                <w:color w:val="auto"/>
                <w:highlight w:val="none"/>
                <w:lang w:val="en-US" w:eastAsia="zh-CN"/>
              </w:rPr>
              <w:t>车辆冲洗水</w:t>
            </w:r>
          </w:p>
          <w:p w14:paraId="4E940991">
            <w:pPr>
              <w:adjustRightInd w:val="0"/>
              <w:snapToGrid w:val="0"/>
              <w:spacing w:line="360" w:lineRule="auto"/>
              <w:ind w:firstLine="480" w:firstLineChars="200"/>
              <w:rPr>
                <w:rFonts w:hint="default"/>
                <w:color w:val="auto"/>
                <w:sz w:val="24"/>
                <w:highlight w:val="none"/>
                <w:vertAlign w:val="baseline"/>
                <w:lang w:val="en-US" w:eastAsia="zh-CN"/>
              </w:rPr>
            </w:pPr>
            <w:r>
              <w:rPr>
                <w:rFonts w:hint="eastAsia"/>
                <w:color w:val="auto"/>
                <w:sz w:val="24"/>
                <w:highlight w:val="none"/>
                <w:vertAlign w:val="baseline"/>
                <w:lang w:val="en-US" w:eastAsia="zh-CN"/>
              </w:rPr>
              <w:t>运输车辆每次运输均需进行冲洗，冲洗水量约0.1t/辆·次，</w:t>
            </w:r>
            <w:r>
              <w:rPr>
                <w:color w:val="auto"/>
                <w:highlight w:val="none"/>
              </w:rPr>
              <w:t>运输次数约为</w:t>
            </w:r>
            <w:r>
              <w:rPr>
                <w:rFonts w:hint="eastAsia"/>
                <w:color w:val="auto"/>
                <w:highlight w:val="none"/>
                <w:lang w:val="en-US" w:eastAsia="zh-CN"/>
              </w:rPr>
              <w:t>5600</w:t>
            </w:r>
            <w:r>
              <w:rPr>
                <w:color w:val="auto"/>
                <w:highlight w:val="none"/>
              </w:rPr>
              <w:t>次/a</w:t>
            </w:r>
            <w:r>
              <w:rPr>
                <w:rFonts w:hint="eastAsia"/>
                <w:color w:val="auto"/>
                <w:highlight w:val="none"/>
                <w:lang w:eastAsia="zh-CN"/>
              </w:rPr>
              <w:t>，</w:t>
            </w:r>
            <w:r>
              <w:rPr>
                <w:rFonts w:hint="eastAsia"/>
                <w:color w:val="auto"/>
                <w:sz w:val="24"/>
                <w:highlight w:val="none"/>
                <w:vertAlign w:val="baseline"/>
                <w:lang w:val="en-US" w:eastAsia="zh-CN"/>
              </w:rPr>
              <w:t>冲洗水用量为3.73t/d，560t/a。</w:t>
            </w:r>
            <w:r>
              <w:rPr>
                <w:rFonts w:hint="eastAsia"/>
                <w:color w:val="auto"/>
                <w:sz w:val="24"/>
                <w:highlight w:val="none"/>
                <w:lang w:val="en-US" w:eastAsia="zh-CN"/>
              </w:rPr>
              <w:t>车辆冲洗废水经沉淀池沉淀后回用于</w:t>
            </w:r>
            <w:r>
              <w:rPr>
                <w:rFonts w:hint="eastAsia"/>
                <w:color w:val="auto"/>
                <w:highlight w:val="none"/>
                <w:lang w:val="en-US" w:eastAsia="zh-CN"/>
              </w:rPr>
              <w:t>车辆冲洗，循环使用，单日蒸发损耗量以50%计算，则每日需补充新鲜水1.87t/d。</w:t>
            </w:r>
          </w:p>
          <w:p w14:paraId="3F6F945D">
            <w:pPr>
              <w:pStyle w:val="31"/>
              <w:bidi w:val="0"/>
              <w:rPr>
                <w:rFonts w:hint="eastAsia"/>
                <w:color w:val="auto"/>
                <w:highlight w:val="none"/>
                <w:lang w:val="en-US" w:eastAsia="zh-CN"/>
              </w:rPr>
            </w:pPr>
            <w:r>
              <w:rPr>
                <w:rFonts w:hint="eastAsia"/>
                <w:color w:val="auto"/>
                <w:highlight w:val="none"/>
                <w:lang w:val="en-US" w:eastAsia="zh-CN"/>
              </w:rPr>
              <w:t>d.商品混凝土生产线用水</w:t>
            </w:r>
          </w:p>
          <w:p w14:paraId="5CA72001">
            <w:pPr>
              <w:widowControl/>
              <w:spacing w:line="360" w:lineRule="auto"/>
              <w:ind w:firstLine="480" w:firstLineChars="200"/>
              <w:rPr>
                <w:rFonts w:hint="eastAsia"/>
                <w:color w:val="auto"/>
                <w:highlight w:val="none"/>
                <w:lang w:val="en-US" w:eastAsia="zh-CN"/>
              </w:rPr>
            </w:pPr>
            <w:r>
              <w:rPr>
                <w:rFonts w:hint="eastAsia"/>
                <w:color w:val="auto"/>
                <w:highlight w:val="none"/>
                <w:lang w:val="en-US" w:eastAsia="zh-CN"/>
              </w:rPr>
              <w:t>商品混凝土</w:t>
            </w:r>
            <w:r>
              <w:rPr>
                <w:rFonts w:hint="eastAsia"/>
                <w:color w:val="auto"/>
                <w:highlight w:val="none"/>
              </w:rPr>
              <w:t>生产线</w:t>
            </w:r>
            <w:r>
              <w:rPr>
                <w:rFonts w:hint="eastAsia"/>
                <w:color w:val="auto"/>
                <w:highlight w:val="none"/>
                <w:lang w:val="en-US" w:eastAsia="zh-CN"/>
              </w:rPr>
              <w:t>用水量为36.1</w:t>
            </w:r>
            <w:r>
              <w:rPr>
                <w:rFonts w:hint="default"/>
                <w:color w:val="auto"/>
                <w:highlight w:val="none"/>
                <w:lang w:val="en-US" w:eastAsia="zh-CN"/>
              </w:rPr>
              <w:t>t/d</w:t>
            </w:r>
            <w:r>
              <w:rPr>
                <w:rFonts w:hint="eastAsia"/>
                <w:color w:val="auto"/>
                <w:highlight w:val="none"/>
                <w:lang w:val="en-US" w:eastAsia="zh-CN"/>
              </w:rPr>
              <w:t>，6500</w:t>
            </w:r>
            <w:r>
              <w:rPr>
                <w:rFonts w:hint="default"/>
                <w:color w:val="auto"/>
                <w:highlight w:val="none"/>
                <w:lang w:val="en-US" w:eastAsia="zh-CN"/>
              </w:rPr>
              <w:t>t/a</w:t>
            </w:r>
            <w:r>
              <w:rPr>
                <w:rFonts w:hint="eastAsia"/>
                <w:color w:val="auto"/>
                <w:highlight w:val="none"/>
                <w:lang w:eastAsia="zh-CN"/>
              </w:rPr>
              <w:t>，设备冲洗水回用于</w:t>
            </w:r>
            <w:r>
              <w:rPr>
                <w:rFonts w:hint="eastAsia"/>
                <w:color w:val="auto"/>
                <w:highlight w:val="none"/>
                <w:lang w:val="en-US" w:eastAsia="zh-CN"/>
              </w:rPr>
              <w:t>商品混凝土</w:t>
            </w:r>
            <w:r>
              <w:rPr>
                <w:rFonts w:hint="eastAsia"/>
                <w:color w:val="auto"/>
                <w:highlight w:val="none"/>
              </w:rPr>
              <w:t>生产线</w:t>
            </w:r>
            <w:r>
              <w:rPr>
                <w:rFonts w:hint="eastAsia"/>
                <w:color w:val="auto"/>
                <w:highlight w:val="none"/>
                <w:lang w:eastAsia="zh-CN"/>
              </w:rPr>
              <w:t>，因此</w:t>
            </w:r>
            <w:r>
              <w:rPr>
                <w:rFonts w:hint="eastAsia"/>
                <w:color w:val="auto"/>
                <w:highlight w:val="none"/>
                <w:lang w:val="en-US" w:eastAsia="zh-CN"/>
              </w:rPr>
              <w:t>商品混凝土</w:t>
            </w:r>
            <w:r>
              <w:rPr>
                <w:rFonts w:hint="eastAsia"/>
                <w:color w:val="auto"/>
                <w:highlight w:val="none"/>
              </w:rPr>
              <w:t>生产线</w:t>
            </w:r>
            <w:r>
              <w:rPr>
                <w:rFonts w:hint="eastAsia"/>
                <w:color w:val="auto"/>
                <w:highlight w:val="none"/>
                <w:lang w:eastAsia="zh-CN"/>
              </w:rPr>
              <w:t>新鲜补水量为</w:t>
            </w:r>
            <w:r>
              <w:rPr>
                <w:rFonts w:hint="eastAsia"/>
                <w:color w:val="auto"/>
                <w:highlight w:val="none"/>
                <w:lang w:val="en-US" w:eastAsia="zh-CN"/>
              </w:rPr>
              <w:t>34.1t/d，6138t/a。</w:t>
            </w:r>
            <w:r>
              <w:rPr>
                <w:rFonts w:hint="eastAsia"/>
                <w:color w:val="auto"/>
                <w:highlight w:val="none"/>
                <w:lang w:eastAsia="zh-CN"/>
              </w:rPr>
              <w:t>商品混凝土</w:t>
            </w:r>
            <w:r>
              <w:rPr>
                <w:rFonts w:hint="eastAsia"/>
                <w:color w:val="auto"/>
                <w:highlight w:val="none"/>
              </w:rPr>
              <w:t>生产线</w:t>
            </w:r>
            <w:r>
              <w:rPr>
                <w:color w:val="auto"/>
                <w:highlight w:val="none"/>
              </w:rPr>
              <w:t>用水</w:t>
            </w:r>
            <w:r>
              <w:rPr>
                <w:rFonts w:hint="eastAsia"/>
                <w:color w:val="auto"/>
                <w:highlight w:val="none"/>
                <w:lang w:val="en-US" w:eastAsia="zh-CN"/>
              </w:rPr>
              <w:t>全部</w:t>
            </w:r>
            <w:r>
              <w:rPr>
                <w:color w:val="auto"/>
                <w:highlight w:val="none"/>
              </w:rPr>
              <w:t>进入产品，无生产废水外排。</w:t>
            </w:r>
          </w:p>
          <w:p w14:paraId="0ECD43CE">
            <w:pPr>
              <w:pStyle w:val="31"/>
              <w:bidi w:val="0"/>
              <w:rPr>
                <w:rFonts w:hint="eastAsia" w:eastAsia="宋体"/>
                <w:color w:val="auto"/>
                <w:highlight w:val="none"/>
                <w:lang w:val="en-US"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color w:val="auto"/>
                <w:highlight w:val="none"/>
              </w:rPr>
              <w:t>排水</w:t>
            </w:r>
          </w:p>
          <w:p w14:paraId="339EA5C1">
            <w:pPr>
              <w:pStyle w:val="31"/>
              <w:bidi w:val="0"/>
              <w:rPr>
                <w:rFonts w:hint="eastAsia"/>
                <w:color w:val="auto"/>
                <w:highlight w:val="none"/>
                <w:lang w:eastAsia="zh-CN"/>
              </w:rPr>
            </w:pPr>
            <w:r>
              <w:rPr>
                <w:color w:val="auto"/>
                <w:highlight w:val="none"/>
              </w:rPr>
              <w:t>本项目产生的废水主要为员工的生活污水</w:t>
            </w:r>
            <w:r>
              <w:rPr>
                <w:rFonts w:hint="eastAsia"/>
                <w:color w:val="auto"/>
                <w:highlight w:val="none"/>
                <w:lang w:eastAsia="zh-CN"/>
              </w:rPr>
              <w:t>。</w:t>
            </w:r>
          </w:p>
          <w:p w14:paraId="2E66AD0D">
            <w:pPr>
              <w:pStyle w:val="31"/>
              <w:bidi w:val="0"/>
              <w:rPr>
                <w:rFonts w:hint="default"/>
                <w:color w:val="auto"/>
                <w:highlight w:val="none"/>
                <w:lang w:val="en-US" w:eastAsia="zh-CN"/>
              </w:rPr>
            </w:pPr>
            <w:r>
              <w:rPr>
                <w:rFonts w:hint="eastAsia"/>
                <w:color w:val="auto"/>
                <w:highlight w:val="none"/>
                <w:lang w:val="en-US" w:eastAsia="zh-CN"/>
              </w:rPr>
              <w:t>①生活污水</w:t>
            </w:r>
          </w:p>
          <w:p w14:paraId="36B13938">
            <w:pPr>
              <w:pStyle w:val="31"/>
              <w:bidi w:val="0"/>
              <w:rPr>
                <w:color w:val="auto"/>
                <w:highlight w:val="none"/>
              </w:rPr>
            </w:pPr>
            <w:r>
              <w:rPr>
                <w:rFonts w:hint="eastAsia"/>
                <w:color w:val="auto"/>
                <w:highlight w:val="none"/>
                <w:lang w:val="en-US" w:eastAsia="zh-CN"/>
              </w:rPr>
              <w:t>生活污水</w:t>
            </w:r>
            <w:r>
              <w:rPr>
                <w:color w:val="auto"/>
                <w:highlight w:val="none"/>
              </w:rPr>
              <w:t>产生量按生活用水量的80%计算，生活污水产生量为</w:t>
            </w:r>
            <w:r>
              <w:rPr>
                <w:rFonts w:hint="eastAsia"/>
                <w:color w:val="auto"/>
                <w:highlight w:val="none"/>
                <w:lang w:val="en-US" w:eastAsia="zh-CN"/>
              </w:rPr>
              <w:t>0.83</w:t>
            </w:r>
            <w:r>
              <w:rPr>
                <w:color w:val="auto"/>
                <w:highlight w:val="none"/>
              </w:rPr>
              <w:t>t/d，</w:t>
            </w:r>
            <w:r>
              <w:rPr>
                <w:rFonts w:hint="eastAsia"/>
                <w:color w:val="auto"/>
                <w:highlight w:val="none"/>
                <w:lang w:val="en-US" w:eastAsia="zh-CN"/>
              </w:rPr>
              <w:t>149.76</w:t>
            </w:r>
            <w:r>
              <w:rPr>
                <w:color w:val="auto"/>
                <w:highlight w:val="none"/>
              </w:rPr>
              <w:t>t/a。生活污水排入</w:t>
            </w:r>
            <w:r>
              <w:rPr>
                <w:rFonts w:hint="eastAsia"/>
                <w:color w:val="auto"/>
                <w:highlight w:val="none"/>
              </w:rPr>
              <w:t>防渗旱厕</w:t>
            </w:r>
            <w:r>
              <w:rPr>
                <w:color w:val="auto"/>
                <w:highlight w:val="none"/>
              </w:rPr>
              <w:t>，定期清掏，外运堆肥。</w:t>
            </w:r>
          </w:p>
          <w:p w14:paraId="1D46FCF0">
            <w:pPr>
              <w:pStyle w:val="31"/>
              <w:bidi w:val="0"/>
              <w:rPr>
                <w:rFonts w:hint="eastAsia"/>
                <w:color w:val="auto"/>
                <w:highlight w:val="none"/>
                <w:lang w:val="en-US" w:eastAsia="zh-CN"/>
              </w:rPr>
            </w:pPr>
            <w:r>
              <w:rPr>
                <w:rFonts w:hint="eastAsia"/>
                <w:color w:val="auto"/>
                <w:highlight w:val="none"/>
                <w:lang w:val="en-US" w:eastAsia="zh-CN"/>
              </w:rPr>
              <w:t>②生产废水</w:t>
            </w:r>
          </w:p>
          <w:p w14:paraId="49B024C6">
            <w:pPr>
              <w:pStyle w:val="31"/>
              <w:bidi w:val="0"/>
              <w:rPr>
                <w:rFonts w:hint="default"/>
                <w:color w:val="auto"/>
                <w:highlight w:val="none"/>
                <w:lang w:val="en-US" w:eastAsia="zh-CN"/>
              </w:rPr>
            </w:pPr>
            <w:r>
              <w:rPr>
                <w:rFonts w:hint="eastAsia"/>
                <w:color w:val="auto"/>
                <w:highlight w:val="none"/>
                <w:lang w:val="en-US" w:eastAsia="zh-CN"/>
              </w:rPr>
              <w:t>a.抑尘用水</w:t>
            </w:r>
          </w:p>
          <w:p w14:paraId="0C5393A8">
            <w:pPr>
              <w:pStyle w:val="31"/>
              <w:bidi w:val="0"/>
              <w:rPr>
                <w:rFonts w:hint="eastAsia"/>
                <w:color w:val="auto"/>
                <w:highlight w:val="none"/>
                <w:lang w:eastAsia="zh-CN"/>
              </w:rPr>
            </w:pPr>
            <w:r>
              <w:rPr>
                <w:rFonts w:hint="eastAsia"/>
                <w:color w:val="auto"/>
                <w:highlight w:val="none"/>
                <w:lang w:val="en-US" w:eastAsia="zh-CN"/>
              </w:rPr>
              <w:t>抑尘用水</w:t>
            </w:r>
            <w:r>
              <w:rPr>
                <w:rFonts w:hint="eastAsia"/>
                <w:color w:val="auto"/>
                <w:highlight w:val="none"/>
                <w:lang w:eastAsia="zh-CN"/>
              </w:rPr>
              <w:t>，</w:t>
            </w:r>
            <w:r>
              <w:rPr>
                <w:rFonts w:hint="eastAsia"/>
                <w:color w:val="auto"/>
                <w:highlight w:val="none"/>
                <w:lang w:val="en-US" w:eastAsia="zh-CN"/>
              </w:rPr>
              <w:t>全部自然蒸发，无废水外排</w:t>
            </w:r>
            <w:r>
              <w:rPr>
                <w:rFonts w:hint="eastAsia"/>
                <w:color w:val="auto"/>
                <w:highlight w:val="none"/>
                <w:lang w:eastAsia="zh-CN"/>
              </w:rPr>
              <w:t>。</w:t>
            </w:r>
          </w:p>
          <w:p w14:paraId="1B614B23">
            <w:pPr>
              <w:pStyle w:val="31"/>
              <w:bidi w:val="0"/>
              <w:rPr>
                <w:color w:val="auto"/>
                <w:highlight w:val="none"/>
              </w:rPr>
            </w:pPr>
            <w:r>
              <w:rPr>
                <w:rFonts w:hint="eastAsia"/>
                <w:color w:val="auto"/>
                <w:highlight w:val="none"/>
                <w:lang w:val="en-US" w:eastAsia="zh-CN"/>
              </w:rPr>
              <w:t>b.</w:t>
            </w:r>
            <w:r>
              <w:rPr>
                <w:color w:val="auto"/>
                <w:highlight w:val="none"/>
              </w:rPr>
              <w:t>设备冲洗水</w:t>
            </w:r>
          </w:p>
          <w:p w14:paraId="23917F04">
            <w:pPr>
              <w:pStyle w:val="31"/>
              <w:bidi w:val="0"/>
              <w:rPr>
                <w:rFonts w:hint="eastAsia"/>
                <w:color w:val="auto"/>
                <w:highlight w:val="none"/>
                <w:lang w:val="en-US" w:eastAsia="zh-CN"/>
              </w:rPr>
            </w:pPr>
            <w:r>
              <w:rPr>
                <w:rFonts w:hint="eastAsia"/>
                <w:color w:val="auto"/>
                <w:highlight w:val="none"/>
                <w:lang w:eastAsia="zh-CN"/>
              </w:rPr>
              <w:t>商品混凝土</w:t>
            </w:r>
            <w:r>
              <w:rPr>
                <w:color w:val="auto"/>
                <w:highlight w:val="none"/>
              </w:rPr>
              <w:t>设备冲洗水</w:t>
            </w:r>
            <w:r>
              <w:rPr>
                <w:rFonts w:hint="eastAsia"/>
                <w:color w:val="auto"/>
                <w:highlight w:val="none"/>
                <w:lang w:val="en-US" w:eastAsia="zh-CN"/>
              </w:rPr>
              <w:t>全部回用于生产，进入产品，无废水外排。</w:t>
            </w:r>
          </w:p>
          <w:p w14:paraId="0806DC19">
            <w:pPr>
              <w:pStyle w:val="31"/>
              <w:bidi w:val="0"/>
              <w:rPr>
                <w:rFonts w:hint="eastAsia"/>
                <w:color w:val="auto"/>
                <w:highlight w:val="none"/>
                <w:lang w:val="en-US" w:eastAsia="zh-CN"/>
              </w:rPr>
            </w:pPr>
            <w:r>
              <w:rPr>
                <w:rFonts w:hint="eastAsia"/>
                <w:color w:val="auto"/>
                <w:highlight w:val="none"/>
                <w:lang w:val="en-US" w:eastAsia="zh-CN"/>
              </w:rPr>
              <w:t>c.</w:t>
            </w:r>
            <w:r>
              <w:rPr>
                <w:rFonts w:hint="eastAsia"/>
                <w:color w:val="auto"/>
                <w:highlight w:val="none"/>
                <w:lang w:val="en-US" w:eastAsia="zh-CN"/>
              </w:rPr>
              <w:t>车辆冲洗水</w:t>
            </w:r>
          </w:p>
          <w:p w14:paraId="739B87E3">
            <w:pPr>
              <w:pStyle w:val="31"/>
              <w:bidi w:val="0"/>
              <w:rPr>
                <w:rFonts w:hint="default"/>
                <w:color w:val="auto"/>
                <w:highlight w:val="none"/>
                <w:lang w:val="en-US" w:eastAsia="zh-CN"/>
              </w:rPr>
            </w:pPr>
            <w:r>
              <w:rPr>
                <w:rFonts w:hint="eastAsia"/>
                <w:color w:val="auto"/>
                <w:sz w:val="24"/>
                <w:highlight w:val="none"/>
                <w:lang w:val="en-US" w:eastAsia="zh-CN"/>
              </w:rPr>
              <w:t>车辆冲洗废水经沉淀池沉淀后回用于</w:t>
            </w:r>
            <w:r>
              <w:rPr>
                <w:rFonts w:hint="eastAsia"/>
                <w:color w:val="auto"/>
                <w:highlight w:val="none"/>
                <w:lang w:val="en-US" w:eastAsia="zh-CN"/>
              </w:rPr>
              <w:t>车辆冲洗</w:t>
            </w:r>
            <w:r>
              <w:rPr>
                <w:rFonts w:hint="eastAsia"/>
                <w:color w:val="auto"/>
                <w:sz w:val="24"/>
                <w:highlight w:val="none"/>
                <w:lang w:val="en-US" w:eastAsia="zh-CN"/>
              </w:rPr>
              <w:t>，不外排，最终全部自然蒸发消耗。</w:t>
            </w:r>
          </w:p>
          <w:p w14:paraId="6F71D919">
            <w:pPr>
              <w:pStyle w:val="31"/>
              <w:bidi w:val="0"/>
              <w:rPr>
                <w:rFonts w:hint="default"/>
                <w:color w:val="auto"/>
                <w:highlight w:val="none"/>
                <w:lang w:val="en-US" w:eastAsia="zh-CN"/>
              </w:rPr>
            </w:pPr>
            <w:r>
              <w:rPr>
                <w:rFonts w:hint="eastAsia"/>
                <w:color w:val="auto"/>
                <w:highlight w:val="none"/>
                <w:lang w:val="en-US" w:eastAsia="zh-CN"/>
              </w:rPr>
              <w:t>d.生产线用水</w:t>
            </w:r>
          </w:p>
          <w:p w14:paraId="6D94F8BC">
            <w:pPr>
              <w:pStyle w:val="31"/>
              <w:bidi w:val="0"/>
              <w:rPr>
                <w:rFonts w:hint="default"/>
                <w:color w:val="auto"/>
                <w:highlight w:val="none"/>
                <w:lang w:val="en-US" w:eastAsia="zh-CN"/>
              </w:rPr>
            </w:pPr>
            <w:r>
              <w:rPr>
                <w:rFonts w:hint="eastAsia"/>
                <w:color w:val="auto"/>
                <w:highlight w:val="none"/>
                <w:lang w:val="en-US" w:eastAsia="zh-CN"/>
              </w:rPr>
              <w:t>商品混凝土</w:t>
            </w:r>
            <w:r>
              <w:rPr>
                <w:rFonts w:hint="eastAsia"/>
                <w:color w:val="auto"/>
                <w:highlight w:val="none"/>
              </w:rPr>
              <w:t>生产线</w:t>
            </w:r>
            <w:r>
              <w:rPr>
                <w:rFonts w:hint="eastAsia"/>
                <w:color w:val="auto"/>
                <w:highlight w:val="none"/>
                <w:lang w:val="en-US" w:eastAsia="zh-CN"/>
              </w:rPr>
              <w:t>用水全部</w:t>
            </w:r>
            <w:r>
              <w:rPr>
                <w:color w:val="auto"/>
                <w:highlight w:val="none"/>
              </w:rPr>
              <w:t>进入产品，无废水外排。</w:t>
            </w:r>
          </w:p>
          <w:p w14:paraId="53D22B27">
            <w:pPr>
              <w:pStyle w:val="31"/>
              <w:bidi w:val="0"/>
              <w:rPr>
                <w:rFonts w:hint="eastAsia"/>
                <w:color w:val="auto"/>
                <w:highlight w:val="none"/>
                <w:lang w:val="en-US" w:eastAsia="zh-CN"/>
              </w:rPr>
            </w:pPr>
            <w:r>
              <w:rPr>
                <w:rFonts w:hint="eastAsia" w:cs="宋体"/>
                <w:color w:val="auto"/>
                <w:highlight w:val="none"/>
                <w:lang w:val="en-US" w:eastAsia="zh-CN"/>
              </w:rPr>
              <w:t>③</w:t>
            </w:r>
            <w:r>
              <w:rPr>
                <w:rFonts w:hint="eastAsia"/>
                <w:color w:val="auto"/>
                <w:highlight w:val="none"/>
                <w:lang w:val="en-US" w:eastAsia="zh-CN"/>
              </w:rPr>
              <w:t>初期雨水</w:t>
            </w:r>
          </w:p>
          <w:p w14:paraId="72202058">
            <w:pPr>
              <w:pStyle w:val="14"/>
              <w:bidi w:val="0"/>
              <w:rPr>
                <w:rFonts w:hint="eastAsia"/>
                <w:color w:val="auto"/>
                <w:highlight w:val="none"/>
                <w:lang w:val="en-US" w:eastAsia="zh-CN"/>
              </w:rPr>
            </w:pPr>
            <w:r>
              <w:rPr>
                <w:rFonts w:hint="eastAsia"/>
                <w:color w:val="auto"/>
                <w:highlight w:val="none"/>
              </w:rPr>
              <w:t>本项目</w:t>
            </w:r>
            <w:r>
              <w:rPr>
                <w:rFonts w:hint="eastAsia"/>
                <w:color w:val="auto"/>
                <w:highlight w:val="none"/>
                <w:lang w:val="en-US" w:eastAsia="zh-CN"/>
              </w:rPr>
              <w:t>厂区设初期雨水收集沉淀池，收集15分钟内的初期雨水，用于厂区降尘用水，不足部分采用新鲜水。</w:t>
            </w:r>
          </w:p>
          <w:p w14:paraId="7AEAA7F1">
            <w:pPr>
              <w:pStyle w:val="14"/>
              <w:bidi w:val="0"/>
              <w:rPr>
                <w:rFonts w:hint="eastAsia"/>
                <w:color w:val="auto"/>
                <w:highlight w:val="none"/>
                <w:lang w:val="en-US" w:eastAsia="zh-CN"/>
              </w:rPr>
            </w:pPr>
            <w:r>
              <w:rPr>
                <w:rFonts w:hint="eastAsia"/>
                <w:color w:val="auto"/>
                <w:highlight w:val="none"/>
                <w:lang w:val="en-US" w:eastAsia="zh-CN"/>
              </w:rPr>
              <w:t>按降雨重现期2年计算降雨初期前15分钟雨水量作为初期雨水量，根据《给排水设计手册》，初期雨水径流采用如下公式：</w:t>
            </w:r>
          </w:p>
          <w:p w14:paraId="4835E9AA">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color w:val="auto"/>
                <w:sz w:val="24"/>
                <w:highlight w:val="none"/>
                <w:lang w:val="en-US" w:eastAsia="zh-CN"/>
              </w:rPr>
            </w:pPr>
            <w:r>
              <w:rPr>
                <w:rFonts w:hint="eastAsia"/>
                <w:color w:val="auto"/>
                <w:sz w:val="24"/>
                <w:highlight w:val="none"/>
                <w:lang w:val="en-US" w:eastAsia="zh-CN"/>
              </w:rPr>
              <w:t>Q=q×</w:t>
            </w:r>
            <w:r>
              <w:rPr>
                <w:rFonts w:hint="eastAsia" w:ascii="宋体" w:hAnsi="宋体" w:eastAsia="宋体" w:cs="宋体"/>
                <w:color w:val="auto"/>
                <w:sz w:val="24"/>
                <w:highlight w:val="none"/>
                <w:lang w:val="en-US" w:eastAsia="zh-CN"/>
              </w:rPr>
              <w:t>Ψ</w:t>
            </w:r>
            <w:r>
              <w:rPr>
                <w:rFonts w:hint="eastAsia"/>
                <w:color w:val="auto"/>
                <w:sz w:val="24"/>
                <w:highlight w:val="none"/>
                <w:lang w:val="en-US" w:eastAsia="zh-CN"/>
              </w:rPr>
              <w:t>×F</w:t>
            </w:r>
          </w:p>
          <w:p w14:paraId="743C3F0E">
            <w:pPr>
              <w:adjustRightInd w:val="0"/>
              <w:snapToGrid w:val="0"/>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式中：</w:t>
            </w:r>
          </w:p>
          <w:p w14:paraId="77E61D6E">
            <w:pPr>
              <w:adjustRightInd w:val="0"/>
              <w:snapToGrid w:val="0"/>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Q-雨水设计流量（L/s）；</w:t>
            </w:r>
          </w:p>
          <w:p w14:paraId="509BDE7B">
            <w:pPr>
              <w:adjustRightInd w:val="0"/>
              <w:snapToGrid w:val="0"/>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q-设计暴雨强度（L/s·ha）；</w:t>
            </w:r>
          </w:p>
          <w:p w14:paraId="3238FFFA">
            <w:pPr>
              <w:adjustRightInd w:val="0"/>
              <w:snapToGrid w:val="0"/>
              <w:spacing w:line="360" w:lineRule="auto"/>
              <w:ind w:firstLine="480" w:firstLineChars="200"/>
              <w:rPr>
                <w:rFonts w:hint="eastAsia"/>
                <w:color w:val="auto"/>
                <w:sz w:val="24"/>
                <w:highlight w:val="none"/>
                <w:lang w:val="en-US" w:eastAsia="zh-CN"/>
              </w:rPr>
            </w:pPr>
            <w:r>
              <w:rPr>
                <w:rFonts w:hint="eastAsia" w:ascii="宋体" w:hAnsi="宋体" w:eastAsia="宋体" w:cs="宋体"/>
                <w:color w:val="auto"/>
                <w:sz w:val="24"/>
                <w:highlight w:val="none"/>
                <w:lang w:val="en-US" w:eastAsia="zh-CN"/>
              </w:rPr>
              <w:t>Ψ</w:t>
            </w:r>
            <w:r>
              <w:rPr>
                <w:rFonts w:hint="eastAsia"/>
                <w:color w:val="auto"/>
                <w:sz w:val="24"/>
                <w:highlight w:val="none"/>
                <w:lang w:val="en-US" w:eastAsia="zh-CN"/>
              </w:rPr>
              <w:t>-径流系数，本式取0.6；</w:t>
            </w:r>
          </w:p>
          <w:p w14:paraId="535F4E86">
            <w:pPr>
              <w:adjustRightInd w:val="0"/>
              <w:snapToGrid w:val="0"/>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F-汇水面积（ha），汇水面积取厂区道路面积为1.75ha；</w:t>
            </w:r>
          </w:p>
          <w:p w14:paraId="42A9D4B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color w:val="auto"/>
                <w:sz w:val="24"/>
                <w:highlight w:val="none"/>
                <w:lang w:val="en-US" w:eastAsia="zh-CN"/>
              </w:rPr>
            </w:pPr>
            <w:r>
              <w:rPr>
                <w:rFonts w:hint="eastAsia"/>
                <w:color w:val="auto"/>
                <w:sz w:val="24"/>
                <w:highlight w:val="none"/>
                <w:lang w:val="en-US" w:eastAsia="zh-CN"/>
              </w:rPr>
              <w:t>设计暴雨强度根据《给水排水设计手册》各地区暴雨强度统计值进行分析，采用双鸭山市暴雨强度，公式如下：</w:t>
            </w:r>
          </w:p>
          <w:p w14:paraId="2ED1677C">
            <w:pPr>
              <w:adjustRightInd w:val="0"/>
              <w:snapToGrid w:val="0"/>
              <w:spacing w:line="360" w:lineRule="auto"/>
              <w:jc w:val="center"/>
              <w:rPr>
                <w:rFonts w:hint="default"/>
                <w:color w:val="auto"/>
                <w:sz w:val="24"/>
                <w:highlight w:val="none"/>
                <w:lang w:val="en-US" w:eastAsia="zh-CN"/>
              </w:rPr>
            </w:pPr>
            <w:r>
              <w:rPr>
                <w:rFonts w:hint="eastAsia"/>
                <w:color w:val="auto"/>
                <w:sz w:val="24"/>
                <w:highlight w:val="none"/>
                <w:lang w:val="en-US" w:eastAsia="zh-CN"/>
              </w:rPr>
              <w:t>q=1673（1+0.822lgP）/（t+10）</w:t>
            </w:r>
            <w:r>
              <w:rPr>
                <w:rFonts w:hint="eastAsia"/>
                <w:color w:val="auto"/>
                <w:sz w:val="24"/>
                <w:highlight w:val="none"/>
                <w:vertAlign w:val="superscript"/>
                <w:lang w:val="en-US" w:eastAsia="zh-CN"/>
              </w:rPr>
              <w:t>0.693</w:t>
            </w:r>
          </w:p>
          <w:p w14:paraId="1833901F">
            <w:pPr>
              <w:adjustRightInd w:val="0"/>
              <w:snapToGrid w:val="0"/>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式中：</w:t>
            </w:r>
          </w:p>
          <w:p w14:paraId="05DB0D9A">
            <w:pPr>
              <w:numPr>
                <w:ilvl w:val="0"/>
                <w:numId w:val="1"/>
              </w:numPr>
              <w:adjustRightInd w:val="0"/>
              <w:snapToGrid w:val="0"/>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设计重现期（a），采用2年；</w:t>
            </w:r>
          </w:p>
          <w:p w14:paraId="690650F2">
            <w:pPr>
              <w:numPr>
                <w:ilvl w:val="0"/>
                <w:numId w:val="0"/>
              </w:numPr>
              <w:adjustRightInd w:val="0"/>
              <w:snapToGrid w:val="0"/>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t-降雨历时（min），采用15min。</w:t>
            </w:r>
          </w:p>
          <w:p w14:paraId="538C6AB2">
            <w:pPr>
              <w:adjustRightInd w:val="0"/>
              <w:snapToGrid w:val="0"/>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经计算得初期雨水211.93t/次，本项目新建设1座625m</w:t>
            </w:r>
            <w:r>
              <w:rPr>
                <w:rFonts w:hint="eastAsia"/>
                <w:color w:val="auto"/>
                <w:sz w:val="24"/>
                <w:highlight w:val="none"/>
                <w:vertAlign w:val="superscript"/>
                <w:lang w:val="en-US" w:eastAsia="zh-CN"/>
              </w:rPr>
              <w:t>3</w:t>
            </w:r>
            <w:r>
              <w:rPr>
                <w:rFonts w:hint="eastAsia"/>
                <w:color w:val="auto"/>
                <w:sz w:val="24"/>
                <w:highlight w:val="none"/>
                <w:vertAlign w:val="baseline"/>
                <w:lang w:val="en-US" w:eastAsia="zh-CN"/>
              </w:rPr>
              <w:t>沉淀池</w:t>
            </w:r>
            <w:r>
              <w:rPr>
                <w:rFonts w:hint="eastAsia"/>
                <w:color w:val="auto"/>
                <w:sz w:val="24"/>
                <w:highlight w:val="none"/>
                <w:lang w:val="en-US" w:eastAsia="zh-CN"/>
              </w:rPr>
              <w:t>能够满足本厂区初期雨水的收集需要。</w:t>
            </w:r>
          </w:p>
          <w:p w14:paraId="1BFD27AC">
            <w:pPr>
              <w:pStyle w:val="31"/>
              <w:bidi w:val="0"/>
              <w:rPr>
                <w:rFonts w:hint="default"/>
                <w:color w:val="auto"/>
                <w:highlight w:val="none"/>
                <w:lang w:val="en-US" w:eastAsia="zh-CN"/>
              </w:rPr>
            </w:pPr>
            <w:r>
              <w:rPr>
                <w:rFonts w:hint="eastAsia"/>
                <w:color w:val="auto"/>
                <w:highlight w:val="none"/>
                <w:lang w:val="en-US" w:eastAsia="zh-CN"/>
              </w:rPr>
              <w:t>初期雨水通过厂区地势自然流入沉淀池后用于厂区洒水降尘，全部自然蒸发，不外排。</w:t>
            </w:r>
            <w:r>
              <w:rPr>
                <w:rFonts w:hint="eastAsia"/>
                <w:color w:val="auto"/>
                <w:highlight w:val="none"/>
                <w:lang w:val="en-US" w:eastAsia="zh-CN"/>
              </w:rPr>
              <w:t>由于实际生产中</w:t>
            </w:r>
            <w:r>
              <w:rPr>
                <w:rFonts w:hint="eastAsia" w:cs="Times New Roman"/>
                <w:color w:val="auto"/>
                <w:highlight w:val="none"/>
                <w:lang w:val="en-US" w:eastAsia="zh-CN"/>
              </w:rPr>
              <w:t>初期雨水的产生量、贮存蒸发损耗存在不确定性，水平</w:t>
            </w:r>
            <w:r>
              <w:rPr>
                <w:rFonts w:hint="eastAsia"/>
                <w:color w:val="auto"/>
                <w:highlight w:val="none"/>
                <w:lang w:val="en-US" w:eastAsia="zh-CN"/>
              </w:rPr>
              <w:t>衡图中仅交代去向，不定量表示。</w:t>
            </w:r>
          </w:p>
          <w:p w14:paraId="001A106F">
            <w:pPr>
              <w:pStyle w:val="31"/>
              <w:bidi w:val="0"/>
              <w:rPr>
                <w:rFonts w:hint="eastAsia"/>
                <w:color w:val="auto"/>
                <w:highlight w:val="none"/>
                <w:lang w:val="en-US" w:eastAsia="zh-CN"/>
              </w:rPr>
            </w:pPr>
            <w:r>
              <w:rPr>
                <w:rFonts w:hint="eastAsia"/>
                <w:color w:val="auto"/>
                <w:highlight w:val="none"/>
                <w:lang w:val="en-US" w:eastAsia="zh-CN"/>
              </w:rPr>
              <w:t>本项目水平衡图如下：</w:t>
            </w:r>
          </w:p>
          <w:p w14:paraId="44B1AE98">
            <w:pPr>
              <w:pStyle w:val="36"/>
              <w:bidi w:val="0"/>
              <w:rPr>
                <w:rFonts w:hint="default"/>
                <w:color w:val="auto"/>
                <w:highlight w:val="none"/>
                <w:lang w:val="en-US" w:eastAsia="zh-CN"/>
              </w:rPr>
            </w:pPr>
            <w:r>
              <w:rPr>
                <w:color w:val="auto"/>
                <w:highlight w:val="none"/>
              </w:rPr>
              <w:drawing>
                <wp:inline distT="0" distB="0" distL="114300" distR="114300">
                  <wp:extent cx="4535805" cy="4110990"/>
                  <wp:effectExtent l="0" t="0" r="17145" b="3810"/>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20"/>
                          <a:stretch>
                            <a:fillRect/>
                          </a:stretch>
                        </pic:blipFill>
                        <pic:spPr>
                          <a:xfrm>
                            <a:off x="0" y="0"/>
                            <a:ext cx="4535805" cy="4110990"/>
                          </a:xfrm>
                          <a:prstGeom prst="rect">
                            <a:avLst/>
                          </a:prstGeom>
                          <a:noFill/>
                          <a:ln>
                            <a:noFill/>
                          </a:ln>
                        </pic:spPr>
                      </pic:pic>
                    </a:graphicData>
                  </a:graphic>
                </wp:inline>
              </w:drawing>
            </w:r>
          </w:p>
          <w:p w14:paraId="3E63EB32">
            <w:pPr>
              <w:pStyle w:val="36"/>
              <w:bidi w:val="0"/>
              <w:rPr>
                <w:color w:val="auto"/>
                <w:highlight w:val="none"/>
              </w:rPr>
            </w:pPr>
            <w:r>
              <w:rPr>
                <w:color w:val="auto"/>
                <w:highlight w:val="none"/>
              </w:rPr>
              <w:t>图</w:t>
            </w:r>
            <w:r>
              <w:rPr>
                <w:rFonts w:hint="eastAsia"/>
                <w:color w:val="auto"/>
                <w:highlight w:val="none"/>
              </w:rPr>
              <w:t>2-</w:t>
            </w:r>
            <w:r>
              <w:rPr>
                <w:rFonts w:hint="eastAsia"/>
                <w:color w:val="auto"/>
                <w:highlight w:val="none"/>
                <w:lang w:val="en-US" w:eastAsia="zh-CN"/>
              </w:rPr>
              <w:t xml:space="preserve">1   </w:t>
            </w:r>
            <w:r>
              <w:rPr>
                <w:color w:val="auto"/>
                <w:highlight w:val="none"/>
              </w:rPr>
              <w:t>水平衡图</w:t>
            </w:r>
            <w:r>
              <w:rPr>
                <w:rFonts w:hint="eastAsia"/>
                <w:color w:val="auto"/>
                <w:highlight w:val="none"/>
              </w:rPr>
              <w:t xml:space="preserve">  </w:t>
            </w:r>
            <w:r>
              <w:rPr>
                <w:color w:val="auto"/>
                <w:highlight w:val="none"/>
              </w:rPr>
              <w:t>单位t/d</w:t>
            </w:r>
          </w:p>
          <w:p w14:paraId="722855C1">
            <w:pPr>
              <w:pStyle w:val="31"/>
              <w:keepNext w:val="0"/>
              <w:keepLines w:val="0"/>
              <w:pageBreakBefore w:val="0"/>
              <w:widowControl w:val="0"/>
              <w:kinsoku/>
              <w:wordWrap w:val="0"/>
              <w:overflowPunct/>
              <w:topLinePunct/>
              <w:autoSpaceDE/>
              <w:autoSpaceDN/>
              <w:bidi w:val="0"/>
              <w:adjustRightInd/>
              <w:snapToGrid/>
              <w:spacing w:before="157" w:beforeLines="50"/>
              <w:textAlignment w:val="auto"/>
              <w:rPr>
                <w:rFonts w:hint="default"/>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default"/>
                <w:color w:val="auto"/>
                <w:highlight w:val="none"/>
              </w:rPr>
              <w:t>供热：本项目冬季不生产，无需供暖。</w:t>
            </w:r>
          </w:p>
          <w:p w14:paraId="658C3523">
            <w:pPr>
              <w:pStyle w:val="31"/>
              <w:bidi w:val="0"/>
              <w:rPr>
                <w:color w:val="auto"/>
                <w:highlight w:val="none"/>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color w:val="auto"/>
                <w:highlight w:val="none"/>
              </w:rPr>
              <w:t>供电：由当地电业局提供。</w:t>
            </w:r>
          </w:p>
          <w:p w14:paraId="6B854D79">
            <w:pPr>
              <w:spacing w:line="360" w:lineRule="auto"/>
              <w:ind w:firstLine="482" w:firstLineChars="200"/>
              <w:contextualSpacing/>
              <w:jc w:val="left"/>
              <w:rPr>
                <w:b/>
                <w:bCs/>
                <w:color w:val="auto"/>
                <w:highlight w:val="none"/>
              </w:rPr>
            </w:pPr>
            <w:r>
              <w:rPr>
                <w:rFonts w:hint="eastAsia"/>
                <w:b/>
                <w:bCs/>
                <w:color w:val="auto"/>
                <w:highlight w:val="none"/>
                <w:lang w:val="en-US" w:eastAsia="zh-CN"/>
              </w:rPr>
              <w:t>6</w:t>
            </w:r>
            <w:r>
              <w:rPr>
                <w:rFonts w:hint="eastAsia"/>
                <w:b/>
                <w:bCs/>
                <w:color w:val="auto"/>
                <w:highlight w:val="none"/>
              </w:rPr>
              <w:t>、劳动定员及工作制度</w:t>
            </w:r>
          </w:p>
          <w:p w14:paraId="3A02778B">
            <w:pPr>
              <w:pStyle w:val="31"/>
              <w:bidi w:val="0"/>
              <w:rPr>
                <w:color w:val="auto"/>
                <w:highlight w:val="none"/>
              </w:rPr>
            </w:pPr>
            <w:r>
              <w:rPr>
                <w:color w:val="auto"/>
                <w:highlight w:val="none"/>
              </w:rPr>
              <w:t>本项目员工</w:t>
            </w:r>
            <w:r>
              <w:rPr>
                <w:rFonts w:hint="eastAsia"/>
                <w:color w:val="auto"/>
                <w:highlight w:val="none"/>
                <w:lang w:val="en-US" w:eastAsia="zh-CN"/>
              </w:rPr>
              <w:t>13</w:t>
            </w:r>
            <w:r>
              <w:rPr>
                <w:color w:val="auto"/>
                <w:highlight w:val="none"/>
              </w:rPr>
              <w:t>人，年工作</w:t>
            </w:r>
            <w:r>
              <w:rPr>
                <w:rFonts w:hint="eastAsia"/>
                <w:color w:val="auto"/>
                <w:highlight w:val="none"/>
                <w:lang w:val="en-US" w:eastAsia="zh-CN"/>
              </w:rPr>
              <w:t>180</w:t>
            </w:r>
            <w:r>
              <w:rPr>
                <w:color w:val="auto"/>
                <w:highlight w:val="none"/>
              </w:rPr>
              <w:t>天</w:t>
            </w:r>
            <w:r>
              <w:rPr>
                <w:rFonts w:hint="eastAsia"/>
                <w:color w:val="auto"/>
                <w:highlight w:val="none"/>
              </w:rPr>
              <w:t>（</w:t>
            </w:r>
            <w:r>
              <w:rPr>
                <w:rFonts w:hint="eastAsia"/>
                <w:color w:val="auto"/>
                <w:highlight w:val="none"/>
                <w:lang w:val="en-US" w:eastAsia="zh-CN"/>
              </w:rPr>
              <w:t>4</w:t>
            </w:r>
            <w:r>
              <w:rPr>
                <w:rFonts w:hint="eastAsia"/>
                <w:color w:val="auto"/>
                <w:highlight w:val="none"/>
              </w:rPr>
              <w:t>月—</w:t>
            </w:r>
            <w:r>
              <w:rPr>
                <w:rFonts w:hint="eastAsia"/>
                <w:color w:val="auto"/>
                <w:highlight w:val="none"/>
                <w:lang w:val="en-US" w:eastAsia="zh-CN"/>
              </w:rPr>
              <w:t>10</w:t>
            </w:r>
            <w:r>
              <w:rPr>
                <w:rFonts w:hint="eastAsia"/>
                <w:color w:val="auto"/>
                <w:highlight w:val="none"/>
              </w:rPr>
              <w:t>月）</w:t>
            </w:r>
            <w:r>
              <w:rPr>
                <w:color w:val="auto"/>
                <w:highlight w:val="none"/>
              </w:rPr>
              <w:t>，一班制，</w:t>
            </w:r>
            <w:r>
              <w:rPr>
                <w:rFonts w:hint="eastAsia"/>
                <w:color w:val="auto"/>
                <w:highlight w:val="none"/>
                <w:lang w:val="en-US" w:eastAsia="zh-CN"/>
              </w:rPr>
              <w:t>10</w:t>
            </w:r>
            <w:r>
              <w:rPr>
                <w:color w:val="auto"/>
                <w:highlight w:val="none"/>
              </w:rPr>
              <w:t>小时</w:t>
            </w:r>
            <w:r>
              <w:rPr>
                <w:rFonts w:hint="eastAsia"/>
                <w:color w:val="auto"/>
                <w:highlight w:val="none"/>
                <w:lang w:eastAsia="zh-CN"/>
              </w:rPr>
              <w:t>；</w:t>
            </w:r>
            <w:r>
              <w:rPr>
                <w:rFonts w:hint="eastAsia"/>
                <w:color w:val="auto"/>
                <w:highlight w:val="none"/>
                <w:lang w:val="en-US" w:eastAsia="zh-CN"/>
              </w:rPr>
              <w:t>生产</w:t>
            </w:r>
            <w:r>
              <w:rPr>
                <w:rFonts w:hint="default"/>
                <w:color w:val="auto"/>
                <w:highlight w:val="none"/>
              </w:rPr>
              <w:t>设备年时基数</w:t>
            </w:r>
            <w:r>
              <w:rPr>
                <w:rFonts w:hint="eastAsia"/>
                <w:color w:val="auto"/>
                <w:highlight w:val="none"/>
                <w:lang w:val="en-US" w:eastAsia="zh-CN"/>
              </w:rPr>
              <w:t>为10h/d（1800h/a）</w:t>
            </w:r>
            <w:r>
              <w:rPr>
                <w:color w:val="auto"/>
                <w:highlight w:val="none"/>
              </w:rPr>
              <w:t>。</w:t>
            </w:r>
            <w:r>
              <w:rPr>
                <w:rFonts w:hint="eastAsia"/>
                <w:color w:val="auto"/>
                <w:highlight w:val="none"/>
                <w:lang w:val="en-US" w:eastAsia="zh-CN"/>
              </w:rPr>
              <w:t>本项目不设宿舍和食堂</w:t>
            </w:r>
            <w:r>
              <w:rPr>
                <w:color w:val="auto"/>
                <w:highlight w:val="none"/>
              </w:rPr>
              <w:t>。</w:t>
            </w:r>
          </w:p>
          <w:p w14:paraId="11A5B851">
            <w:pPr>
              <w:spacing w:line="360" w:lineRule="auto"/>
              <w:ind w:firstLine="482" w:firstLineChars="200"/>
              <w:contextualSpacing/>
              <w:jc w:val="left"/>
              <w:rPr>
                <w:b/>
                <w:bCs/>
                <w:color w:val="auto"/>
                <w:highlight w:val="none"/>
              </w:rPr>
            </w:pPr>
            <w:r>
              <w:rPr>
                <w:rFonts w:hint="eastAsia"/>
                <w:b/>
                <w:bCs/>
                <w:color w:val="auto"/>
                <w:highlight w:val="none"/>
                <w:lang w:val="en-US" w:eastAsia="zh-CN"/>
              </w:rPr>
              <w:t>7</w:t>
            </w:r>
            <w:r>
              <w:rPr>
                <w:rFonts w:hint="eastAsia"/>
                <w:b/>
                <w:bCs/>
                <w:color w:val="auto"/>
                <w:highlight w:val="none"/>
              </w:rPr>
              <w:t>、厂区平面布置</w:t>
            </w:r>
          </w:p>
          <w:p w14:paraId="136D3B2F">
            <w:pPr>
              <w:spacing w:line="360" w:lineRule="auto"/>
              <w:ind w:firstLine="480" w:firstLineChars="200"/>
              <w:contextualSpacing/>
              <w:jc w:val="left"/>
              <w:rPr>
                <w:rFonts w:hint="eastAsia"/>
                <w:color w:val="auto"/>
                <w:highlight w:val="none"/>
              </w:rPr>
            </w:pPr>
            <w:r>
              <w:rPr>
                <w:rFonts w:hint="eastAsia"/>
                <w:color w:val="auto"/>
                <w:highlight w:val="none"/>
              </w:rPr>
              <w:t>本项目</w:t>
            </w:r>
            <w:r>
              <w:rPr>
                <w:rFonts w:hint="eastAsia"/>
                <w:color w:val="auto"/>
                <w:highlight w:val="none"/>
                <w:lang w:val="en-US" w:eastAsia="zh-CN"/>
              </w:rPr>
              <w:t>从北至南依次为原料堆场区、生产区，</w:t>
            </w:r>
            <w:r>
              <w:rPr>
                <w:rFonts w:hint="eastAsia"/>
                <w:color w:val="auto"/>
                <w:highlight w:val="none"/>
              </w:rPr>
              <w:t>生产区位于</w:t>
            </w:r>
            <w:r>
              <w:rPr>
                <w:rFonts w:hint="eastAsia"/>
                <w:color w:val="auto"/>
                <w:highlight w:val="none"/>
                <w:lang w:val="en-US" w:eastAsia="zh-CN"/>
              </w:rPr>
              <w:t>厂区中央位置，生产区北侧为原料堆场</w:t>
            </w:r>
            <w:r>
              <w:rPr>
                <w:rFonts w:hint="eastAsia"/>
                <w:color w:val="auto"/>
                <w:kern w:val="0"/>
                <w:sz w:val="24"/>
                <w:highlight w:val="none"/>
              </w:rPr>
              <w:t>，距离生产线较近，便于原料运输</w:t>
            </w:r>
            <w:r>
              <w:rPr>
                <w:rFonts w:hint="eastAsia"/>
                <w:color w:val="auto"/>
                <w:kern w:val="0"/>
                <w:sz w:val="24"/>
                <w:highlight w:val="none"/>
                <w:lang w:eastAsia="zh-CN"/>
              </w:rPr>
              <w:t>，</w:t>
            </w:r>
            <w:r>
              <w:rPr>
                <w:rFonts w:hint="eastAsia"/>
                <w:color w:val="auto"/>
                <w:highlight w:val="none"/>
              </w:rPr>
              <w:t>总体布局合理。厂区平面布置图件附图3。</w:t>
            </w:r>
          </w:p>
          <w:p w14:paraId="03369CFB">
            <w:pPr>
              <w:pStyle w:val="31"/>
              <w:bidi w:val="0"/>
              <w:rPr>
                <w:rFonts w:hint="eastAsia"/>
                <w:b/>
                <w:bCs/>
                <w:color w:val="auto"/>
                <w:highlight w:val="none"/>
                <w:lang w:val="en-US" w:eastAsia="zh-CN"/>
              </w:rPr>
            </w:pPr>
            <w:r>
              <w:rPr>
                <w:rFonts w:hint="eastAsia"/>
                <w:b/>
                <w:bCs/>
                <w:color w:val="auto"/>
                <w:highlight w:val="none"/>
                <w:lang w:val="en-US" w:eastAsia="zh-CN"/>
              </w:rPr>
              <w:t>8、环保投资</w:t>
            </w:r>
          </w:p>
          <w:p w14:paraId="0268EA57">
            <w:pPr>
              <w:keepNext w:val="0"/>
              <w:keepLines w:val="0"/>
              <w:pageBreakBefore w:val="0"/>
              <w:widowControl w:val="0"/>
              <w:kinsoku/>
              <w:wordWrap w:val="0"/>
              <w:overflowPunct/>
              <w:topLinePunct/>
              <w:autoSpaceDE/>
              <w:autoSpaceDN/>
              <w:bidi w:val="0"/>
              <w:adjustRightInd/>
              <w:snapToGrid/>
              <w:spacing w:line="360" w:lineRule="auto"/>
              <w:ind w:firstLine="480" w:firstLineChars="200"/>
              <w:jc w:val="left"/>
              <w:textAlignment w:val="center"/>
              <w:rPr>
                <w:color w:val="auto"/>
                <w:sz w:val="24"/>
                <w:highlight w:val="none"/>
              </w:rPr>
            </w:pPr>
            <w:r>
              <w:rPr>
                <w:color w:val="auto"/>
                <w:sz w:val="24"/>
                <w:highlight w:val="none"/>
              </w:rPr>
              <w:t>本项目总投资</w:t>
            </w:r>
            <w:r>
              <w:rPr>
                <w:rFonts w:hint="eastAsia"/>
                <w:color w:val="auto"/>
                <w:sz w:val="24"/>
                <w:highlight w:val="none"/>
                <w:lang w:val="en-US" w:eastAsia="zh-CN"/>
              </w:rPr>
              <w:t>200</w:t>
            </w:r>
            <w:r>
              <w:rPr>
                <w:color w:val="auto"/>
                <w:sz w:val="24"/>
                <w:highlight w:val="none"/>
              </w:rPr>
              <w:t>万元，环保投资</w:t>
            </w:r>
            <w:r>
              <w:rPr>
                <w:rFonts w:hint="eastAsia"/>
                <w:color w:val="auto"/>
                <w:sz w:val="24"/>
                <w:highlight w:val="none"/>
                <w:lang w:val="en-US" w:eastAsia="zh-CN"/>
              </w:rPr>
              <w:t>29</w:t>
            </w:r>
            <w:r>
              <w:rPr>
                <w:color w:val="auto"/>
                <w:sz w:val="24"/>
                <w:highlight w:val="none"/>
              </w:rPr>
              <w:t>万元，环保总投资占项目总投资的</w:t>
            </w:r>
            <w:r>
              <w:rPr>
                <w:rFonts w:hint="eastAsia"/>
                <w:color w:val="auto"/>
                <w:sz w:val="24"/>
                <w:highlight w:val="none"/>
                <w:lang w:val="en-US" w:eastAsia="zh-CN"/>
              </w:rPr>
              <w:t>14.5</w:t>
            </w:r>
            <w:r>
              <w:rPr>
                <w:color w:val="auto"/>
                <w:sz w:val="24"/>
                <w:highlight w:val="none"/>
              </w:rPr>
              <w:t>%。环保投资详见表2</w:t>
            </w:r>
            <w:r>
              <w:rPr>
                <w:rFonts w:hint="eastAsia"/>
                <w:color w:val="auto"/>
                <w:sz w:val="24"/>
                <w:highlight w:val="none"/>
                <w:lang w:val="en-US" w:eastAsia="zh-CN"/>
              </w:rPr>
              <w:t>-5</w:t>
            </w:r>
            <w:r>
              <w:rPr>
                <w:color w:val="auto"/>
                <w:sz w:val="24"/>
                <w:highlight w:val="none"/>
              </w:rPr>
              <w:t>。</w:t>
            </w:r>
          </w:p>
          <w:p w14:paraId="56558921">
            <w:pPr>
              <w:pStyle w:val="36"/>
              <w:bidi w:val="0"/>
              <w:rPr>
                <w:rFonts w:hint="default" w:eastAsia="宋体"/>
                <w:color w:val="auto"/>
                <w:highlight w:val="none"/>
                <w:lang w:val="en-US" w:eastAsia="zh-CN"/>
              </w:rPr>
            </w:pPr>
            <w:r>
              <w:rPr>
                <w:rFonts w:hint="eastAsia"/>
                <w:color w:val="auto"/>
                <w:highlight w:val="none"/>
                <w:lang w:val="en-US" w:eastAsia="zh-CN"/>
              </w:rPr>
              <w:t>表2-5本项目投资</w:t>
            </w:r>
            <w:r>
              <w:rPr>
                <w:color w:val="auto"/>
                <w:highlight w:val="none"/>
              </w:rPr>
              <w:t>环境保护投资一览表</w:t>
            </w:r>
            <w:r>
              <w:rPr>
                <w:rFonts w:hint="eastAsia"/>
                <w:color w:val="auto"/>
                <w:highlight w:val="none"/>
                <w:lang w:val="en-US" w:eastAsia="zh-CN"/>
              </w:rPr>
              <w:t xml:space="preserve">  单位：万元</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7"/>
              <w:gridCol w:w="1320"/>
              <w:gridCol w:w="5070"/>
              <w:gridCol w:w="648"/>
            </w:tblGrid>
            <w:tr w14:paraId="1E902A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5" w:type="pct"/>
                  <w:noWrap w:val="0"/>
                  <w:vAlign w:val="center"/>
                </w:tcPr>
                <w:p w14:paraId="47403D06">
                  <w:pPr>
                    <w:pStyle w:val="46"/>
                    <w:bidi w:val="0"/>
                    <w:rPr>
                      <w:color w:val="auto"/>
                      <w:sz w:val="21"/>
                      <w:szCs w:val="21"/>
                      <w:highlight w:val="none"/>
                    </w:rPr>
                  </w:pPr>
                  <w:r>
                    <w:rPr>
                      <w:color w:val="auto"/>
                      <w:sz w:val="21"/>
                      <w:szCs w:val="21"/>
                      <w:highlight w:val="none"/>
                    </w:rPr>
                    <w:t>阶段</w:t>
                  </w:r>
                </w:p>
              </w:tc>
              <w:tc>
                <w:tcPr>
                  <w:tcW w:w="874" w:type="pct"/>
                  <w:noWrap w:val="0"/>
                  <w:vAlign w:val="center"/>
                </w:tcPr>
                <w:p w14:paraId="1707EFCC">
                  <w:pPr>
                    <w:pStyle w:val="46"/>
                    <w:bidi w:val="0"/>
                    <w:rPr>
                      <w:color w:val="auto"/>
                      <w:sz w:val="21"/>
                      <w:szCs w:val="21"/>
                      <w:highlight w:val="none"/>
                    </w:rPr>
                  </w:pPr>
                  <w:r>
                    <w:rPr>
                      <w:color w:val="auto"/>
                      <w:sz w:val="21"/>
                      <w:szCs w:val="21"/>
                      <w:highlight w:val="none"/>
                    </w:rPr>
                    <w:t>类别</w:t>
                  </w:r>
                </w:p>
              </w:tc>
              <w:tc>
                <w:tcPr>
                  <w:tcW w:w="3359" w:type="pct"/>
                  <w:noWrap w:val="0"/>
                  <w:vAlign w:val="center"/>
                </w:tcPr>
                <w:p w14:paraId="67C884D3">
                  <w:pPr>
                    <w:pStyle w:val="46"/>
                    <w:bidi w:val="0"/>
                    <w:rPr>
                      <w:color w:val="auto"/>
                      <w:sz w:val="21"/>
                      <w:szCs w:val="21"/>
                      <w:highlight w:val="none"/>
                    </w:rPr>
                  </w:pPr>
                  <w:r>
                    <w:rPr>
                      <w:color w:val="auto"/>
                      <w:sz w:val="21"/>
                      <w:szCs w:val="21"/>
                      <w:highlight w:val="none"/>
                    </w:rPr>
                    <w:t>环保设施项目</w:t>
                  </w:r>
                </w:p>
              </w:tc>
              <w:tc>
                <w:tcPr>
                  <w:tcW w:w="429" w:type="pct"/>
                  <w:noWrap w:val="0"/>
                  <w:vAlign w:val="center"/>
                </w:tcPr>
                <w:p w14:paraId="21B4837C">
                  <w:pPr>
                    <w:pStyle w:val="46"/>
                    <w:bidi w:val="0"/>
                    <w:rPr>
                      <w:color w:val="auto"/>
                      <w:sz w:val="21"/>
                      <w:szCs w:val="21"/>
                      <w:highlight w:val="none"/>
                    </w:rPr>
                  </w:pPr>
                  <w:r>
                    <w:rPr>
                      <w:color w:val="auto"/>
                      <w:sz w:val="21"/>
                      <w:szCs w:val="21"/>
                      <w:highlight w:val="none"/>
                    </w:rPr>
                    <w:t>工程</w:t>
                  </w:r>
                </w:p>
                <w:p w14:paraId="0C89025C">
                  <w:pPr>
                    <w:pStyle w:val="46"/>
                    <w:bidi w:val="0"/>
                    <w:rPr>
                      <w:color w:val="auto"/>
                      <w:sz w:val="21"/>
                      <w:szCs w:val="21"/>
                      <w:highlight w:val="none"/>
                    </w:rPr>
                  </w:pPr>
                  <w:r>
                    <w:rPr>
                      <w:color w:val="auto"/>
                      <w:sz w:val="21"/>
                      <w:szCs w:val="21"/>
                      <w:highlight w:val="none"/>
                    </w:rPr>
                    <w:t>投资</w:t>
                  </w:r>
                </w:p>
              </w:tc>
            </w:tr>
            <w:tr w14:paraId="155834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5" w:type="pct"/>
                  <w:noWrap w:val="0"/>
                  <w:vAlign w:val="center"/>
                </w:tcPr>
                <w:p w14:paraId="068E9763">
                  <w:pPr>
                    <w:pStyle w:val="46"/>
                    <w:bidi w:val="0"/>
                    <w:rPr>
                      <w:color w:val="auto"/>
                      <w:sz w:val="21"/>
                      <w:szCs w:val="21"/>
                      <w:highlight w:val="none"/>
                    </w:rPr>
                  </w:pPr>
                  <w:r>
                    <w:rPr>
                      <w:rFonts w:hint="eastAsia"/>
                      <w:color w:val="auto"/>
                      <w:sz w:val="21"/>
                      <w:szCs w:val="21"/>
                      <w:highlight w:val="none"/>
                    </w:rPr>
                    <w:t>施工期</w:t>
                  </w:r>
                </w:p>
              </w:tc>
              <w:tc>
                <w:tcPr>
                  <w:tcW w:w="874" w:type="pct"/>
                  <w:noWrap w:val="0"/>
                  <w:vAlign w:val="center"/>
                </w:tcPr>
                <w:p w14:paraId="26BA584A">
                  <w:pPr>
                    <w:pStyle w:val="46"/>
                    <w:bidi w:val="0"/>
                    <w:rPr>
                      <w:color w:val="auto"/>
                      <w:sz w:val="21"/>
                      <w:szCs w:val="21"/>
                      <w:highlight w:val="none"/>
                    </w:rPr>
                  </w:pPr>
                  <w:r>
                    <w:rPr>
                      <w:rFonts w:hint="eastAsia"/>
                      <w:color w:val="auto"/>
                      <w:sz w:val="21"/>
                      <w:szCs w:val="21"/>
                      <w:highlight w:val="none"/>
                    </w:rPr>
                    <w:t>废气</w:t>
                  </w:r>
                  <w:r>
                    <w:rPr>
                      <w:rFonts w:hint="eastAsia"/>
                      <w:color w:val="auto"/>
                      <w:sz w:val="21"/>
                      <w:szCs w:val="21"/>
                      <w:highlight w:val="none"/>
                      <w:lang w:eastAsia="zh-CN"/>
                    </w:rPr>
                    <w:t>、</w:t>
                  </w:r>
                  <w:r>
                    <w:rPr>
                      <w:rFonts w:hint="eastAsia"/>
                      <w:color w:val="auto"/>
                      <w:sz w:val="21"/>
                      <w:szCs w:val="21"/>
                      <w:highlight w:val="none"/>
                      <w:lang w:val="en-US" w:eastAsia="zh-CN"/>
                    </w:rPr>
                    <w:t>废水</w:t>
                  </w:r>
                  <w:r>
                    <w:rPr>
                      <w:rFonts w:hint="eastAsia"/>
                      <w:color w:val="auto"/>
                      <w:sz w:val="21"/>
                      <w:szCs w:val="21"/>
                      <w:highlight w:val="none"/>
                    </w:rPr>
                    <w:t>、噪声和固废防治措施</w:t>
                  </w:r>
                </w:p>
              </w:tc>
              <w:tc>
                <w:tcPr>
                  <w:tcW w:w="3359" w:type="pct"/>
                  <w:noWrap w:val="0"/>
                  <w:vAlign w:val="center"/>
                </w:tcPr>
                <w:p w14:paraId="17B01F70">
                  <w:pPr>
                    <w:pStyle w:val="46"/>
                    <w:bidi w:val="0"/>
                    <w:rPr>
                      <w:rFonts w:hint="eastAsia" w:eastAsia="宋体"/>
                      <w:color w:val="auto"/>
                      <w:sz w:val="21"/>
                      <w:szCs w:val="21"/>
                      <w:highlight w:val="none"/>
                      <w:lang w:eastAsia="zh-CN"/>
                    </w:rPr>
                  </w:pPr>
                  <w:r>
                    <w:rPr>
                      <w:rFonts w:hint="eastAsia"/>
                      <w:color w:val="auto"/>
                      <w:sz w:val="21"/>
                      <w:szCs w:val="21"/>
                      <w:highlight w:val="none"/>
                      <w:lang w:val="en-US" w:eastAsia="zh-CN"/>
                    </w:rPr>
                    <w:t>已建成</w:t>
                  </w:r>
                </w:p>
              </w:tc>
              <w:tc>
                <w:tcPr>
                  <w:tcW w:w="429" w:type="pct"/>
                  <w:noWrap w:val="0"/>
                  <w:vAlign w:val="center"/>
                </w:tcPr>
                <w:p w14:paraId="6E2432DC">
                  <w:pPr>
                    <w:pStyle w:val="46"/>
                    <w:bidi w:val="0"/>
                    <w:rPr>
                      <w:rFonts w:hint="default" w:eastAsia="宋体"/>
                      <w:color w:val="auto"/>
                      <w:sz w:val="21"/>
                      <w:szCs w:val="21"/>
                      <w:highlight w:val="none"/>
                      <w:lang w:val="en-US" w:eastAsia="zh-CN"/>
                    </w:rPr>
                  </w:pPr>
                  <w:r>
                    <w:rPr>
                      <w:rFonts w:hint="eastAsia"/>
                      <w:color w:val="auto"/>
                      <w:sz w:val="21"/>
                      <w:szCs w:val="21"/>
                      <w:highlight w:val="none"/>
                      <w:lang w:val="en-US" w:eastAsia="zh-CN"/>
                    </w:rPr>
                    <w:t>/</w:t>
                  </w:r>
                </w:p>
              </w:tc>
            </w:tr>
            <w:tr w14:paraId="19AA44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1" w:hRule="atLeast"/>
                <w:jc w:val="center"/>
              </w:trPr>
              <w:tc>
                <w:tcPr>
                  <w:tcW w:w="335" w:type="pct"/>
                  <w:vMerge w:val="restart"/>
                  <w:noWrap w:val="0"/>
                  <w:vAlign w:val="center"/>
                </w:tcPr>
                <w:p w14:paraId="09F589FA">
                  <w:pPr>
                    <w:pStyle w:val="46"/>
                    <w:bidi w:val="0"/>
                    <w:rPr>
                      <w:rFonts w:hint="eastAsia" w:eastAsia="宋体"/>
                      <w:color w:val="auto"/>
                      <w:sz w:val="21"/>
                      <w:szCs w:val="21"/>
                      <w:highlight w:val="none"/>
                      <w:lang w:val="en-US" w:eastAsia="zh-CN"/>
                    </w:rPr>
                  </w:pPr>
                  <w:r>
                    <w:rPr>
                      <w:rFonts w:hint="eastAsia"/>
                      <w:color w:val="auto"/>
                      <w:sz w:val="21"/>
                      <w:szCs w:val="21"/>
                      <w:highlight w:val="none"/>
                      <w:lang w:val="en-US" w:eastAsia="zh-CN"/>
                    </w:rPr>
                    <w:t>运营期</w:t>
                  </w:r>
                </w:p>
              </w:tc>
              <w:tc>
                <w:tcPr>
                  <w:tcW w:w="874" w:type="pct"/>
                  <w:noWrap w:val="0"/>
                  <w:vAlign w:val="center"/>
                </w:tcPr>
                <w:p w14:paraId="56569433">
                  <w:pPr>
                    <w:pStyle w:val="46"/>
                    <w:bidi w:val="0"/>
                    <w:rPr>
                      <w:color w:val="auto"/>
                      <w:sz w:val="21"/>
                      <w:szCs w:val="21"/>
                      <w:highlight w:val="none"/>
                    </w:rPr>
                  </w:pPr>
                  <w:r>
                    <w:rPr>
                      <w:color w:val="auto"/>
                      <w:sz w:val="21"/>
                      <w:szCs w:val="21"/>
                      <w:highlight w:val="none"/>
                    </w:rPr>
                    <w:t>废</w:t>
                  </w:r>
                  <w:r>
                    <w:rPr>
                      <w:rFonts w:hint="eastAsia"/>
                      <w:color w:val="auto"/>
                      <w:sz w:val="21"/>
                      <w:szCs w:val="21"/>
                      <w:highlight w:val="none"/>
                      <w:lang w:val="en-US" w:eastAsia="zh-CN"/>
                    </w:rPr>
                    <w:t>气</w:t>
                  </w:r>
                  <w:r>
                    <w:rPr>
                      <w:color w:val="auto"/>
                      <w:sz w:val="21"/>
                      <w:szCs w:val="21"/>
                      <w:highlight w:val="none"/>
                    </w:rPr>
                    <w:t>防治措施</w:t>
                  </w:r>
                </w:p>
              </w:tc>
              <w:tc>
                <w:tcPr>
                  <w:tcW w:w="3359" w:type="pct"/>
                  <w:noWrap w:val="0"/>
                  <w:vAlign w:val="center"/>
                </w:tcPr>
                <w:p w14:paraId="39F2777E">
                  <w:pPr>
                    <w:pStyle w:val="35"/>
                    <w:bidi w:val="0"/>
                    <w:rPr>
                      <w:rFonts w:hint="eastAsia"/>
                      <w:color w:val="auto"/>
                      <w:highlight w:val="none"/>
                      <w:lang w:val="en-US" w:eastAsia="zh-CN"/>
                    </w:rPr>
                  </w:pPr>
                  <w:r>
                    <w:rPr>
                      <w:rFonts w:hint="eastAsia"/>
                      <w:color w:val="auto"/>
                      <w:highlight w:val="none"/>
                      <w:lang w:val="en-US" w:eastAsia="zh-CN"/>
                    </w:rPr>
                    <w:t>石子和砂子通过车辆运输进厂后卸料、贮存在堆场内，堆场内采取苫盖、洒水抑尘等措施，四周布置防风抑尘网；</w:t>
                  </w:r>
                </w:p>
                <w:p w14:paraId="53A204D7">
                  <w:pPr>
                    <w:pStyle w:val="35"/>
                    <w:bidi w:val="0"/>
                    <w:rPr>
                      <w:rFonts w:hint="eastAsia"/>
                      <w:color w:val="auto"/>
                      <w:highlight w:val="none"/>
                      <w:lang w:val="en-US" w:eastAsia="zh-CN"/>
                    </w:rPr>
                  </w:pPr>
                  <w:r>
                    <w:rPr>
                      <w:rFonts w:hint="eastAsia"/>
                      <w:color w:val="auto"/>
                      <w:highlight w:val="none"/>
                      <w:lang w:val="en-US" w:eastAsia="zh-CN"/>
                    </w:rPr>
                    <w:t>水泥筒仓、粉煤灰筒仓、外加剂罐自带的布袋除尘器，进料粉尘经布袋除尘器处理后通过罐顶通气孔无组织排放；</w:t>
                  </w:r>
                </w:p>
                <w:p w14:paraId="797F4AF0">
                  <w:pPr>
                    <w:pStyle w:val="35"/>
                    <w:bidi w:val="0"/>
                    <w:rPr>
                      <w:rFonts w:hint="eastAsia"/>
                      <w:color w:val="auto"/>
                      <w:highlight w:val="none"/>
                      <w:lang w:val="en-US" w:eastAsia="zh-CN"/>
                    </w:rPr>
                  </w:pPr>
                  <w:r>
                    <w:rPr>
                      <w:rFonts w:hint="eastAsia"/>
                      <w:color w:val="auto"/>
                      <w:highlight w:val="none"/>
                      <w:lang w:val="en-US" w:eastAsia="zh-CN"/>
                    </w:rPr>
                    <w:t>砂、碎石等投料斗上方设置半封闭式罩棚与雾化喷淋装置，水泥、粉煤灰、外加剂等原料的输送、计量、投料等方式均为封闭式，物料计量后通过封闭输送机输送至搅拌站内，混合搅拌工序在密闭的搅拌站内，搅拌机投料口设置集气罩收集产生的颗粒物，经布袋除尘器处理后通过站顶排气口无组织排放；</w:t>
                  </w:r>
                </w:p>
                <w:p w14:paraId="45DFB291">
                  <w:pPr>
                    <w:pStyle w:val="35"/>
                    <w:bidi w:val="0"/>
                    <w:rPr>
                      <w:rFonts w:hint="default" w:eastAsia="宋体"/>
                      <w:color w:val="auto"/>
                      <w:szCs w:val="21"/>
                      <w:highlight w:val="none"/>
                      <w:lang w:val="en-US" w:eastAsia="zh-CN"/>
                    </w:rPr>
                  </w:pPr>
                  <w:r>
                    <w:rPr>
                      <w:rFonts w:hint="eastAsia"/>
                      <w:color w:val="auto"/>
                      <w:highlight w:val="none"/>
                      <w:lang w:val="en-US" w:eastAsia="zh-CN"/>
                    </w:rPr>
                    <w:t>项目运输采取苫盖货车、密闭罐车运输，厂内及时清扫道路并定期洒水降尘，以减少道路扬尘的产生。</w:t>
                  </w:r>
                </w:p>
              </w:tc>
              <w:tc>
                <w:tcPr>
                  <w:tcW w:w="429" w:type="pct"/>
                  <w:noWrap w:val="0"/>
                  <w:vAlign w:val="center"/>
                </w:tcPr>
                <w:p w14:paraId="6D121CC8">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8</w:t>
                  </w:r>
                </w:p>
              </w:tc>
            </w:tr>
            <w:tr w14:paraId="0DF76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5" w:type="pct"/>
                  <w:vMerge w:val="continue"/>
                  <w:noWrap w:val="0"/>
                  <w:vAlign w:val="center"/>
                </w:tcPr>
                <w:p w14:paraId="246B0E80">
                  <w:pPr>
                    <w:pStyle w:val="46"/>
                    <w:bidi w:val="0"/>
                    <w:rPr>
                      <w:color w:val="auto"/>
                      <w:sz w:val="21"/>
                      <w:szCs w:val="21"/>
                      <w:highlight w:val="none"/>
                    </w:rPr>
                  </w:pPr>
                </w:p>
              </w:tc>
              <w:tc>
                <w:tcPr>
                  <w:tcW w:w="874" w:type="pct"/>
                  <w:noWrap w:val="0"/>
                  <w:vAlign w:val="center"/>
                </w:tcPr>
                <w:p w14:paraId="3CF9F88E">
                  <w:pPr>
                    <w:pStyle w:val="46"/>
                    <w:bidi w:val="0"/>
                    <w:rPr>
                      <w:color w:val="auto"/>
                      <w:sz w:val="21"/>
                      <w:szCs w:val="21"/>
                      <w:highlight w:val="none"/>
                    </w:rPr>
                  </w:pPr>
                  <w:r>
                    <w:rPr>
                      <w:color w:val="auto"/>
                      <w:sz w:val="21"/>
                      <w:szCs w:val="21"/>
                      <w:highlight w:val="none"/>
                    </w:rPr>
                    <w:t>废水防治措施</w:t>
                  </w:r>
                </w:p>
              </w:tc>
              <w:tc>
                <w:tcPr>
                  <w:tcW w:w="3359" w:type="pct"/>
                  <w:noWrap w:val="0"/>
                  <w:vAlign w:val="center"/>
                </w:tcPr>
                <w:p w14:paraId="06F6D891">
                  <w:pPr>
                    <w:pStyle w:val="46"/>
                    <w:bidi w:val="0"/>
                    <w:rPr>
                      <w:rFonts w:hint="default" w:eastAsia="宋体"/>
                      <w:color w:val="auto"/>
                      <w:sz w:val="21"/>
                      <w:szCs w:val="21"/>
                      <w:highlight w:val="none"/>
                      <w:lang w:val="en-US" w:eastAsia="zh-CN"/>
                    </w:rPr>
                  </w:pPr>
                  <w:r>
                    <w:rPr>
                      <w:rFonts w:hint="eastAsia"/>
                      <w:color w:val="auto"/>
                      <w:sz w:val="21"/>
                      <w:szCs w:val="21"/>
                      <w:highlight w:val="none"/>
                      <w:lang w:val="en-US" w:eastAsia="zh-CN"/>
                    </w:rPr>
                    <w:t>沉淀池</w:t>
                  </w:r>
                </w:p>
              </w:tc>
              <w:tc>
                <w:tcPr>
                  <w:tcW w:w="429" w:type="pct"/>
                  <w:noWrap w:val="0"/>
                  <w:vAlign w:val="center"/>
                </w:tcPr>
                <w:p w14:paraId="1BA10FC8">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2</w:t>
                  </w:r>
                </w:p>
              </w:tc>
            </w:tr>
            <w:tr w14:paraId="1A72CD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5" w:type="pct"/>
                  <w:vMerge w:val="continue"/>
                  <w:noWrap w:val="0"/>
                  <w:vAlign w:val="center"/>
                </w:tcPr>
                <w:p w14:paraId="3DFA4179">
                  <w:pPr>
                    <w:pStyle w:val="46"/>
                    <w:bidi w:val="0"/>
                    <w:rPr>
                      <w:color w:val="auto"/>
                      <w:sz w:val="21"/>
                      <w:szCs w:val="21"/>
                      <w:highlight w:val="none"/>
                    </w:rPr>
                  </w:pPr>
                </w:p>
              </w:tc>
              <w:tc>
                <w:tcPr>
                  <w:tcW w:w="874" w:type="pct"/>
                  <w:noWrap w:val="0"/>
                  <w:vAlign w:val="center"/>
                </w:tcPr>
                <w:p w14:paraId="70E3D726">
                  <w:pPr>
                    <w:pStyle w:val="46"/>
                    <w:bidi w:val="0"/>
                    <w:ind w:left="0" w:leftChars="0" w:firstLine="0" w:firstLineChars="0"/>
                    <w:rPr>
                      <w:rFonts w:ascii="Times New Roman" w:hAnsi="Times New Roman" w:eastAsia="宋体" w:cs="Times New Roman"/>
                      <w:color w:val="auto"/>
                      <w:kern w:val="2"/>
                      <w:sz w:val="21"/>
                      <w:szCs w:val="21"/>
                      <w:highlight w:val="none"/>
                      <w:lang w:val="en-US" w:eastAsia="zh-CN" w:bidi="ar-SA"/>
                    </w:rPr>
                  </w:pPr>
                  <w:r>
                    <w:rPr>
                      <w:color w:val="auto"/>
                      <w:sz w:val="21"/>
                      <w:szCs w:val="21"/>
                      <w:highlight w:val="none"/>
                    </w:rPr>
                    <w:t>噪声防治措施</w:t>
                  </w:r>
                </w:p>
              </w:tc>
              <w:tc>
                <w:tcPr>
                  <w:tcW w:w="3359" w:type="pct"/>
                  <w:noWrap w:val="0"/>
                  <w:vAlign w:val="center"/>
                </w:tcPr>
                <w:p w14:paraId="253B2239">
                  <w:pPr>
                    <w:pStyle w:val="34"/>
                    <w:bidi w:val="0"/>
                    <w:rPr>
                      <w:rFonts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安装基础减振垫、设备软连接等降噪措施；运输车辆</w:t>
                  </w:r>
                  <w:r>
                    <w:rPr>
                      <w:rFonts w:hint="eastAsia"/>
                      <w:color w:val="auto"/>
                      <w:highlight w:val="none"/>
                      <w:lang w:val="en-US" w:eastAsia="zh-CN"/>
                    </w:rPr>
                    <w:t>厂区内降低车速、禁止鸣笛</w:t>
                  </w:r>
                </w:p>
              </w:tc>
              <w:tc>
                <w:tcPr>
                  <w:tcW w:w="429" w:type="pct"/>
                  <w:noWrap w:val="0"/>
                  <w:vAlign w:val="center"/>
                </w:tcPr>
                <w:p w14:paraId="48C19C31">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2</w:t>
                  </w:r>
                </w:p>
              </w:tc>
            </w:tr>
            <w:tr w14:paraId="3ED32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5" w:type="pct"/>
                  <w:vMerge w:val="continue"/>
                  <w:noWrap w:val="0"/>
                  <w:vAlign w:val="center"/>
                </w:tcPr>
                <w:p w14:paraId="530623EF">
                  <w:pPr>
                    <w:pStyle w:val="46"/>
                    <w:bidi w:val="0"/>
                    <w:rPr>
                      <w:color w:val="auto"/>
                      <w:sz w:val="21"/>
                      <w:szCs w:val="21"/>
                      <w:highlight w:val="none"/>
                    </w:rPr>
                  </w:pPr>
                </w:p>
              </w:tc>
              <w:tc>
                <w:tcPr>
                  <w:tcW w:w="874" w:type="pct"/>
                  <w:noWrap w:val="0"/>
                  <w:vAlign w:val="center"/>
                </w:tcPr>
                <w:p w14:paraId="3571F910">
                  <w:pPr>
                    <w:pStyle w:val="46"/>
                    <w:bidi w:val="0"/>
                    <w:ind w:left="0" w:leftChars="0" w:firstLine="0" w:firstLineChars="0"/>
                    <w:rPr>
                      <w:rFonts w:ascii="Times New Roman" w:hAnsi="Times New Roman" w:eastAsia="宋体" w:cs="Times New Roman"/>
                      <w:color w:val="auto"/>
                      <w:kern w:val="2"/>
                      <w:sz w:val="21"/>
                      <w:szCs w:val="21"/>
                      <w:highlight w:val="none"/>
                      <w:lang w:val="en-US" w:eastAsia="zh-CN" w:bidi="ar-SA"/>
                    </w:rPr>
                  </w:pPr>
                  <w:r>
                    <w:rPr>
                      <w:color w:val="auto"/>
                      <w:sz w:val="21"/>
                      <w:szCs w:val="21"/>
                      <w:highlight w:val="none"/>
                    </w:rPr>
                    <w:t>固废防治措施</w:t>
                  </w:r>
                </w:p>
              </w:tc>
              <w:tc>
                <w:tcPr>
                  <w:tcW w:w="3359" w:type="pct"/>
                  <w:noWrap w:val="0"/>
                  <w:vAlign w:val="center"/>
                </w:tcPr>
                <w:p w14:paraId="46EAA51E">
                  <w:pPr>
                    <w:pStyle w:val="35"/>
                    <w:bidi w:val="0"/>
                    <w:rPr>
                      <w:rFonts w:hint="eastAsia"/>
                      <w:color w:val="auto"/>
                      <w:highlight w:val="none"/>
                      <w:lang w:val="en-US" w:eastAsia="zh-CN"/>
                    </w:rPr>
                  </w:pPr>
                  <w:r>
                    <w:rPr>
                      <w:rFonts w:hint="eastAsia"/>
                      <w:color w:val="auto"/>
                      <w:highlight w:val="none"/>
                      <w:lang w:val="en-US" w:eastAsia="zh-CN"/>
                    </w:rPr>
                    <w:t>本项目生活垃圾交由市政部门统一处理；</w:t>
                  </w:r>
                </w:p>
                <w:p w14:paraId="19495307">
                  <w:pPr>
                    <w:pStyle w:val="35"/>
                    <w:bidi w:val="0"/>
                    <w:rPr>
                      <w:rFonts w:hint="eastAsia"/>
                      <w:color w:val="auto"/>
                      <w:highlight w:val="none"/>
                      <w:lang w:val="en-US" w:eastAsia="zh-CN"/>
                    </w:rPr>
                  </w:pPr>
                  <w:r>
                    <w:rPr>
                      <w:rFonts w:hint="eastAsia"/>
                      <w:color w:val="auto"/>
                      <w:highlight w:val="none"/>
                      <w:lang w:val="en-US" w:eastAsia="zh-CN"/>
                    </w:rPr>
                    <w:t>水泥筒仓、粉煤灰筒仓、外加剂罐、搅拌机布袋除尘器收尘作为原料回用于生产；实验室废料，由骨料供应商回收破碎后重新利用；</w:t>
                  </w:r>
                  <w:r>
                    <w:rPr>
                      <w:rFonts w:hint="eastAsia" w:ascii="Times New Roman" w:hAnsi="Times New Roman" w:eastAsia="宋体" w:cs="宋体"/>
                      <w:color w:val="auto"/>
                      <w:highlight w:val="none"/>
                      <w:lang w:val="en-US" w:eastAsia="zh-CN"/>
                    </w:rPr>
                    <w:t>废布袋由厂家回收处置</w:t>
                  </w:r>
                  <w:r>
                    <w:rPr>
                      <w:rFonts w:hint="eastAsia" w:cs="宋体"/>
                      <w:color w:val="auto"/>
                      <w:highlight w:val="none"/>
                      <w:lang w:val="en-US" w:eastAsia="zh-CN"/>
                    </w:rPr>
                    <w:t>；沉淀池中的污泥定期自然晾干挖出后交由市政部门统一处理。</w:t>
                  </w:r>
                </w:p>
                <w:p w14:paraId="32A4137C">
                  <w:pPr>
                    <w:pStyle w:val="35"/>
                    <w:bidi w:val="0"/>
                    <w:rPr>
                      <w:rFonts w:hint="default" w:ascii="Times New Roman" w:hAnsi="Times New Roman" w:eastAsia="宋体" w:cs="Times New Roman"/>
                      <w:color w:val="auto"/>
                      <w:kern w:val="2"/>
                      <w:szCs w:val="21"/>
                      <w:highlight w:val="none"/>
                      <w:lang w:val="en-US" w:eastAsia="zh-CN" w:bidi="ar-SA"/>
                    </w:rPr>
                  </w:pPr>
                  <w:r>
                    <w:rPr>
                      <w:rFonts w:hint="eastAsia"/>
                      <w:color w:val="auto"/>
                      <w:highlight w:val="none"/>
                      <w:lang w:val="en-US" w:eastAsia="zh-CN"/>
                    </w:rPr>
                    <w:t>本项目设备维修、保养产生的废润滑油、废油桶、含油抹布及棉纱手套收集至危废贮存点，定期委托有资质单位处理。</w:t>
                  </w:r>
                </w:p>
              </w:tc>
              <w:tc>
                <w:tcPr>
                  <w:tcW w:w="429" w:type="pct"/>
                  <w:noWrap w:val="0"/>
                  <w:vAlign w:val="center"/>
                </w:tcPr>
                <w:p w14:paraId="16DB5DE4">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1</w:t>
                  </w:r>
                </w:p>
              </w:tc>
            </w:tr>
            <w:tr w14:paraId="70D0AA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5" w:type="pct"/>
                  <w:vMerge w:val="continue"/>
                  <w:noWrap w:val="0"/>
                  <w:vAlign w:val="center"/>
                </w:tcPr>
                <w:p w14:paraId="2EDF7984">
                  <w:pPr>
                    <w:pStyle w:val="46"/>
                    <w:bidi w:val="0"/>
                    <w:rPr>
                      <w:color w:val="auto"/>
                      <w:sz w:val="21"/>
                      <w:szCs w:val="21"/>
                      <w:highlight w:val="none"/>
                    </w:rPr>
                  </w:pPr>
                </w:p>
              </w:tc>
              <w:tc>
                <w:tcPr>
                  <w:tcW w:w="874" w:type="pct"/>
                  <w:noWrap w:val="0"/>
                  <w:vAlign w:val="center"/>
                </w:tcPr>
                <w:p w14:paraId="784B234C">
                  <w:pPr>
                    <w:pStyle w:val="46"/>
                    <w:bidi w:val="0"/>
                    <w:rPr>
                      <w:color w:val="auto"/>
                      <w:sz w:val="21"/>
                      <w:szCs w:val="21"/>
                      <w:highlight w:val="none"/>
                    </w:rPr>
                  </w:pPr>
                  <w:r>
                    <w:rPr>
                      <w:color w:val="auto"/>
                      <w:sz w:val="21"/>
                      <w:szCs w:val="21"/>
                      <w:highlight w:val="none"/>
                    </w:rPr>
                    <w:t>地下水</w:t>
                  </w:r>
                </w:p>
              </w:tc>
              <w:tc>
                <w:tcPr>
                  <w:tcW w:w="3359" w:type="pct"/>
                  <w:noWrap w:val="0"/>
                  <w:vAlign w:val="center"/>
                </w:tcPr>
                <w:p w14:paraId="745C037D">
                  <w:pPr>
                    <w:pStyle w:val="34"/>
                    <w:bidi w:val="0"/>
                    <w:ind w:firstLine="420" w:firstLineChars="200"/>
                    <w:jc w:val="both"/>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本项目厂区进行分区防渗，危废贮存点</w:t>
                  </w:r>
                  <w:r>
                    <w:rPr>
                      <w:rFonts w:hint="eastAsia" w:ascii="Times New Roman" w:hAnsi="Times New Roman" w:eastAsia="宋体" w:cs="宋体"/>
                      <w:color w:val="auto"/>
                      <w:kern w:val="2"/>
                      <w:sz w:val="21"/>
                      <w:szCs w:val="21"/>
                      <w:highlight w:val="none"/>
                      <w:lang w:val="en-US" w:eastAsia="zh-CN" w:bidi="ar-SA"/>
                    </w:rPr>
                    <w:t>为重点防渗区，防渗层采用2mm厚高密度聚乙烯土工膜（HDPE），其渗透系数不大于1.0×10</w:t>
                  </w:r>
                  <w:r>
                    <w:rPr>
                      <w:rFonts w:hint="eastAsia" w:ascii="Times New Roman" w:hAnsi="Times New Roman" w:eastAsia="宋体" w:cs="宋体"/>
                      <w:color w:val="auto"/>
                      <w:kern w:val="2"/>
                      <w:sz w:val="21"/>
                      <w:szCs w:val="21"/>
                      <w:highlight w:val="none"/>
                      <w:vertAlign w:val="superscript"/>
                      <w:lang w:val="en-US" w:eastAsia="zh-CN" w:bidi="ar-SA"/>
                    </w:rPr>
                    <w:t>-10</w:t>
                  </w:r>
                  <w:r>
                    <w:rPr>
                      <w:rFonts w:hint="eastAsia" w:ascii="Times New Roman" w:hAnsi="Times New Roman" w:eastAsia="宋体" w:cs="宋体"/>
                      <w:color w:val="auto"/>
                      <w:kern w:val="2"/>
                      <w:sz w:val="21"/>
                      <w:szCs w:val="21"/>
                      <w:highlight w:val="none"/>
                      <w:lang w:val="en-US" w:eastAsia="zh-CN" w:bidi="ar-SA"/>
                    </w:rPr>
                    <w:t>cm/s。</w:t>
                  </w:r>
                </w:p>
                <w:p w14:paraId="02A9A6FC">
                  <w:pPr>
                    <w:pStyle w:val="34"/>
                    <w:bidi w:val="0"/>
                    <w:ind w:firstLine="420" w:firstLineChars="200"/>
                    <w:jc w:val="both"/>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沉淀池进行一般防渗处理，</w:t>
                  </w:r>
                  <w:r>
                    <w:rPr>
                      <w:rFonts w:hint="default" w:ascii="Times New Roman" w:hAnsi="Times New Roman" w:eastAsia="宋体" w:cs="宋体"/>
                      <w:color w:val="auto"/>
                      <w:sz w:val="21"/>
                      <w:szCs w:val="21"/>
                      <w:highlight w:val="none"/>
                      <w:lang w:val="en-US" w:eastAsia="zh-CN"/>
                    </w:rPr>
                    <w:t>其防渗技术要求可满足等效黏土防渗层Mb≥</w:t>
                  </w:r>
                  <w:r>
                    <w:rPr>
                      <w:rFonts w:hint="eastAsia" w:ascii="Times New Roman" w:hAnsi="Times New Roman" w:eastAsia="宋体" w:cs="宋体"/>
                      <w:color w:val="auto"/>
                      <w:sz w:val="21"/>
                      <w:szCs w:val="21"/>
                      <w:highlight w:val="none"/>
                      <w:lang w:val="en-US" w:eastAsia="zh-CN"/>
                    </w:rPr>
                    <w:t>1.5</w:t>
                  </w:r>
                  <w:r>
                    <w:rPr>
                      <w:rFonts w:hint="default" w:ascii="Times New Roman" w:hAnsi="Times New Roman" w:eastAsia="宋体" w:cs="宋体"/>
                      <w:color w:val="auto"/>
                      <w:sz w:val="21"/>
                      <w:szCs w:val="21"/>
                      <w:highlight w:val="none"/>
                      <w:lang w:val="en-US" w:eastAsia="zh-CN"/>
                    </w:rPr>
                    <w:t>m，K≤1×10</w:t>
                  </w:r>
                  <w:r>
                    <w:rPr>
                      <w:rFonts w:hint="default" w:ascii="Times New Roman" w:hAnsi="Times New Roman" w:eastAsia="宋体" w:cs="宋体"/>
                      <w:color w:val="auto"/>
                      <w:sz w:val="21"/>
                      <w:szCs w:val="21"/>
                      <w:highlight w:val="none"/>
                      <w:vertAlign w:val="superscript"/>
                      <w:lang w:val="en-US" w:eastAsia="zh-CN"/>
                    </w:rPr>
                    <w:t>-7</w:t>
                  </w:r>
                  <w:r>
                    <w:rPr>
                      <w:rFonts w:hint="default" w:ascii="Times New Roman" w:hAnsi="Times New Roman" w:eastAsia="宋体" w:cs="宋体"/>
                      <w:color w:val="auto"/>
                      <w:sz w:val="21"/>
                      <w:szCs w:val="21"/>
                      <w:highlight w:val="none"/>
                      <w:lang w:val="en-US" w:eastAsia="zh-CN"/>
                    </w:rPr>
                    <w:t>cm/s的要求。</w:t>
                  </w:r>
                </w:p>
                <w:p w14:paraId="4E2B1EA5">
                  <w:pPr>
                    <w:pStyle w:val="35"/>
                    <w:bidi w:val="0"/>
                    <w:rPr>
                      <w:rFonts w:hint="eastAsia"/>
                      <w:color w:val="auto"/>
                      <w:highlight w:val="none"/>
                      <w:lang w:eastAsia="zh-CN"/>
                    </w:rPr>
                  </w:pPr>
                  <w:r>
                    <w:rPr>
                      <w:rFonts w:hint="eastAsia"/>
                      <w:color w:val="auto"/>
                      <w:highlight w:val="none"/>
                      <w:lang w:val="en-US" w:eastAsia="zh-CN"/>
                    </w:rPr>
                    <w:t>其余场地及道路进行一般地面硬化，简单防渗处理。</w:t>
                  </w:r>
                </w:p>
              </w:tc>
              <w:tc>
                <w:tcPr>
                  <w:tcW w:w="429" w:type="pct"/>
                  <w:noWrap w:val="0"/>
                  <w:vAlign w:val="center"/>
                </w:tcPr>
                <w:p w14:paraId="747B1DE3">
                  <w:pPr>
                    <w:pStyle w:val="46"/>
                    <w:bidi w:val="0"/>
                    <w:rPr>
                      <w:rFonts w:hint="default" w:eastAsia="宋体"/>
                      <w:color w:val="auto"/>
                      <w:sz w:val="21"/>
                      <w:szCs w:val="21"/>
                      <w:highlight w:val="none"/>
                      <w:lang w:val="en-US" w:eastAsia="zh-CN"/>
                    </w:rPr>
                  </w:pPr>
                  <w:r>
                    <w:rPr>
                      <w:rFonts w:hint="eastAsia"/>
                      <w:color w:val="auto"/>
                      <w:sz w:val="21"/>
                      <w:szCs w:val="21"/>
                      <w:highlight w:val="none"/>
                      <w:lang w:val="en-US" w:eastAsia="zh-CN"/>
                    </w:rPr>
                    <w:t>8</w:t>
                  </w:r>
                </w:p>
              </w:tc>
            </w:tr>
            <w:tr w14:paraId="657E02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5" w:type="pct"/>
                  <w:vMerge w:val="continue"/>
                  <w:noWrap w:val="0"/>
                  <w:vAlign w:val="center"/>
                </w:tcPr>
                <w:p w14:paraId="4D6E9453">
                  <w:pPr>
                    <w:pStyle w:val="46"/>
                    <w:bidi w:val="0"/>
                    <w:rPr>
                      <w:color w:val="auto"/>
                      <w:sz w:val="21"/>
                      <w:szCs w:val="21"/>
                      <w:highlight w:val="none"/>
                    </w:rPr>
                  </w:pPr>
                </w:p>
              </w:tc>
              <w:tc>
                <w:tcPr>
                  <w:tcW w:w="874" w:type="pct"/>
                  <w:vMerge w:val="restart"/>
                  <w:noWrap w:val="0"/>
                  <w:vAlign w:val="center"/>
                </w:tcPr>
                <w:p w14:paraId="26263E55">
                  <w:pPr>
                    <w:pStyle w:val="46"/>
                    <w:bidi w:val="0"/>
                    <w:rPr>
                      <w:color w:val="auto"/>
                      <w:sz w:val="21"/>
                      <w:szCs w:val="21"/>
                      <w:highlight w:val="none"/>
                    </w:rPr>
                  </w:pPr>
                  <w:r>
                    <w:rPr>
                      <w:color w:val="auto"/>
                      <w:sz w:val="21"/>
                      <w:szCs w:val="21"/>
                      <w:highlight w:val="none"/>
                    </w:rPr>
                    <w:t>运行维护费用</w:t>
                  </w:r>
                </w:p>
              </w:tc>
              <w:tc>
                <w:tcPr>
                  <w:tcW w:w="3359" w:type="pct"/>
                  <w:noWrap w:val="0"/>
                  <w:vAlign w:val="center"/>
                </w:tcPr>
                <w:p w14:paraId="74595088">
                  <w:pPr>
                    <w:pStyle w:val="46"/>
                    <w:bidi w:val="0"/>
                    <w:rPr>
                      <w:color w:val="auto"/>
                      <w:sz w:val="21"/>
                      <w:szCs w:val="21"/>
                      <w:highlight w:val="none"/>
                    </w:rPr>
                  </w:pPr>
                  <w:r>
                    <w:rPr>
                      <w:rFonts w:hint="eastAsia"/>
                      <w:color w:val="auto"/>
                      <w:sz w:val="21"/>
                      <w:szCs w:val="21"/>
                      <w:highlight w:val="none"/>
                      <w:lang w:val="en-US" w:eastAsia="zh-CN"/>
                    </w:rPr>
                    <w:t>废气</w:t>
                  </w:r>
                  <w:r>
                    <w:rPr>
                      <w:color w:val="auto"/>
                      <w:sz w:val="21"/>
                      <w:szCs w:val="21"/>
                      <w:highlight w:val="none"/>
                    </w:rPr>
                    <w:t>处理设施运行维护费用</w:t>
                  </w:r>
                </w:p>
              </w:tc>
              <w:tc>
                <w:tcPr>
                  <w:tcW w:w="429" w:type="pct"/>
                  <w:noWrap w:val="0"/>
                  <w:vAlign w:val="center"/>
                </w:tcPr>
                <w:p w14:paraId="1EF6E162">
                  <w:pPr>
                    <w:pStyle w:val="46"/>
                    <w:bidi w:val="0"/>
                    <w:rPr>
                      <w:rFonts w:hint="default" w:eastAsia="宋体"/>
                      <w:color w:val="auto"/>
                      <w:sz w:val="21"/>
                      <w:szCs w:val="21"/>
                      <w:highlight w:val="none"/>
                      <w:lang w:val="en-US" w:eastAsia="zh-CN"/>
                    </w:rPr>
                  </w:pPr>
                  <w:r>
                    <w:rPr>
                      <w:rFonts w:hint="eastAsia"/>
                      <w:color w:val="auto"/>
                      <w:sz w:val="21"/>
                      <w:szCs w:val="21"/>
                      <w:highlight w:val="none"/>
                      <w:lang w:val="en-US" w:eastAsia="zh-CN"/>
                    </w:rPr>
                    <w:t>3</w:t>
                  </w:r>
                </w:p>
              </w:tc>
            </w:tr>
            <w:tr w14:paraId="77B99E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5" w:type="pct"/>
                  <w:vMerge w:val="continue"/>
                  <w:noWrap w:val="0"/>
                  <w:vAlign w:val="center"/>
                </w:tcPr>
                <w:p w14:paraId="74664FAB">
                  <w:pPr>
                    <w:pStyle w:val="46"/>
                    <w:bidi w:val="0"/>
                    <w:rPr>
                      <w:color w:val="auto"/>
                      <w:sz w:val="21"/>
                      <w:szCs w:val="21"/>
                      <w:highlight w:val="none"/>
                    </w:rPr>
                  </w:pPr>
                </w:p>
              </w:tc>
              <w:tc>
                <w:tcPr>
                  <w:tcW w:w="874" w:type="pct"/>
                  <w:vMerge w:val="continue"/>
                  <w:noWrap w:val="0"/>
                  <w:vAlign w:val="center"/>
                </w:tcPr>
                <w:p w14:paraId="112E1D7E">
                  <w:pPr>
                    <w:pStyle w:val="46"/>
                    <w:bidi w:val="0"/>
                    <w:rPr>
                      <w:color w:val="auto"/>
                      <w:sz w:val="21"/>
                      <w:szCs w:val="21"/>
                      <w:highlight w:val="none"/>
                    </w:rPr>
                  </w:pPr>
                </w:p>
              </w:tc>
              <w:tc>
                <w:tcPr>
                  <w:tcW w:w="3359" w:type="pct"/>
                  <w:noWrap w:val="0"/>
                  <w:vAlign w:val="center"/>
                </w:tcPr>
                <w:p w14:paraId="616C08DD">
                  <w:pPr>
                    <w:pStyle w:val="46"/>
                    <w:bidi w:val="0"/>
                    <w:rPr>
                      <w:color w:val="auto"/>
                      <w:sz w:val="21"/>
                      <w:szCs w:val="21"/>
                      <w:highlight w:val="none"/>
                    </w:rPr>
                  </w:pPr>
                  <w:r>
                    <w:rPr>
                      <w:color w:val="auto"/>
                      <w:sz w:val="21"/>
                      <w:szCs w:val="21"/>
                      <w:highlight w:val="none"/>
                    </w:rPr>
                    <w:t>其他环保设施运行维护费用</w:t>
                  </w:r>
                </w:p>
              </w:tc>
              <w:tc>
                <w:tcPr>
                  <w:tcW w:w="429" w:type="pct"/>
                  <w:noWrap w:val="0"/>
                  <w:vAlign w:val="center"/>
                </w:tcPr>
                <w:p w14:paraId="23FAE917">
                  <w:pPr>
                    <w:pStyle w:val="46"/>
                    <w:bidi w:val="0"/>
                    <w:rPr>
                      <w:rFonts w:hint="default" w:eastAsia="宋体"/>
                      <w:color w:val="auto"/>
                      <w:sz w:val="21"/>
                      <w:szCs w:val="21"/>
                      <w:highlight w:val="none"/>
                      <w:lang w:val="en-US" w:eastAsia="zh-CN"/>
                    </w:rPr>
                  </w:pPr>
                  <w:r>
                    <w:rPr>
                      <w:rFonts w:hint="eastAsia"/>
                      <w:color w:val="auto"/>
                      <w:sz w:val="21"/>
                      <w:szCs w:val="21"/>
                      <w:highlight w:val="none"/>
                      <w:lang w:val="en-US" w:eastAsia="zh-CN"/>
                    </w:rPr>
                    <w:t>2</w:t>
                  </w:r>
                </w:p>
              </w:tc>
            </w:tr>
            <w:tr w14:paraId="412C7C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5" w:type="pct"/>
                  <w:vMerge w:val="continue"/>
                  <w:noWrap w:val="0"/>
                  <w:vAlign w:val="center"/>
                </w:tcPr>
                <w:p w14:paraId="12B9CE97">
                  <w:pPr>
                    <w:pStyle w:val="46"/>
                    <w:bidi w:val="0"/>
                    <w:rPr>
                      <w:color w:val="auto"/>
                      <w:sz w:val="21"/>
                      <w:szCs w:val="21"/>
                      <w:highlight w:val="none"/>
                    </w:rPr>
                  </w:pPr>
                </w:p>
              </w:tc>
              <w:tc>
                <w:tcPr>
                  <w:tcW w:w="874" w:type="pct"/>
                  <w:noWrap w:val="0"/>
                  <w:vAlign w:val="center"/>
                </w:tcPr>
                <w:p w14:paraId="238EC5A0">
                  <w:pPr>
                    <w:pStyle w:val="46"/>
                    <w:bidi w:val="0"/>
                    <w:rPr>
                      <w:color w:val="auto"/>
                      <w:sz w:val="21"/>
                      <w:szCs w:val="21"/>
                      <w:highlight w:val="none"/>
                    </w:rPr>
                  </w:pPr>
                  <w:r>
                    <w:rPr>
                      <w:color w:val="auto"/>
                      <w:sz w:val="21"/>
                      <w:szCs w:val="21"/>
                      <w:highlight w:val="none"/>
                    </w:rPr>
                    <w:t>环境管理与监测费用</w:t>
                  </w:r>
                </w:p>
              </w:tc>
              <w:tc>
                <w:tcPr>
                  <w:tcW w:w="3359" w:type="pct"/>
                  <w:noWrap w:val="0"/>
                  <w:vAlign w:val="center"/>
                </w:tcPr>
                <w:p w14:paraId="2AD1EFF9">
                  <w:pPr>
                    <w:pStyle w:val="46"/>
                    <w:bidi w:val="0"/>
                    <w:rPr>
                      <w:color w:val="auto"/>
                      <w:sz w:val="21"/>
                      <w:szCs w:val="21"/>
                      <w:highlight w:val="none"/>
                    </w:rPr>
                  </w:pPr>
                  <w:r>
                    <w:rPr>
                      <w:color w:val="auto"/>
                      <w:sz w:val="21"/>
                      <w:szCs w:val="21"/>
                      <w:highlight w:val="none"/>
                    </w:rPr>
                    <w:t>环境管理与监测费用</w:t>
                  </w:r>
                </w:p>
              </w:tc>
              <w:tc>
                <w:tcPr>
                  <w:tcW w:w="429" w:type="pct"/>
                  <w:noWrap w:val="0"/>
                  <w:vAlign w:val="center"/>
                </w:tcPr>
                <w:p w14:paraId="264BCCE1">
                  <w:pPr>
                    <w:pStyle w:val="46"/>
                    <w:bidi w:val="0"/>
                    <w:rPr>
                      <w:rFonts w:hint="default" w:eastAsia="宋体"/>
                      <w:color w:val="auto"/>
                      <w:sz w:val="21"/>
                      <w:szCs w:val="21"/>
                      <w:highlight w:val="none"/>
                      <w:lang w:val="en-US" w:eastAsia="zh-CN"/>
                    </w:rPr>
                  </w:pPr>
                  <w:r>
                    <w:rPr>
                      <w:rFonts w:hint="eastAsia"/>
                      <w:color w:val="auto"/>
                      <w:sz w:val="21"/>
                      <w:szCs w:val="21"/>
                      <w:highlight w:val="none"/>
                      <w:lang w:val="en-US" w:eastAsia="zh-CN"/>
                    </w:rPr>
                    <w:t>3</w:t>
                  </w:r>
                </w:p>
              </w:tc>
            </w:tr>
            <w:tr w14:paraId="69FC83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70" w:type="pct"/>
                  <w:gridSpan w:val="3"/>
                  <w:noWrap w:val="0"/>
                  <w:vAlign w:val="center"/>
                </w:tcPr>
                <w:p w14:paraId="0E5F8C41">
                  <w:pPr>
                    <w:pStyle w:val="46"/>
                    <w:bidi w:val="0"/>
                    <w:rPr>
                      <w:color w:val="auto"/>
                      <w:sz w:val="21"/>
                      <w:szCs w:val="21"/>
                      <w:highlight w:val="none"/>
                    </w:rPr>
                  </w:pPr>
                  <w:r>
                    <w:rPr>
                      <w:color w:val="auto"/>
                      <w:sz w:val="21"/>
                      <w:szCs w:val="21"/>
                      <w:highlight w:val="none"/>
                    </w:rPr>
                    <w:t>环保投资合计</w:t>
                  </w:r>
                </w:p>
              </w:tc>
              <w:tc>
                <w:tcPr>
                  <w:tcW w:w="429" w:type="pct"/>
                  <w:noWrap w:val="0"/>
                  <w:vAlign w:val="center"/>
                </w:tcPr>
                <w:p w14:paraId="0AE8DDE6">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29</w:t>
                  </w:r>
                </w:p>
              </w:tc>
            </w:tr>
            <w:tr w14:paraId="71790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70" w:type="pct"/>
                  <w:gridSpan w:val="3"/>
                  <w:noWrap w:val="0"/>
                  <w:vAlign w:val="center"/>
                </w:tcPr>
                <w:p w14:paraId="7F164E67">
                  <w:pPr>
                    <w:pStyle w:val="46"/>
                    <w:bidi w:val="0"/>
                    <w:rPr>
                      <w:color w:val="auto"/>
                      <w:sz w:val="21"/>
                      <w:szCs w:val="21"/>
                      <w:highlight w:val="none"/>
                    </w:rPr>
                  </w:pPr>
                  <w:r>
                    <w:rPr>
                      <w:color w:val="auto"/>
                      <w:sz w:val="21"/>
                      <w:szCs w:val="21"/>
                      <w:highlight w:val="none"/>
                    </w:rPr>
                    <w:t>工程总投资</w:t>
                  </w:r>
                </w:p>
              </w:tc>
              <w:tc>
                <w:tcPr>
                  <w:tcW w:w="429" w:type="pct"/>
                  <w:noWrap w:val="0"/>
                  <w:vAlign w:val="center"/>
                </w:tcPr>
                <w:p w14:paraId="3C9114C6">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200</w:t>
                  </w:r>
                </w:p>
              </w:tc>
            </w:tr>
            <w:tr w14:paraId="41D546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70" w:type="pct"/>
                  <w:gridSpan w:val="3"/>
                  <w:noWrap w:val="0"/>
                  <w:vAlign w:val="center"/>
                </w:tcPr>
                <w:p w14:paraId="1B4AEBBF">
                  <w:pPr>
                    <w:pStyle w:val="46"/>
                    <w:bidi w:val="0"/>
                    <w:rPr>
                      <w:color w:val="auto"/>
                      <w:sz w:val="21"/>
                      <w:szCs w:val="21"/>
                      <w:highlight w:val="none"/>
                    </w:rPr>
                  </w:pPr>
                  <w:r>
                    <w:rPr>
                      <w:color w:val="auto"/>
                      <w:sz w:val="21"/>
                      <w:szCs w:val="21"/>
                      <w:highlight w:val="none"/>
                    </w:rPr>
                    <w:t>环保投资比（%）</w:t>
                  </w:r>
                </w:p>
              </w:tc>
              <w:tc>
                <w:tcPr>
                  <w:tcW w:w="429" w:type="pct"/>
                  <w:noWrap w:val="0"/>
                  <w:vAlign w:val="center"/>
                </w:tcPr>
                <w:p w14:paraId="1216A94C">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14.5</w:t>
                  </w:r>
                </w:p>
              </w:tc>
            </w:tr>
          </w:tbl>
          <w:p w14:paraId="0A19318D">
            <w:pPr>
              <w:pStyle w:val="31"/>
              <w:bidi w:val="0"/>
              <w:ind w:left="0" w:leftChars="0" w:firstLine="0" w:firstLineChars="0"/>
              <w:rPr>
                <w:rFonts w:hint="default"/>
                <w:color w:val="auto"/>
                <w:highlight w:val="none"/>
                <w:lang w:val="en-US" w:eastAsia="zh-CN"/>
              </w:rPr>
            </w:pPr>
          </w:p>
        </w:tc>
      </w:tr>
      <w:tr w14:paraId="57687B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5" w:type="pct"/>
            <w:noWrap w:val="0"/>
            <w:vAlign w:val="center"/>
          </w:tcPr>
          <w:p w14:paraId="3F09AC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宋体"/>
                <w:color w:val="auto"/>
                <w:highlight w:val="none"/>
              </w:rPr>
            </w:pPr>
            <w:r>
              <w:rPr>
                <w:rFonts w:hint="eastAsia" w:ascii="Times New Roman" w:hAnsi="Times New Roman" w:eastAsia="宋体" w:cs="宋体"/>
                <w:color w:val="auto"/>
                <w:highlight w:val="none"/>
              </w:rPr>
              <w:t>工艺流程和产排污环节</w:t>
            </w:r>
          </w:p>
        </w:tc>
        <w:tc>
          <w:tcPr>
            <w:tcW w:w="4554" w:type="pct"/>
            <w:noWrap w:val="0"/>
            <w:vAlign w:val="top"/>
          </w:tcPr>
          <w:p w14:paraId="2DF69E2B">
            <w:pPr>
              <w:pStyle w:val="33"/>
              <w:keepNext w:val="0"/>
              <w:keepLines w:val="0"/>
              <w:pageBreakBefore w:val="0"/>
              <w:widowControl w:val="0"/>
              <w:kinsoku/>
              <w:wordWrap w:val="0"/>
              <w:overflowPunct/>
              <w:topLinePunct/>
              <w:autoSpaceDE/>
              <w:autoSpaceDN/>
              <w:bidi w:val="0"/>
              <w:adjustRightInd/>
              <w:snapToGrid/>
              <w:spacing w:before="157" w:beforeLines="50"/>
              <w:textAlignment w:val="auto"/>
              <w:rPr>
                <w:b/>
                <w:bCs/>
                <w:color w:val="auto"/>
                <w:highlight w:val="none"/>
              </w:rPr>
            </w:pPr>
            <w:r>
              <w:rPr>
                <w:b/>
                <w:bCs/>
                <w:color w:val="auto"/>
                <w:highlight w:val="none"/>
              </w:rPr>
              <w:t>一、施工期</w:t>
            </w:r>
          </w:p>
          <w:p w14:paraId="40591F15">
            <w:pPr>
              <w:keepNext w:val="0"/>
              <w:keepLines w:val="0"/>
              <w:pageBreakBefore w:val="0"/>
              <w:widowControl w:val="0"/>
              <w:kinsoku/>
              <w:wordWrap w:val="0"/>
              <w:overflowPunct/>
              <w:topLinePunct/>
              <w:autoSpaceDE/>
              <w:autoSpaceDN/>
              <w:bidi w:val="0"/>
              <w:adjustRightInd/>
              <w:snapToGrid/>
              <w:spacing w:line="360" w:lineRule="auto"/>
              <w:ind w:firstLine="480" w:firstLineChars="200"/>
              <w:jc w:val="left"/>
              <w:textAlignment w:val="center"/>
              <w:rPr>
                <w:rFonts w:hint="eastAsia" w:ascii="Times New Roman" w:hAnsi="Times New Roman" w:eastAsia="宋体" w:cs="Times New Roman"/>
                <w:color w:val="auto"/>
                <w:kern w:val="0"/>
                <w:sz w:val="24"/>
                <w:szCs w:val="24"/>
                <w:highlight w:val="none"/>
                <w:lang w:val="en-US" w:eastAsia="zh-CN" w:bidi="ar-SA"/>
              </w:rPr>
            </w:pPr>
            <w:r>
              <w:rPr>
                <w:color w:val="auto"/>
                <w:sz w:val="24"/>
                <w:highlight w:val="none"/>
              </w:rPr>
              <w:t>项目已建设完成并投产，项目主体工程与环保设施均已建成。</w:t>
            </w:r>
            <w:r>
              <w:rPr>
                <w:rFonts w:hint="eastAsia" w:ascii="Times New Roman" w:hAnsi="Times New Roman" w:eastAsia="宋体" w:cs="Times New Roman"/>
                <w:color w:val="auto"/>
                <w:kern w:val="0"/>
                <w:sz w:val="24"/>
                <w:szCs w:val="24"/>
                <w:highlight w:val="none"/>
                <w:lang w:val="en-US" w:eastAsia="zh-CN" w:bidi="ar-SA"/>
              </w:rPr>
              <w:t>本项目施工期已结束，不涉及施工期环境保护措施。</w:t>
            </w:r>
          </w:p>
          <w:p w14:paraId="533BE5D0">
            <w:pPr>
              <w:pStyle w:val="33"/>
              <w:bidi w:val="0"/>
              <w:rPr>
                <w:b/>
                <w:bCs/>
                <w:color w:val="auto"/>
                <w:highlight w:val="none"/>
              </w:rPr>
            </w:pPr>
            <w:r>
              <w:rPr>
                <w:b/>
                <w:bCs/>
                <w:color w:val="auto"/>
                <w:highlight w:val="none"/>
              </w:rPr>
              <w:t>二、营运期</w:t>
            </w:r>
          </w:p>
          <w:p w14:paraId="44F48703">
            <w:pPr>
              <w:pStyle w:val="31"/>
              <w:bidi w:val="0"/>
              <w:jc w:val="left"/>
              <w:rPr>
                <w:rFonts w:hint="eastAsia" w:ascii="Times New Roman" w:hAnsi="Times New Roman" w:eastAsia="宋体"/>
                <w:b/>
                <w:bCs/>
                <w:color w:val="auto"/>
                <w:highlight w:val="none"/>
                <w:lang w:val="en-US" w:eastAsia="zh-CN"/>
              </w:rPr>
            </w:pPr>
            <w:r>
              <w:rPr>
                <w:rFonts w:hint="eastAsia" w:ascii="Times New Roman" w:hAnsi="Times New Roman" w:eastAsia="宋体"/>
                <w:b/>
                <w:bCs/>
                <w:color w:val="auto"/>
                <w:highlight w:val="none"/>
                <w:lang w:val="en-US" w:eastAsia="zh-CN"/>
              </w:rPr>
              <w:t>1、</w:t>
            </w:r>
            <w:r>
              <w:rPr>
                <w:rFonts w:hint="eastAsia"/>
                <w:b/>
                <w:bCs/>
                <w:color w:val="auto"/>
                <w:highlight w:val="none"/>
                <w:lang w:val="en-US" w:eastAsia="zh-CN"/>
              </w:rPr>
              <w:t>商品混凝土生产</w:t>
            </w:r>
            <w:r>
              <w:rPr>
                <w:rFonts w:hint="eastAsia"/>
                <w:b/>
                <w:bCs/>
                <w:color w:val="auto"/>
                <w:highlight w:val="none"/>
              </w:rPr>
              <w:t>工艺流程</w:t>
            </w:r>
          </w:p>
          <w:p w14:paraId="436662F7">
            <w:pPr>
              <w:pStyle w:val="31"/>
              <w:bidi w:val="0"/>
              <w:ind w:left="0" w:leftChars="0" w:firstLine="0" w:firstLineChars="0"/>
              <w:jc w:val="center"/>
              <w:rPr>
                <w:rFonts w:hint="eastAsia"/>
                <w:color w:val="auto"/>
                <w:highlight w:val="none"/>
                <w:lang w:val="en-US" w:eastAsia="zh-CN"/>
              </w:rPr>
            </w:pPr>
            <w:r>
              <w:rPr>
                <w:color w:val="auto"/>
                <w:highlight w:val="none"/>
              </w:rPr>
              <w:drawing>
                <wp:anchor distT="0" distB="0" distL="114300" distR="114300" simplePos="0" relativeHeight="251687936" behindDoc="0" locked="0" layoutInCell="1" allowOverlap="1">
                  <wp:simplePos x="0" y="0"/>
                  <wp:positionH relativeFrom="column">
                    <wp:posOffset>4243070</wp:posOffset>
                  </wp:positionH>
                  <wp:positionV relativeFrom="paragraph">
                    <wp:posOffset>374650</wp:posOffset>
                  </wp:positionV>
                  <wp:extent cx="600075" cy="285750"/>
                  <wp:effectExtent l="0" t="0" r="0" b="0"/>
                  <wp:wrapNone/>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21"/>
                          <a:srcRect l="3772" t="6667" r="13333" b="7619"/>
                          <a:stretch>
                            <a:fillRect/>
                          </a:stretch>
                        </pic:blipFill>
                        <pic:spPr>
                          <a:xfrm>
                            <a:off x="0" y="0"/>
                            <a:ext cx="600075" cy="285750"/>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686912" behindDoc="0" locked="0" layoutInCell="1" allowOverlap="1">
                      <wp:simplePos x="0" y="0"/>
                      <wp:positionH relativeFrom="column">
                        <wp:posOffset>3919220</wp:posOffset>
                      </wp:positionH>
                      <wp:positionV relativeFrom="paragraph">
                        <wp:posOffset>664210</wp:posOffset>
                      </wp:positionV>
                      <wp:extent cx="695325" cy="228600"/>
                      <wp:effectExtent l="4445" t="4445" r="5080" b="14605"/>
                      <wp:wrapNone/>
                      <wp:docPr id="66" name="文本框 66"/>
                      <wp:cNvGraphicFramePr/>
                      <a:graphic xmlns:a="http://schemas.openxmlformats.org/drawingml/2006/main">
                        <a:graphicData uri="http://schemas.microsoft.com/office/word/2010/wordprocessingShape">
                          <wps:wsp>
                            <wps:cNvSpPr txBox="1"/>
                            <wps:spPr>
                              <a:xfrm>
                                <a:off x="0" y="0"/>
                                <a:ext cx="695325" cy="228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757100A">
                                  <w:pPr>
                                    <w:rPr>
                                      <w:rFonts w:hint="default" w:eastAsia="宋体"/>
                                      <w:sz w:val="18"/>
                                      <w:szCs w:val="18"/>
                                      <w:lang w:val="en-US" w:eastAsia="zh-CN"/>
                                    </w:rPr>
                                  </w:pPr>
                                  <w:r>
                                    <w:rPr>
                                      <w:rFonts w:hint="eastAsia"/>
                                      <w:sz w:val="18"/>
                                      <w:szCs w:val="18"/>
                                      <w:lang w:val="en-US" w:eastAsia="zh-CN"/>
                                    </w:rPr>
                                    <w:t>外加剂罐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6pt;margin-top:52.3pt;height:18pt;width:54.75pt;z-index:251686912;mso-width-relative:page;mso-height-relative:page;" fillcolor="#FFFFFF [3201]" filled="t" stroked="t" coordsize="21600,21600" o:gfxdata="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SsVP/&#10;1wAAAAsBAAAPAAAAAAAAAAEAIAAAACIAAABkcnMvZG93bnJldi54bWxQSwECFAAUAAAACACHTuJA&#10;00lSglsCAAC4BAAADgAAAAAAAAABACAAAAAmAQAAZHJzL2Uyb0RvYy54bWxQSwUGAAAAAAYABgBZ&#10;AQAA8wUAAAAA&#10;">
                      <v:fill on="t" focussize="0,0"/>
                      <v:stroke weight="0.5pt" color="#000000 [3204]" joinstyle="round"/>
                      <v:imagedata o:title=""/>
                      <o:lock v:ext="edit" aspectratio="f"/>
                      <v:textbox>
                        <w:txbxContent>
                          <w:p w14:paraId="2757100A">
                            <w:pPr>
                              <w:rPr>
                                <w:rFonts w:hint="default" w:eastAsia="宋体"/>
                                <w:sz w:val="18"/>
                                <w:szCs w:val="18"/>
                                <w:lang w:val="en-US" w:eastAsia="zh-CN"/>
                              </w:rPr>
                            </w:pPr>
                            <w:r>
                              <w:rPr>
                                <w:rFonts w:hint="eastAsia"/>
                                <w:sz w:val="18"/>
                                <w:szCs w:val="18"/>
                                <w:lang w:val="en-US" w:eastAsia="zh-CN"/>
                              </w:rPr>
                              <w:t>外加剂罐</w:t>
                            </w:r>
                          </w:p>
                        </w:txbxContent>
                      </v:textbox>
                    </v:shape>
                  </w:pict>
                </mc:Fallback>
              </mc:AlternateContent>
            </w:r>
            <w:r>
              <w:rPr>
                <w:color w:val="auto"/>
                <w:sz w:val="24"/>
                <w:highlight w:val="none"/>
              </w:rPr>
              <mc:AlternateContent>
                <mc:Choice Requires="wps">
                  <w:drawing>
                    <wp:anchor distT="0" distB="0" distL="114300" distR="114300" simplePos="0" relativeHeight="251685888" behindDoc="0" locked="0" layoutInCell="1" allowOverlap="1">
                      <wp:simplePos x="0" y="0"/>
                      <wp:positionH relativeFrom="column">
                        <wp:posOffset>1938020</wp:posOffset>
                      </wp:positionH>
                      <wp:positionV relativeFrom="paragraph">
                        <wp:posOffset>673735</wp:posOffset>
                      </wp:positionV>
                      <wp:extent cx="704850" cy="228600"/>
                      <wp:effectExtent l="4445" t="4445" r="14605" b="14605"/>
                      <wp:wrapNone/>
                      <wp:docPr id="65" name="文本框 65"/>
                      <wp:cNvGraphicFramePr/>
                      <a:graphic xmlns:a="http://schemas.openxmlformats.org/drawingml/2006/main">
                        <a:graphicData uri="http://schemas.microsoft.com/office/word/2010/wordprocessingShape">
                          <wps:wsp>
                            <wps:cNvSpPr txBox="1"/>
                            <wps:spPr>
                              <a:xfrm>
                                <a:off x="0" y="0"/>
                                <a:ext cx="704850" cy="228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C4FED06">
                                  <w:pPr>
                                    <w:rPr>
                                      <w:rFonts w:hint="default" w:eastAsia="宋体"/>
                                      <w:sz w:val="18"/>
                                      <w:szCs w:val="18"/>
                                      <w:lang w:val="en-US" w:eastAsia="zh-CN"/>
                                    </w:rPr>
                                  </w:pPr>
                                  <w:r>
                                    <w:rPr>
                                      <w:rFonts w:hint="eastAsia"/>
                                      <w:sz w:val="18"/>
                                      <w:szCs w:val="18"/>
                                      <w:lang w:val="en-US" w:eastAsia="zh-CN"/>
                                    </w:rPr>
                                    <w:t>水泥筒仓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6pt;margin-top:53.05pt;height:18pt;width:55.5pt;z-index:251685888;mso-width-relative:page;mso-height-relative:page;" fillcolor="#FFFFFF [3201]" filled="t" stroked="t" coordsize="21600,21600" o:gfxdata="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eu8uvWAAAA&#10;CwEAAA8AAAAAAAAAAQAgAAAAIgAAAGRycy9kb3ducmV2LnhtbFBLAQIUABQAAAAIAIdO4kBq0IHy&#10;WAIAALgEAAAOAAAAAAAAAAEAIAAAACUBAABkcnMvZTJvRG9jLnhtbFBLBQYAAAAABgAGAFkBAADv&#10;BQAAAAA=&#10;">
                      <v:fill on="t" focussize="0,0"/>
                      <v:stroke weight="0.5pt" color="#000000 [3204]" joinstyle="round"/>
                      <v:imagedata o:title=""/>
                      <o:lock v:ext="edit" aspectratio="f"/>
                      <v:textbox>
                        <w:txbxContent>
                          <w:p w14:paraId="0C4FED06">
                            <w:pPr>
                              <w:rPr>
                                <w:rFonts w:hint="default" w:eastAsia="宋体"/>
                                <w:sz w:val="18"/>
                                <w:szCs w:val="18"/>
                                <w:lang w:val="en-US" w:eastAsia="zh-CN"/>
                              </w:rPr>
                            </w:pPr>
                            <w:r>
                              <w:rPr>
                                <w:rFonts w:hint="eastAsia"/>
                                <w:sz w:val="18"/>
                                <w:szCs w:val="18"/>
                                <w:lang w:val="en-US" w:eastAsia="zh-CN"/>
                              </w:rPr>
                              <w:t>水泥筒仓</w:t>
                            </w:r>
                          </w:p>
                        </w:txbxContent>
                      </v:textbox>
                    </v:shape>
                  </w:pict>
                </mc:Fallback>
              </mc:AlternateContent>
            </w:r>
            <w:r>
              <w:rPr>
                <w:color w:val="auto"/>
                <w:sz w:val="24"/>
                <w:highlight w:val="none"/>
              </w:rPr>
              <mc:AlternateContent>
                <mc:Choice Requires="wps">
                  <w:drawing>
                    <wp:anchor distT="0" distB="0" distL="114300" distR="114300" simplePos="0" relativeHeight="251684864" behindDoc="0" locked="0" layoutInCell="1" allowOverlap="1">
                      <wp:simplePos x="0" y="0"/>
                      <wp:positionH relativeFrom="column">
                        <wp:posOffset>3004820</wp:posOffset>
                      </wp:positionH>
                      <wp:positionV relativeFrom="paragraph">
                        <wp:posOffset>673735</wp:posOffset>
                      </wp:positionV>
                      <wp:extent cx="800100" cy="228600"/>
                      <wp:effectExtent l="4445" t="4445" r="14605" b="14605"/>
                      <wp:wrapNone/>
                      <wp:docPr id="63" name="文本框 63"/>
                      <wp:cNvGraphicFramePr/>
                      <a:graphic xmlns:a="http://schemas.openxmlformats.org/drawingml/2006/main">
                        <a:graphicData uri="http://schemas.microsoft.com/office/word/2010/wordprocessingShape">
                          <wps:wsp>
                            <wps:cNvSpPr txBox="1"/>
                            <wps:spPr>
                              <a:xfrm>
                                <a:off x="4648200" y="6916420"/>
                                <a:ext cx="800100" cy="228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A65CE5D">
                                  <w:pPr>
                                    <w:rPr>
                                      <w:rFonts w:hint="default" w:eastAsia="宋体"/>
                                      <w:sz w:val="18"/>
                                      <w:szCs w:val="18"/>
                                      <w:lang w:val="en-US" w:eastAsia="zh-CN"/>
                                    </w:rPr>
                                  </w:pPr>
                                  <w:r>
                                    <w:rPr>
                                      <w:rFonts w:hint="eastAsia"/>
                                      <w:sz w:val="18"/>
                                      <w:szCs w:val="18"/>
                                      <w:lang w:val="en-US" w:eastAsia="zh-CN"/>
                                    </w:rPr>
                                    <w:t>粉煤灰筒仓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6.6pt;margin-top:53.05pt;height:18pt;width:63pt;z-index:251684864;mso-width-relative:page;mso-height-relative:page;" fillcolor="#FFFFFF [3201]" filled="t" stroked="t" coordsize="21600,21600" o:gfxdata="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juwYfXAAAACwEAAA8AAAAAAAAAAQAgAAAAIgAAAGRycy9kb3ducmV2LnhtbFBLAQIUABQAAAAI&#10;AIdO4kAH42kCYAIAAMQEAAAOAAAAAAAAAAEAIAAAACYBAABkcnMvZTJvRG9jLnhtbFBLBQYAAAAA&#10;BgAGAFkBAAD4BQAAAAA=&#10;">
                      <v:fill on="t" focussize="0,0"/>
                      <v:stroke weight="0.5pt" color="#000000 [3204]" joinstyle="round"/>
                      <v:imagedata o:title=""/>
                      <o:lock v:ext="edit" aspectratio="f"/>
                      <v:textbox>
                        <w:txbxContent>
                          <w:p w14:paraId="7A65CE5D">
                            <w:pPr>
                              <w:rPr>
                                <w:rFonts w:hint="default" w:eastAsia="宋体"/>
                                <w:sz w:val="18"/>
                                <w:szCs w:val="18"/>
                                <w:lang w:val="en-US" w:eastAsia="zh-CN"/>
                              </w:rPr>
                            </w:pPr>
                            <w:r>
                              <w:rPr>
                                <w:rFonts w:hint="eastAsia"/>
                                <w:sz w:val="18"/>
                                <w:szCs w:val="18"/>
                                <w:lang w:val="en-US" w:eastAsia="zh-CN"/>
                              </w:rPr>
                              <w:t>粉煤灰筒仓</w:t>
                            </w:r>
                          </w:p>
                        </w:txbxContent>
                      </v:textbox>
                    </v:shape>
                  </w:pict>
                </mc:Fallback>
              </mc:AlternateContent>
            </w:r>
            <w:r>
              <w:rPr>
                <w:color w:val="auto"/>
                <w:highlight w:val="none"/>
              </w:rPr>
              <w:drawing>
                <wp:inline distT="0" distB="0" distL="114300" distR="114300">
                  <wp:extent cx="4263390" cy="2570480"/>
                  <wp:effectExtent l="0" t="0" r="3810" b="1270"/>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pic:cNvPicPr>
                        </pic:nvPicPr>
                        <pic:blipFill>
                          <a:blip r:embed="rId22"/>
                          <a:stretch>
                            <a:fillRect/>
                          </a:stretch>
                        </pic:blipFill>
                        <pic:spPr>
                          <a:xfrm>
                            <a:off x="0" y="0"/>
                            <a:ext cx="4263390" cy="2570480"/>
                          </a:xfrm>
                          <a:prstGeom prst="rect">
                            <a:avLst/>
                          </a:prstGeom>
                          <a:noFill/>
                          <a:ln>
                            <a:noFill/>
                          </a:ln>
                        </pic:spPr>
                      </pic:pic>
                    </a:graphicData>
                  </a:graphic>
                </wp:inline>
              </w:drawing>
            </w:r>
          </w:p>
          <w:p w14:paraId="6A7A181D">
            <w:pPr>
              <w:pStyle w:val="36"/>
              <w:keepNext w:val="0"/>
              <w:keepLines w:val="0"/>
              <w:pageBreakBefore w:val="0"/>
              <w:widowControl w:val="0"/>
              <w:kinsoku/>
              <w:wordWrap/>
              <w:overflowPunct/>
              <w:topLinePunct w:val="0"/>
              <w:autoSpaceDE/>
              <w:autoSpaceDN/>
              <w:bidi w:val="0"/>
              <w:adjustRightInd/>
              <w:snapToGrid/>
              <w:spacing w:after="157" w:afterLines="50"/>
              <w:textAlignment w:val="auto"/>
              <w:rPr>
                <w:color w:val="auto"/>
                <w:highlight w:val="none"/>
              </w:rPr>
            </w:pPr>
            <w:r>
              <w:rPr>
                <w:color w:val="auto"/>
                <w:highlight w:val="none"/>
              </w:rPr>
              <w:t>图2</w:t>
            </w:r>
            <w:r>
              <w:rPr>
                <w:rFonts w:hint="eastAsia"/>
                <w:color w:val="auto"/>
                <w:highlight w:val="none"/>
              </w:rPr>
              <w:t>-</w:t>
            </w:r>
            <w:r>
              <w:rPr>
                <w:rFonts w:hint="eastAsia"/>
                <w:color w:val="auto"/>
                <w:highlight w:val="none"/>
                <w:lang w:val="en-US" w:eastAsia="zh-CN"/>
              </w:rPr>
              <w:t>2</w:t>
            </w:r>
            <w:r>
              <w:rPr>
                <w:rFonts w:hint="eastAsia"/>
                <w:b/>
                <w:bCs/>
                <w:color w:val="auto"/>
                <w:highlight w:val="none"/>
                <w:lang w:val="en-US" w:eastAsia="zh-CN"/>
              </w:rPr>
              <w:t>商品混凝土</w:t>
            </w:r>
            <w:r>
              <w:rPr>
                <w:color w:val="auto"/>
                <w:highlight w:val="none"/>
              </w:rPr>
              <w:t>生产线生产工艺流程图及产污节点图</w:t>
            </w:r>
          </w:p>
          <w:p w14:paraId="7DB623C1">
            <w:pPr>
              <w:pStyle w:val="31"/>
              <w:bidi w:val="0"/>
              <w:rPr>
                <w:color w:val="auto"/>
                <w:highlight w:val="none"/>
              </w:rPr>
            </w:pPr>
            <w:r>
              <w:rPr>
                <w:color w:val="auto"/>
                <w:highlight w:val="none"/>
              </w:rPr>
              <w:t>（1）</w:t>
            </w:r>
            <w:r>
              <w:rPr>
                <w:rFonts w:hint="eastAsia"/>
                <w:color w:val="auto"/>
                <w:highlight w:val="none"/>
              </w:rPr>
              <w:t>装卸</w:t>
            </w:r>
            <w:r>
              <w:rPr>
                <w:rFonts w:hint="eastAsia"/>
                <w:color w:val="auto"/>
                <w:highlight w:val="none"/>
                <w:lang w:eastAsia="zh-CN"/>
              </w:rPr>
              <w:t>、</w:t>
            </w:r>
            <w:r>
              <w:rPr>
                <w:rFonts w:hint="eastAsia"/>
                <w:color w:val="auto"/>
                <w:highlight w:val="none"/>
              </w:rPr>
              <w:t>储料</w:t>
            </w:r>
          </w:p>
          <w:p w14:paraId="10DCA8E6">
            <w:pPr>
              <w:pStyle w:val="31"/>
              <w:bidi w:val="0"/>
              <w:rPr>
                <w:color w:val="auto"/>
                <w:highlight w:val="none"/>
              </w:rPr>
            </w:pPr>
            <w:r>
              <w:rPr>
                <w:rFonts w:hint="eastAsia"/>
                <w:color w:val="auto"/>
                <w:highlight w:val="none"/>
                <w:lang w:val="en-US" w:eastAsia="zh-CN"/>
              </w:rPr>
              <w:t>商品混凝土</w:t>
            </w:r>
            <w:r>
              <w:rPr>
                <w:rFonts w:hint="eastAsia"/>
                <w:color w:val="auto"/>
                <w:highlight w:val="none"/>
              </w:rPr>
              <w:t>生产</w:t>
            </w:r>
            <w:r>
              <w:rPr>
                <w:color w:val="auto"/>
                <w:highlight w:val="none"/>
              </w:rPr>
              <w:t>外购</w:t>
            </w:r>
            <w:r>
              <w:rPr>
                <w:rFonts w:hint="eastAsia"/>
                <w:color w:val="auto"/>
                <w:highlight w:val="none"/>
                <w:lang w:val="en-US" w:eastAsia="zh-CN"/>
              </w:rPr>
              <w:t>石子和砂子</w:t>
            </w:r>
            <w:r>
              <w:rPr>
                <w:color w:val="auto"/>
                <w:highlight w:val="none"/>
              </w:rPr>
              <w:t>进厂后卸料</w:t>
            </w:r>
            <w:r>
              <w:rPr>
                <w:rFonts w:hint="eastAsia"/>
                <w:color w:val="auto"/>
                <w:highlight w:val="none"/>
                <w:lang w:val="en-US" w:eastAsia="zh-CN"/>
              </w:rPr>
              <w:t>贮存</w:t>
            </w:r>
            <w:r>
              <w:rPr>
                <w:color w:val="auto"/>
                <w:highlight w:val="none"/>
              </w:rPr>
              <w:t>在</w:t>
            </w:r>
            <w:r>
              <w:rPr>
                <w:rFonts w:hint="eastAsia"/>
                <w:color w:val="auto"/>
                <w:highlight w:val="none"/>
                <w:lang w:val="en-US" w:eastAsia="zh-CN"/>
              </w:rPr>
              <w:t>商混搅拌站内的堆场贮存，该过程产生粉尘及噪声</w:t>
            </w:r>
            <w:r>
              <w:rPr>
                <w:color w:val="auto"/>
                <w:highlight w:val="none"/>
              </w:rPr>
              <w:t>；水泥由罐车泵送进入</w:t>
            </w:r>
            <w:r>
              <w:rPr>
                <w:rFonts w:hint="eastAsia"/>
                <w:color w:val="auto"/>
                <w:highlight w:val="none"/>
                <w:lang w:eastAsia="zh-CN"/>
              </w:rPr>
              <w:t>水泥筒仓，</w:t>
            </w:r>
            <w:r>
              <w:rPr>
                <w:rFonts w:hint="eastAsia"/>
                <w:color w:val="auto"/>
                <w:highlight w:val="none"/>
                <w:lang w:val="en-US" w:eastAsia="zh-CN"/>
              </w:rPr>
              <w:t>粉煤灰由罐车泵送进入粉煤灰筒仓，外加剂</w:t>
            </w:r>
            <w:r>
              <w:rPr>
                <w:color w:val="auto"/>
                <w:highlight w:val="none"/>
              </w:rPr>
              <w:t>由罐车泵送进入</w:t>
            </w:r>
            <w:r>
              <w:rPr>
                <w:rFonts w:hint="eastAsia"/>
                <w:color w:val="auto"/>
                <w:highlight w:val="none"/>
                <w:lang w:val="en-US" w:eastAsia="zh-CN"/>
              </w:rPr>
              <w:t>外加剂罐</w:t>
            </w:r>
            <w:r>
              <w:rPr>
                <w:color w:val="auto"/>
                <w:highlight w:val="none"/>
              </w:rPr>
              <w:t>，水泥</w:t>
            </w:r>
            <w:r>
              <w:rPr>
                <w:rFonts w:hint="eastAsia"/>
                <w:color w:val="auto"/>
                <w:highlight w:val="none"/>
                <w:lang w:val="en-US" w:eastAsia="zh-CN"/>
              </w:rPr>
              <w:t>、粉煤灰</w:t>
            </w:r>
            <w:r>
              <w:rPr>
                <w:color w:val="auto"/>
                <w:highlight w:val="none"/>
              </w:rPr>
              <w:t>进</w:t>
            </w:r>
            <w:r>
              <w:rPr>
                <w:rFonts w:hint="eastAsia"/>
                <w:color w:val="auto"/>
                <w:highlight w:val="none"/>
              </w:rPr>
              <w:t>储罐</w:t>
            </w:r>
            <w:r>
              <w:rPr>
                <w:rFonts w:hint="eastAsia"/>
                <w:color w:val="auto"/>
                <w:highlight w:val="none"/>
                <w:lang w:eastAsia="zh-CN"/>
              </w:rPr>
              <w:t>、</w:t>
            </w:r>
            <w:r>
              <w:rPr>
                <w:rFonts w:hint="eastAsia"/>
                <w:color w:val="auto"/>
                <w:highlight w:val="none"/>
                <w:lang w:val="en-US" w:eastAsia="zh-CN"/>
              </w:rPr>
              <w:t>外加剂</w:t>
            </w:r>
            <w:r>
              <w:rPr>
                <w:color w:val="auto"/>
                <w:highlight w:val="none"/>
              </w:rPr>
              <w:t>采用全封闭方式，</w:t>
            </w:r>
            <w:r>
              <w:rPr>
                <w:rFonts w:hint="eastAsia"/>
                <w:color w:val="auto"/>
                <w:highlight w:val="none"/>
                <w:lang w:val="en-US" w:eastAsia="zh-CN"/>
              </w:rPr>
              <w:t>自带布袋除尘器及通气孔，该过程产生粉尘、噪声及除尘器收尘。</w:t>
            </w:r>
          </w:p>
          <w:p w14:paraId="00B7F793">
            <w:pPr>
              <w:pStyle w:val="31"/>
              <w:bidi w:val="0"/>
              <w:rPr>
                <w:color w:val="auto"/>
                <w:highlight w:val="none"/>
              </w:rPr>
            </w:pPr>
            <w:r>
              <w:rPr>
                <w:color w:val="auto"/>
                <w:highlight w:val="none"/>
              </w:rPr>
              <w:t>（2）</w:t>
            </w:r>
            <w:r>
              <w:rPr>
                <w:rFonts w:hint="eastAsia"/>
                <w:color w:val="auto"/>
                <w:highlight w:val="none"/>
              </w:rPr>
              <w:t>输送</w:t>
            </w:r>
            <w:r>
              <w:rPr>
                <w:rFonts w:hint="eastAsia"/>
                <w:color w:val="auto"/>
                <w:highlight w:val="none"/>
                <w:lang w:eastAsia="zh-CN"/>
              </w:rPr>
              <w:t>、</w:t>
            </w:r>
            <w:r>
              <w:rPr>
                <w:color w:val="auto"/>
                <w:highlight w:val="none"/>
              </w:rPr>
              <w:t>计量、投</w:t>
            </w:r>
            <w:r>
              <w:rPr>
                <w:rFonts w:hint="eastAsia"/>
                <w:color w:val="auto"/>
                <w:highlight w:val="none"/>
              </w:rPr>
              <w:t>料</w:t>
            </w:r>
          </w:p>
          <w:p w14:paraId="015192E0">
            <w:pPr>
              <w:pStyle w:val="31"/>
              <w:bidi w:val="0"/>
              <w:rPr>
                <w:rFonts w:hint="default"/>
                <w:color w:val="auto"/>
                <w:highlight w:val="none"/>
                <w:lang w:val="en-US" w:eastAsia="zh-CN"/>
              </w:rPr>
            </w:pPr>
            <w:r>
              <w:rPr>
                <w:rFonts w:hint="default" w:ascii="Times New Roman" w:hAnsi="Times New Roman" w:eastAsia="宋体" w:cs="Times New Roman"/>
                <w:color w:val="auto"/>
                <w:sz w:val="24"/>
                <w:szCs w:val="24"/>
                <w:highlight w:val="none"/>
              </w:rPr>
              <w:t>砂</w:t>
            </w:r>
            <w:r>
              <w:rPr>
                <w:rFonts w:hint="eastAsia" w:cs="Times New Roman"/>
                <w:color w:val="auto"/>
                <w:sz w:val="24"/>
                <w:szCs w:val="24"/>
                <w:highlight w:val="none"/>
                <w:lang w:val="en-US" w:eastAsia="zh-CN"/>
              </w:rPr>
              <w:t>和碎石</w:t>
            </w:r>
            <w:r>
              <w:rPr>
                <w:rFonts w:hint="default" w:ascii="Times New Roman" w:hAnsi="Times New Roman" w:eastAsia="宋体" w:cs="Times New Roman"/>
                <w:color w:val="auto"/>
                <w:sz w:val="24"/>
                <w:szCs w:val="24"/>
                <w:highlight w:val="none"/>
              </w:rPr>
              <w:t>通过铲车送至</w:t>
            </w:r>
            <w:r>
              <w:rPr>
                <w:rFonts w:hint="eastAsia" w:cs="Times New Roman"/>
                <w:color w:val="auto"/>
                <w:sz w:val="24"/>
                <w:szCs w:val="24"/>
                <w:highlight w:val="none"/>
                <w:lang w:val="en-US" w:eastAsia="zh-CN"/>
              </w:rPr>
              <w:t>配料机</w:t>
            </w:r>
            <w:r>
              <w:rPr>
                <w:rFonts w:hint="default" w:ascii="Times New Roman" w:hAnsi="Times New Roman" w:eastAsia="宋体" w:cs="Times New Roman"/>
                <w:color w:val="auto"/>
                <w:sz w:val="24"/>
                <w:szCs w:val="24"/>
                <w:highlight w:val="none"/>
              </w:rPr>
              <w:t>进料口进入</w:t>
            </w:r>
            <w:r>
              <w:rPr>
                <w:rFonts w:hint="eastAsia" w:cs="Times New Roman"/>
                <w:color w:val="auto"/>
                <w:sz w:val="24"/>
                <w:szCs w:val="24"/>
                <w:highlight w:val="none"/>
                <w:lang w:val="en-US" w:eastAsia="zh-CN"/>
              </w:rPr>
              <w:t>料</w:t>
            </w:r>
            <w:r>
              <w:rPr>
                <w:rFonts w:hint="default" w:ascii="Times New Roman" w:hAnsi="Times New Roman" w:eastAsia="宋体" w:cs="Times New Roman"/>
                <w:color w:val="auto"/>
                <w:sz w:val="24"/>
                <w:szCs w:val="24"/>
                <w:highlight w:val="none"/>
              </w:rPr>
              <w:t>仓，经配料门进入计量斗，计量斗根据微机指令控制比例后卸在输送</w:t>
            </w:r>
            <w:r>
              <w:rPr>
                <w:rFonts w:hint="eastAsia" w:cs="Times New Roman"/>
                <w:color w:val="auto"/>
                <w:sz w:val="24"/>
                <w:szCs w:val="24"/>
                <w:highlight w:val="none"/>
                <w:lang w:val="en-US" w:eastAsia="zh-CN"/>
              </w:rPr>
              <w:t>皮</w:t>
            </w:r>
            <w:r>
              <w:rPr>
                <w:rFonts w:hint="default" w:ascii="Times New Roman" w:hAnsi="Times New Roman" w:eastAsia="宋体" w:cs="Times New Roman"/>
                <w:color w:val="auto"/>
                <w:sz w:val="24"/>
                <w:szCs w:val="24"/>
                <w:highlight w:val="none"/>
              </w:rPr>
              <w:t>带上运入</w:t>
            </w:r>
            <w:r>
              <w:rPr>
                <w:rFonts w:hint="eastAsia" w:eastAsia="宋体" w:cs="Times New Roman"/>
                <w:color w:val="auto"/>
                <w:sz w:val="24"/>
                <w:szCs w:val="24"/>
                <w:highlight w:val="none"/>
                <w:lang w:eastAsia="zh-CN"/>
              </w:rPr>
              <w:t>搅拌</w:t>
            </w:r>
            <w:r>
              <w:rPr>
                <w:rFonts w:hint="eastAsia" w:cs="Times New Roman"/>
                <w:color w:val="auto"/>
                <w:sz w:val="24"/>
                <w:szCs w:val="24"/>
                <w:highlight w:val="none"/>
                <w:lang w:val="en-US" w:eastAsia="zh-CN"/>
              </w:rPr>
              <w:t>机</w:t>
            </w:r>
            <w:r>
              <w:rPr>
                <w:rFonts w:hint="default" w:ascii="Times New Roman" w:hAnsi="Times New Roman" w:eastAsia="宋体" w:cs="Times New Roman"/>
                <w:color w:val="auto"/>
                <w:sz w:val="24"/>
                <w:szCs w:val="24"/>
                <w:highlight w:val="none"/>
              </w:rPr>
              <w:t>；水泥</w:t>
            </w:r>
            <w:r>
              <w:rPr>
                <w:rFonts w:hint="eastAsia" w:ascii="Times New Roman" w:hAnsi="Times New Roman" w:cs="Times New Roman"/>
                <w:color w:val="auto"/>
                <w:sz w:val="24"/>
                <w:szCs w:val="24"/>
                <w:highlight w:val="none"/>
                <w:lang w:val="en-US" w:eastAsia="zh-CN"/>
              </w:rPr>
              <w:t>和粉煤灰</w:t>
            </w:r>
            <w:r>
              <w:rPr>
                <w:rFonts w:hint="default" w:ascii="Times New Roman" w:hAnsi="Times New Roman" w:eastAsia="宋体" w:cs="Times New Roman"/>
                <w:color w:val="auto"/>
                <w:sz w:val="24"/>
                <w:szCs w:val="24"/>
                <w:highlight w:val="none"/>
              </w:rPr>
              <w:t>在筒仓中经螺旋机送入计量斗，计量斗根据微机指令控制比例后经放料阀进入</w:t>
            </w:r>
            <w:r>
              <w:rPr>
                <w:rFonts w:hint="eastAsia" w:eastAsia="宋体" w:cs="Times New Roman"/>
                <w:color w:val="auto"/>
                <w:sz w:val="24"/>
                <w:szCs w:val="24"/>
                <w:highlight w:val="none"/>
                <w:lang w:eastAsia="zh-CN"/>
              </w:rPr>
              <w:t>搅拌</w:t>
            </w:r>
            <w:r>
              <w:rPr>
                <w:rFonts w:hint="eastAsia" w:cs="Times New Roman"/>
                <w:color w:val="auto"/>
                <w:sz w:val="24"/>
                <w:szCs w:val="24"/>
                <w:highlight w:val="none"/>
                <w:lang w:val="en-US" w:eastAsia="zh-CN"/>
              </w:rPr>
              <w:t>机</w:t>
            </w:r>
            <w:r>
              <w:rPr>
                <w:rFonts w:hint="default" w:ascii="Times New Roman" w:hAnsi="Times New Roman" w:eastAsia="宋体" w:cs="Times New Roman"/>
                <w:color w:val="auto"/>
                <w:sz w:val="24"/>
                <w:szCs w:val="24"/>
                <w:highlight w:val="none"/>
              </w:rPr>
              <w:t>；外加剂根据水泥配方通过计量后经放料阀进入</w:t>
            </w:r>
            <w:r>
              <w:rPr>
                <w:rFonts w:hint="eastAsia" w:eastAsia="宋体" w:cs="Times New Roman"/>
                <w:color w:val="auto"/>
                <w:sz w:val="24"/>
                <w:szCs w:val="24"/>
                <w:highlight w:val="none"/>
                <w:lang w:eastAsia="zh-CN"/>
              </w:rPr>
              <w:t>搅拌</w:t>
            </w:r>
            <w:r>
              <w:rPr>
                <w:rFonts w:hint="eastAsia" w:cs="Times New Roman"/>
                <w:color w:val="auto"/>
                <w:sz w:val="24"/>
                <w:szCs w:val="24"/>
                <w:highlight w:val="none"/>
                <w:lang w:val="en-US" w:eastAsia="zh-CN"/>
              </w:rPr>
              <w:t>机</w:t>
            </w:r>
            <w:r>
              <w:rPr>
                <w:rFonts w:hint="default" w:ascii="Times New Roman" w:hAnsi="Times New Roman" w:eastAsia="宋体" w:cs="Times New Roman"/>
                <w:color w:val="auto"/>
                <w:sz w:val="24"/>
                <w:szCs w:val="24"/>
                <w:highlight w:val="none"/>
              </w:rPr>
              <w:t>；水计量后由泵直接抽入</w:t>
            </w:r>
            <w:r>
              <w:rPr>
                <w:rFonts w:hint="eastAsia" w:eastAsia="宋体" w:cs="Times New Roman"/>
                <w:color w:val="auto"/>
                <w:sz w:val="24"/>
                <w:szCs w:val="24"/>
                <w:highlight w:val="none"/>
                <w:lang w:eastAsia="zh-CN"/>
              </w:rPr>
              <w:t>搅拌</w:t>
            </w:r>
            <w:r>
              <w:rPr>
                <w:rFonts w:hint="eastAsia" w:cs="Times New Roman"/>
                <w:color w:val="auto"/>
                <w:sz w:val="24"/>
                <w:szCs w:val="24"/>
                <w:highlight w:val="none"/>
                <w:lang w:val="en-US" w:eastAsia="zh-CN"/>
              </w:rPr>
              <w:t>机</w:t>
            </w:r>
            <w:r>
              <w:rPr>
                <w:rFonts w:hint="eastAsia"/>
                <w:color w:val="auto"/>
                <w:highlight w:val="none"/>
                <w:lang w:val="en-US" w:eastAsia="zh-CN"/>
              </w:rPr>
              <w:t>。该过程产生粉尘及噪声。</w:t>
            </w:r>
          </w:p>
          <w:p w14:paraId="426B2698">
            <w:pPr>
              <w:pStyle w:val="31"/>
              <w:bidi w:val="0"/>
              <w:rPr>
                <w:color w:val="auto"/>
                <w:highlight w:val="none"/>
              </w:rPr>
            </w:pPr>
            <w:r>
              <w:rPr>
                <w:color w:val="auto"/>
                <w:highlight w:val="none"/>
              </w:rPr>
              <w:t>（</w:t>
            </w:r>
            <w:r>
              <w:rPr>
                <w:rFonts w:hint="eastAsia"/>
                <w:color w:val="auto"/>
                <w:highlight w:val="none"/>
                <w:lang w:val="en-US" w:eastAsia="zh-CN"/>
              </w:rPr>
              <w:t>3</w:t>
            </w:r>
            <w:r>
              <w:rPr>
                <w:color w:val="auto"/>
                <w:highlight w:val="none"/>
              </w:rPr>
              <w:t>）搅拌</w:t>
            </w:r>
          </w:p>
          <w:p w14:paraId="688FA96E">
            <w:pPr>
              <w:pStyle w:val="31"/>
              <w:bidi w:val="0"/>
              <w:rPr>
                <w:color w:val="auto"/>
                <w:highlight w:val="none"/>
              </w:rPr>
            </w:pPr>
            <w:r>
              <w:rPr>
                <w:color w:val="auto"/>
                <w:highlight w:val="none"/>
              </w:rPr>
              <w:t>各原料</w:t>
            </w:r>
            <w:r>
              <w:rPr>
                <w:rFonts w:hint="eastAsia"/>
                <w:color w:val="auto"/>
                <w:highlight w:val="none"/>
                <w:lang w:val="en-US" w:eastAsia="zh-CN"/>
              </w:rPr>
              <w:t>封闭</w:t>
            </w:r>
            <w:r>
              <w:rPr>
                <w:color w:val="auto"/>
                <w:highlight w:val="none"/>
              </w:rPr>
              <w:t>输送至搅拌机后于密闭搅拌机内进行混料、搅拌，</w:t>
            </w:r>
            <w:r>
              <w:rPr>
                <w:rFonts w:hint="eastAsia"/>
                <w:color w:val="auto"/>
                <w:highlight w:val="none"/>
                <w:lang w:val="en-US" w:eastAsia="zh-CN"/>
              </w:rPr>
              <w:t>搅拌机自带布袋除尘器，粉尘经布袋除尘器处理后通过站顶排气口无组织排放。该</w:t>
            </w:r>
            <w:r>
              <w:rPr>
                <w:color w:val="auto"/>
                <w:highlight w:val="none"/>
              </w:rPr>
              <w:t>过程产生</w:t>
            </w:r>
            <w:r>
              <w:rPr>
                <w:rFonts w:hint="eastAsia"/>
                <w:color w:val="auto"/>
                <w:highlight w:val="none"/>
                <w:lang w:val="en-US" w:eastAsia="zh-CN"/>
              </w:rPr>
              <w:t>粉尘、噪声及除尘器收尘</w:t>
            </w:r>
            <w:r>
              <w:rPr>
                <w:color w:val="auto"/>
                <w:highlight w:val="none"/>
              </w:rPr>
              <w:t>。</w:t>
            </w:r>
          </w:p>
          <w:p w14:paraId="174C0390">
            <w:pPr>
              <w:pStyle w:val="31"/>
              <w:bidi w:val="0"/>
              <w:rPr>
                <w:rFonts w:hint="eastAsia"/>
                <w:color w:val="auto"/>
                <w:highlight w:val="none"/>
              </w:rPr>
            </w:pPr>
            <w:r>
              <w:rPr>
                <w:color w:val="auto"/>
                <w:highlight w:val="none"/>
              </w:rPr>
              <w:t>（</w:t>
            </w:r>
            <w:r>
              <w:rPr>
                <w:rFonts w:hint="eastAsia"/>
                <w:color w:val="auto"/>
                <w:highlight w:val="none"/>
                <w:lang w:val="en-US" w:eastAsia="zh-CN"/>
              </w:rPr>
              <w:t>4</w:t>
            </w:r>
            <w:r>
              <w:rPr>
                <w:color w:val="auto"/>
                <w:highlight w:val="none"/>
              </w:rPr>
              <w:t>）</w:t>
            </w:r>
            <w:r>
              <w:rPr>
                <w:rFonts w:hint="eastAsia"/>
                <w:color w:val="auto"/>
                <w:highlight w:val="none"/>
              </w:rPr>
              <w:t>成品</w:t>
            </w:r>
            <w:r>
              <w:rPr>
                <w:rFonts w:hint="eastAsia"/>
                <w:color w:val="auto"/>
                <w:highlight w:val="none"/>
                <w:lang w:val="en-US" w:eastAsia="zh-CN"/>
              </w:rPr>
              <w:t>检验、</w:t>
            </w:r>
            <w:r>
              <w:rPr>
                <w:rFonts w:hint="eastAsia"/>
                <w:color w:val="auto"/>
                <w:highlight w:val="none"/>
              </w:rPr>
              <w:t>装车外运</w:t>
            </w:r>
          </w:p>
          <w:p w14:paraId="4C79C859">
            <w:pPr>
              <w:pStyle w:val="31"/>
              <w:bidi w:val="0"/>
              <w:rPr>
                <w:rFonts w:hint="eastAsia"/>
                <w:color w:val="auto"/>
                <w:highlight w:val="none"/>
              </w:rPr>
            </w:pPr>
            <w:r>
              <w:rPr>
                <w:rFonts w:hint="eastAsia"/>
                <w:color w:val="auto"/>
                <w:highlight w:val="none"/>
                <w:lang w:val="en-US" w:eastAsia="zh-CN"/>
              </w:rPr>
              <w:t>本</w:t>
            </w:r>
            <w:r>
              <w:rPr>
                <w:rFonts w:hint="eastAsia"/>
                <w:color w:val="auto"/>
                <w:highlight w:val="none"/>
              </w:rPr>
              <w:t>项目设置的实验室检测原料含量以及产品的物理特性，无化学反应；主要用于水泥标准稠度用水量的测定、水泥安定性测定、水泥抗折、抗压强度测定，水泥凝结时间的测定、水泥比表面积的测定，实验室无废气、废水的产生。</w:t>
            </w:r>
          </w:p>
          <w:p w14:paraId="561EE9A3">
            <w:pPr>
              <w:pStyle w:val="31"/>
              <w:bidi w:val="0"/>
              <w:rPr>
                <w:rFonts w:hint="eastAsia"/>
                <w:color w:val="auto"/>
                <w:highlight w:val="none"/>
                <w:lang w:val="en-US" w:eastAsia="zh-CN"/>
              </w:rPr>
            </w:pPr>
            <w:r>
              <w:rPr>
                <w:color w:val="auto"/>
                <w:highlight w:val="none"/>
              </w:rPr>
              <w:t>搅拌完成后</w:t>
            </w:r>
            <w:r>
              <w:rPr>
                <w:rFonts w:hint="eastAsia"/>
                <w:color w:val="auto"/>
                <w:highlight w:val="none"/>
                <w:lang w:val="en-US" w:eastAsia="zh-CN"/>
              </w:rPr>
              <w:t>商品混凝土</w:t>
            </w:r>
            <w:r>
              <w:rPr>
                <w:color w:val="auto"/>
                <w:highlight w:val="none"/>
              </w:rPr>
              <w:t>由</w:t>
            </w:r>
            <w:r>
              <w:rPr>
                <w:rFonts w:hint="eastAsia"/>
                <w:color w:val="auto"/>
                <w:highlight w:val="none"/>
                <w:lang w:val="en-US" w:eastAsia="zh-CN"/>
              </w:rPr>
              <w:t>搅拌机卸入罐车罐体内，装满后驶离商混搅拌站</w:t>
            </w:r>
            <w:r>
              <w:rPr>
                <w:color w:val="auto"/>
                <w:highlight w:val="none"/>
              </w:rPr>
              <w:t>。</w:t>
            </w:r>
            <w:r>
              <w:rPr>
                <w:rFonts w:hint="eastAsia"/>
                <w:color w:val="auto"/>
                <w:highlight w:val="none"/>
                <w:lang w:val="en-US" w:eastAsia="zh-CN"/>
              </w:rPr>
              <w:t>该</w:t>
            </w:r>
            <w:r>
              <w:rPr>
                <w:color w:val="auto"/>
                <w:highlight w:val="none"/>
              </w:rPr>
              <w:t>过程产生</w:t>
            </w:r>
            <w:r>
              <w:rPr>
                <w:rFonts w:hint="eastAsia"/>
                <w:color w:val="auto"/>
                <w:highlight w:val="none"/>
                <w:lang w:val="en-US" w:eastAsia="zh-CN"/>
              </w:rPr>
              <w:t>噪声</w:t>
            </w:r>
            <w:r>
              <w:rPr>
                <w:color w:val="auto"/>
                <w:highlight w:val="none"/>
              </w:rPr>
              <w:t>。</w:t>
            </w:r>
          </w:p>
          <w:p w14:paraId="11E6D80E">
            <w:pPr>
              <w:pStyle w:val="36"/>
              <w:bidi w:val="0"/>
              <w:rPr>
                <w:rFonts w:hint="eastAsia"/>
                <w:color w:val="auto"/>
                <w:highlight w:val="none"/>
                <w:lang w:val="en-US" w:eastAsia="zh-CN"/>
              </w:rPr>
            </w:pPr>
            <w:r>
              <w:rPr>
                <w:rFonts w:hint="eastAsia"/>
                <w:color w:val="auto"/>
                <w:highlight w:val="none"/>
                <w:lang w:val="en-US" w:eastAsia="zh-CN"/>
              </w:rPr>
              <w:t>表2-6产污环节一览表</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
              <w:gridCol w:w="424"/>
              <w:gridCol w:w="544"/>
              <w:gridCol w:w="1635"/>
              <w:gridCol w:w="1185"/>
              <w:gridCol w:w="1833"/>
              <w:gridCol w:w="1500"/>
            </w:tblGrid>
            <w:tr w14:paraId="4E7085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tcBorders>
                    <w:tl2br w:val="nil"/>
                    <w:tr2bl w:val="nil"/>
                  </w:tcBorders>
                  <w:noWrap w:val="0"/>
                  <w:vAlign w:val="center"/>
                </w:tcPr>
                <w:p w14:paraId="55CA0A5F">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序号</w:t>
                  </w:r>
                </w:p>
              </w:tc>
              <w:tc>
                <w:tcPr>
                  <w:tcW w:w="280" w:type="pct"/>
                  <w:tcBorders>
                    <w:tl2br w:val="nil"/>
                    <w:tr2bl w:val="nil"/>
                  </w:tcBorders>
                  <w:noWrap w:val="0"/>
                  <w:vAlign w:val="center"/>
                </w:tcPr>
                <w:p w14:paraId="539A2214">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类别</w:t>
                  </w:r>
                </w:p>
              </w:tc>
              <w:tc>
                <w:tcPr>
                  <w:tcW w:w="1444" w:type="pct"/>
                  <w:gridSpan w:val="2"/>
                  <w:tcBorders>
                    <w:tl2br w:val="nil"/>
                    <w:tr2bl w:val="nil"/>
                  </w:tcBorders>
                  <w:noWrap w:val="0"/>
                  <w:vAlign w:val="center"/>
                </w:tcPr>
                <w:p w14:paraId="53053122">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污染源名称</w:t>
                  </w:r>
                </w:p>
              </w:tc>
              <w:tc>
                <w:tcPr>
                  <w:tcW w:w="785" w:type="pct"/>
                  <w:tcBorders>
                    <w:tl2br w:val="nil"/>
                    <w:tr2bl w:val="nil"/>
                  </w:tcBorders>
                  <w:noWrap w:val="0"/>
                  <w:vAlign w:val="center"/>
                </w:tcPr>
                <w:p w14:paraId="347FFF27">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污染物</w:t>
                  </w:r>
                </w:p>
              </w:tc>
              <w:tc>
                <w:tcPr>
                  <w:tcW w:w="1214" w:type="pct"/>
                  <w:tcBorders>
                    <w:tl2br w:val="nil"/>
                    <w:tr2bl w:val="nil"/>
                  </w:tcBorders>
                  <w:noWrap w:val="0"/>
                  <w:vAlign w:val="center"/>
                </w:tcPr>
                <w:p w14:paraId="59614E00">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治理措施</w:t>
                  </w:r>
                </w:p>
              </w:tc>
              <w:tc>
                <w:tcPr>
                  <w:tcW w:w="994" w:type="pct"/>
                  <w:tcBorders>
                    <w:tl2br w:val="nil"/>
                    <w:tr2bl w:val="nil"/>
                  </w:tcBorders>
                  <w:noWrap w:val="0"/>
                  <w:vAlign w:val="center"/>
                </w:tcPr>
                <w:p w14:paraId="46BB8867">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去向</w:t>
                  </w:r>
                </w:p>
              </w:tc>
            </w:tr>
            <w:tr w14:paraId="0CD40C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restart"/>
                  <w:tcBorders>
                    <w:tl2br w:val="nil"/>
                    <w:tr2bl w:val="nil"/>
                  </w:tcBorders>
                  <w:noWrap w:val="0"/>
                  <w:vAlign w:val="center"/>
                </w:tcPr>
                <w:p w14:paraId="28C69A15">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1</w:t>
                  </w:r>
                </w:p>
              </w:tc>
              <w:tc>
                <w:tcPr>
                  <w:tcW w:w="280" w:type="pct"/>
                  <w:vMerge w:val="restart"/>
                  <w:tcBorders>
                    <w:tl2br w:val="nil"/>
                    <w:tr2bl w:val="nil"/>
                  </w:tcBorders>
                  <w:noWrap w:val="0"/>
                  <w:vAlign w:val="center"/>
                </w:tcPr>
                <w:p w14:paraId="7210E8FE">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废水</w:t>
                  </w:r>
                </w:p>
              </w:tc>
              <w:tc>
                <w:tcPr>
                  <w:tcW w:w="1444" w:type="pct"/>
                  <w:gridSpan w:val="2"/>
                  <w:tcBorders>
                    <w:tl2br w:val="nil"/>
                    <w:tr2bl w:val="nil"/>
                  </w:tcBorders>
                  <w:noWrap w:val="0"/>
                  <w:vAlign w:val="center"/>
                </w:tcPr>
                <w:p w14:paraId="4FE89556">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生活污水</w:t>
                  </w:r>
                </w:p>
              </w:tc>
              <w:tc>
                <w:tcPr>
                  <w:tcW w:w="785" w:type="pct"/>
                  <w:tcBorders>
                    <w:tl2br w:val="nil"/>
                    <w:tr2bl w:val="nil"/>
                  </w:tcBorders>
                  <w:noWrap w:val="0"/>
                  <w:vAlign w:val="center"/>
                </w:tcPr>
                <w:p w14:paraId="6AC7F997">
                  <w:pPr>
                    <w:pStyle w:val="34"/>
                    <w:bidi w:val="0"/>
                    <w:rPr>
                      <w:rFonts w:hint="default"/>
                      <w:color w:val="auto"/>
                      <w:sz w:val="21"/>
                      <w:szCs w:val="21"/>
                      <w:highlight w:val="none"/>
                      <w:lang w:val="en-US" w:eastAsia="zh-CN"/>
                    </w:rPr>
                  </w:pPr>
                  <w:r>
                    <w:rPr>
                      <w:color w:val="auto"/>
                      <w:sz w:val="21"/>
                      <w:szCs w:val="21"/>
                      <w:highlight w:val="none"/>
                    </w:rPr>
                    <w:t>COD</w:t>
                  </w:r>
                  <w:r>
                    <w:rPr>
                      <w:rFonts w:hint="eastAsia"/>
                      <w:color w:val="auto"/>
                      <w:sz w:val="21"/>
                      <w:szCs w:val="21"/>
                      <w:highlight w:val="none"/>
                      <w:lang w:eastAsia="zh-CN"/>
                    </w:rPr>
                    <w:t>、</w:t>
                  </w:r>
                  <w:r>
                    <w:rPr>
                      <w:rFonts w:hint="eastAsia"/>
                      <w:color w:val="auto"/>
                      <w:sz w:val="21"/>
                      <w:szCs w:val="21"/>
                      <w:highlight w:val="none"/>
                      <w:lang w:val="en-US" w:eastAsia="zh-CN"/>
                    </w:rPr>
                    <w:t>氨氮</w:t>
                  </w:r>
                </w:p>
              </w:tc>
              <w:tc>
                <w:tcPr>
                  <w:tcW w:w="1214" w:type="pct"/>
                  <w:tcBorders>
                    <w:tl2br w:val="nil"/>
                    <w:tr2bl w:val="nil"/>
                  </w:tcBorders>
                  <w:noWrap w:val="0"/>
                  <w:vAlign w:val="center"/>
                </w:tcPr>
                <w:p w14:paraId="1BB945ED">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防渗旱厕</w:t>
                  </w:r>
                </w:p>
              </w:tc>
              <w:tc>
                <w:tcPr>
                  <w:tcW w:w="994" w:type="pct"/>
                  <w:tcBorders>
                    <w:tl2br w:val="nil"/>
                    <w:tr2bl w:val="nil"/>
                  </w:tcBorders>
                  <w:noWrap w:val="0"/>
                  <w:vAlign w:val="center"/>
                </w:tcPr>
                <w:p w14:paraId="1A09841D">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定期清掏、外运堆肥</w:t>
                  </w:r>
                </w:p>
              </w:tc>
            </w:tr>
            <w:tr w14:paraId="00CE02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401167AF">
                  <w:pPr>
                    <w:pStyle w:val="34"/>
                    <w:bidi w:val="0"/>
                    <w:rPr>
                      <w:rFonts w:hint="eastAsia"/>
                      <w:color w:val="auto"/>
                      <w:sz w:val="21"/>
                      <w:szCs w:val="21"/>
                      <w:highlight w:val="none"/>
                      <w:lang w:val="en-US" w:eastAsia="zh-CN"/>
                    </w:rPr>
                  </w:pPr>
                </w:p>
              </w:tc>
              <w:tc>
                <w:tcPr>
                  <w:tcW w:w="280" w:type="pct"/>
                  <w:vMerge w:val="continue"/>
                  <w:tcBorders>
                    <w:tl2br w:val="nil"/>
                    <w:tr2bl w:val="nil"/>
                  </w:tcBorders>
                  <w:noWrap w:val="0"/>
                  <w:vAlign w:val="center"/>
                </w:tcPr>
                <w:p w14:paraId="4E3C5EED">
                  <w:pPr>
                    <w:pStyle w:val="34"/>
                    <w:bidi w:val="0"/>
                    <w:rPr>
                      <w:rFonts w:hint="eastAsia"/>
                      <w:color w:val="auto"/>
                      <w:sz w:val="21"/>
                      <w:szCs w:val="21"/>
                      <w:highlight w:val="none"/>
                      <w:lang w:val="en-US" w:eastAsia="zh-CN"/>
                    </w:rPr>
                  </w:pPr>
                </w:p>
              </w:tc>
              <w:tc>
                <w:tcPr>
                  <w:tcW w:w="1444" w:type="pct"/>
                  <w:gridSpan w:val="2"/>
                  <w:tcBorders>
                    <w:tl2br w:val="nil"/>
                    <w:tr2bl w:val="nil"/>
                  </w:tcBorders>
                  <w:noWrap w:val="0"/>
                  <w:vAlign w:val="center"/>
                </w:tcPr>
                <w:p w14:paraId="7DAD9314">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抑尘用水</w:t>
                  </w:r>
                </w:p>
              </w:tc>
              <w:tc>
                <w:tcPr>
                  <w:tcW w:w="785" w:type="pct"/>
                  <w:tcBorders>
                    <w:tl2br w:val="nil"/>
                    <w:tr2bl w:val="nil"/>
                  </w:tcBorders>
                  <w:noWrap w:val="0"/>
                  <w:vAlign w:val="center"/>
                </w:tcPr>
                <w:p w14:paraId="1F7A71A8">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SS</w:t>
                  </w:r>
                </w:p>
              </w:tc>
              <w:tc>
                <w:tcPr>
                  <w:tcW w:w="1214" w:type="pct"/>
                  <w:tcBorders>
                    <w:tl2br w:val="nil"/>
                    <w:tr2bl w:val="nil"/>
                  </w:tcBorders>
                  <w:noWrap w:val="0"/>
                  <w:vAlign w:val="center"/>
                </w:tcPr>
                <w:p w14:paraId="34B86273">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自然蒸发</w:t>
                  </w:r>
                </w:p>
              </w:tc>
              <w:tc>
                <w:tcPr>
                  <w:tcW w:w="994" w:type="pct"/>
                  <w:vMerge w:val="restart"/>
                  <w:tcBorders>
                    <w:tl2br w:val="nil"/>
                    <w:tr2bl w:val="nil"/>
                  </w:tcBorders>
                  <w:noWrap w:val="0"/>
                  <w:vAlign w:val="center"/>
                </w:tcPr>
                <w:p w14:paraId="36B2C63E">
                  <w:pPr>
                    <w:pStyle w:val="34"/>
                    <w:bidi w:val="0"/>
                    <w:rPr>
                      <w:rFonts w:hint="default"/>
                      <w:color w:val="auto"/>
                      <w:sz w:val="21"/>
                      <w:szCs w:val="21"/>
                      <w:highlight w:val="none"/>
                      <w:lang w:val="en-US"/>
                    </w:rPr>
                  </w:pPr>
                  <w:r>
                    <w:rPr>
                      <w:color w:val="auto"/>
                      <w:sz w:val="21"/>
                      <w:szCs w:val="21"/>
                      <w:highlight w:val="none"/>
                    </w:rPr>
                    <w:t>不外排</w:t>
                  </w:r>
                </w:p>
              </w:tc>
            </w:tr>
            <w:tr w14:paraId="031A98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583673C9">
                  <w:pPr>
                    <w:pStyle w:val="34"/>
                    <w:bidi w:val="0"/>
                    <w:rPr>
                      <w:color w:val="auto"/>
                      <w:sz w:val="21"/>
                      <w:szCs w:val="21"/>
                      <w:highlight w:val="none"/>
                    </w:rPr>
                  </w:pPr>
                </w:p>
              </w:tc>
              <w:tc>
                <w:tcPr>
                  <w:tcW w:w="280" w:type="pct"/>
                  <w:vMerge w:val="continue"/>
                  <w:tcBorders>
                    <w:tl2br w:val="nil"/>
                    <w:tr2bl w:val="nil"/>
                  </w:tcBorders>
                  <w:noWrap w:val="0"/>
                  <w:vAlign w:val="center"/>
                </w:tcPr>
                <w:p w14:paraId="248CBA30">
                  <w:pPr>
                    <w:pStyle w:val="34"/>
                    <w:bidi w:val="0"/>
                    <w:rPr>
                      <w:color w:val="auto"/>
                      <w:sz w:val="21"/>
                      <w:szCs w:val="21"/>
                      <w:highlight w:val="none"/>
                    </w:rPr>
                  </w:pPr>
                </w:p>
              </w:tc>
              <w:tc>
                <w:tcPr>
                  <w:tcW w:w="1444" w:type="pct"/>
                  <w:gridSpan w:val="2"/>
                  <w:tcBorders>
                    <w:tl2br w:val="nil"/>
                    <w:tr2bl w:val="nil"/>
                  </w:tcBorders>
                  <w:noWrap w:val="0"/>
                  <w:vAlign w:val="center"/>
                </w:tcPr>
                <w:p w14:paraId="2992C38C">
                  <w:pPr>
                    <w:pStyle w:val="34"/>
                    <w:bidi w:val="0"/>
                    <w:rPr>
                      <w:rFonts w:hint="eastAsia"/>
                      <w:color w:val="auto"/>
                      <w:sz w:val="21"/>
                      <w:szCs w:val="21"/>
                      <w:highlight w:val="none"/>
                      <w:lang w:val="en-US" w:eastAsia="zh-CN"/>
                    </w:rPr>
                  </w:pPr>
                  <w:r>
                    <w:rPr>
                      <w:color w:val="auto"/>
                      <w:sz w:val="21"/>
                      <w:szCs w:val="21"/>
                      <w:highlight w:val="none"/>
                    </w:rPr>
                    <w:t>设备冲洗水</w:t>
                  </w:r>
                </w:p>
              </w:tc>
              <w:tc>
                <w:tcPr>
                  <w:tcW w:w="785" w:type="pct"/>
                  <w:tcBorders>
                    <w:tl2br w:val="nil"/>
                    <w:tr2bl w:val="nil"/>
                  </w:tcBorders>
                  <w:noWrap w:val="0"/>
                  <w:vAlign w:val="center"/>
                </w:tcPr>
                <w:p w14:paraId="38F9AB2F">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SS</w:t>
                  </w:r>
                </w:p>
              </w:tc>
              <w:tc>
                <w:tcPr>
                  <w:tcW w:w="1214" w:type="pct"/>
                  <w:tcBorders>
                    <w:tl2br w:val="nil"/>
                    <w:tr2bl w:val="nil"/>
                  </w:tcBorders>
                  <w:noWrap w:val="0"/>
                  <w:vAlign w:val="center"/>
                </w:tcPr>
                <w:p w14:paraId="36230E01">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进入产品</w:t>
                  </w:r>
                </w:p>
              </w:tc>
              <w:tc>
                <w:tcPr>
                  <w:tcW w:w="994" w:type="pct"/>
                  <w:vMerge w:val="continue"/>
                  <w:tcBorders>
                    <w:tl2br w:val="nil"/>
                    <w:tr2bl w:val="nil"/>
                  </w:tcBorders>
                  <w:noWrap w:val="0"/>
                  <w:vAlign w:val="center"/>
                </w:tcPr>
                <w:p w14:paraId="25CDD37A">
                  <w:pPr>
                    <w:pStyle w:val="34"/>
                    <w:bidi w:val="0"/>
                    <w:rPr>
                      <w:rFonts w:hint="eastAsia"/>
                      <w:color w:val="auto"/>
                      <w:sz w:val="21"/>
                      <w:szCs w:val="21"/>
                      <w:highlight w:val="none"/>
                      <w:lang w:val="en-US" w:eastAsia="zh-CN"/>
                    </w:rPr>
                  </w:pPr>
                </w:p>
              </w:tc>
            </w:tr>
            <w:tr w14:paraId="3345A4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5D0687BC">
                  <w:pPr>
                    <w:pStyle w:val="34"/>
                    <w:bidi w:val="0"/>
                    <w:rPr>
                      <w:color w:val="auto"/>
                      <w:sz w:val="21"/>
                      <w:szCs w:val="21"/>
                      <w:highlight w:val="none"/>
                    </w:rPr>
                  </w:pPr>
                </w:p>
              </w:tc>
              <w:tc>
                <w:tcPr>
                  <w:tcW w:w="280" w:type="pct"/>
                  <w:vMerge w:val="continue"/>
                  <w:tcBorders>
                    <w:tl2br w:val="nil"/>
                    <w:tr2bl w:val="nil"/>
                  </w:tcBorders>
                  <w:noWrap w:val="0"/>
                  <w:vAlign w:val="center"/>
                </w:tcPr>
                <w:p w14:paraId="0683E7CD">
                  <w:pPr>
                    <w:pStyle w:val="34"/>
                    <w:bidi w:val="0"/>
                    <w:rPr>
                      <w:color w:val="auto"/>
                      <w:sz w:val="21"/>
                      <w:szCs w:val="21"/>
                      <w:highlight w:val="none"/>
                    </w:rPr>
                  </w:pPr>
                </w:p>
              </w:tc>
              <w:tc>
                <w:tcPr>
                  <w:tcW w:w="1444" w:type="pct"/>
                  <w:gridSpan w:val="2"/>
                  <w:tcBorders>
                    <w:tl2br w:val="nil"/>
                    <w:tr2bl w:val="nil"/>
                  </w:tcBorders>
                  <w:noWrap w:val="0"/>
                  <w:vAlign w:val="center"/>
                </w:tcPr>
                <w:p w14:paraId="1C88F110">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生产线用水</w:t>
                  </w:r>
                </w:p>
              </w:tc>
              <w:tc>
                <w:tcPr>
                  <w:tcW w:w="785" w:type="pct"/>
                  <w:tcBorders>
                    <w:tl2br w:val="nil"/>
                    <w:tr2bl w:val="nil"/>
                  </w:tcBorders>
                  <w:noWrap w:val="0"/>
                  <w:vAlign w:val="center"/>
                </w:tcPr>
                <w:p w14:paraId="1E94EFEA">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SS</w:t>
                  </w:r>
                </w:p>
              </w:tc>
              <w:tc>
                <w:tcPr>
                  <w:tcW w:w="1214" w:type="pct"/>
                  <w:tcBorders>
                    <w:tl2br w:val="nil"/>
                    <w:tr2bl w:val="nil"/>
                  </w:tcBorders>
                  <w:noWrap w:val="0"/>
                  <w:vAlign w:val="center"/>
                </w:tcPr>
                <w:p w14:paraId="71196821">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进入产品</w:t>
                  </w:r>
                </w:p>
              </w:tc>
              <w:tc>
                <w:tcPr>
                  <w:tcW w:w="994" w:type="pct"/>
                  <w:vMerge w:val="continue"/>
                  <w:tcBorders>
                    <w:tl2br w:val="nil"/>
                    <w:tr2bl w:val="nil"/>
                  </w:tcBorders>
                  <w:noWrap w:val="0"/>
                  <w:vAlign w:val="center"/>
                </w:tcPr>
                <w:p w14:paraId="3D1DEDD4">
                  <w:pPr>
                    <w:pStyle w:val="34"/>
                    <w:bidi w:val="0"/>
                    <w:rPr>
                      <w:rFonts w:hint="default"/>
                      <w:color w:val="auto"/>
                      <w:sz w:val="21"/>
                      <w:szCs w:val="21"/>
                      <w:highlight w:val="none"/>
                      <w:lang w:val="en-US" w:eastAsia="zh-CN"/>
                    </w:rPr>
                  </w:pPr>
                </w:p>
              </w:tc>
            </w:tr>
            <w:tr w14:paraId="2F78AC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0050F15E">
                  <w:pPr>
                    <w:pStyle w:val="34"/>
                    <w:bidi w:val="0"/>
                    <w:rPr>
                      <w:rFonts w:hint="eastAsia"/>
                      <w:color w:val="auto"/>
                      <w:sz w:val="21"/>
                      <w:szCs w:val="21"/>
                      <w:highlight w:val="none"/>
                      <w:lang w:val="en-US" w:eastAsia="zh-CN"/>
                    </w:rPr>
                  </w:pPr>
                </w:p>
              </w:tc>
              <w:tc>
                <w:tcPr>
                  <w:tcW w:w="280" w:type="pct"/>
                  <w:vMerge w:val="continue"/>
                  <w:tcBorders>
                    <w:tl2br w:val="nil"/>
                    <w:tr2bl w:val="nil"/>
                  </w:tcBorders>
                  <w:noWrap w:val="0"/>
                  <w:vAlign w:val="center"/>
                </w:tcPr>
                <w:p w14:paraId="17C7699D">
                  <w:pPr>
                    <w:pStyle w:val="34"/>
                    <w:bidi w:val="0"/>
                    <w:rPr>
                      <w:rFonts w:hint="eastAsia"/>
                      <w:color w:val="auto"/>
                      <w:sz w:val="21"/>
                      <w:szCs w:val="21"/>
                      <w:highlight w:val="none"/>
                      <w:lang w:val="en-US" w:eastAsia="zh-CN"/>
                    </w:rPr>
                  </w:pPr>
                </w:p>
              </w:tc>
              <w:tc>
                <w:tcPr>
                  <w:tcW w:w="1444" w:type="pct"/>
                  <w:gridSpan w:val="2"/>
                  <w:tcBorders>
                    <w:tl2br w:val="nil"/>
                    <w:tr2bl w:val="nil"/>
                  </w:tcBorders>
                  <w:noWrap w:val="0"/>
                  <w:vAlign w:val="center"/>
                </w:tcPr>
                <w:p w14:paraId="507FDD4C">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初期雨水</w:t>
                  </w:r>
                </w:p>
              </w:tc>
              <w:tc>
                <w:tcPr>
                  <w:tcW w:w="785" w:type="pct"/>
                  <w:tcBorders>
                    <w:tl2br w:val="nil"/>
                    <w:tr2bl w:val="nil"/>
                  </w:tcBorders>
                  <w:noWrap w:val="0"/>
                  <w:vAlign w:val="center"/>
                </w:tcPr>
                <w:p w14:paraId="7B356D32">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SS</w:t>
                  </w:r>
                </w:p>
              </w:tc>
              <w:tc>
                <w:tcPr>
                  <w:tcW w:w="1214" w:type="pct"/>
                  <w:tcBorders>
                    <w:tl2br w:val="nil"/>
                    <w:tr2bl w:val="nil"/>
                  </w:tcBorders>
                  <w:noWrap w:val="0"/>
                  <w:vAlign w:val="center"/>
                </w:tcPr>
                <w:p w14:paraId="70F8318F">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沉淀池沉淀回用于厂区降尘，自然蒸发</w:t>
                  </w:r>
                </w:p>
              </w:tc>
              <w:tc>
                <w:tcPr>
                  <w:tcW w:w="994" w:type="pct"/>
                  <w:vMerge w:val="continue"/>
                  <w:tcBorders>
                    <w:tl2br w:val="nil"/>
                    <w:tr2bl w:val="nil"/>
                  </w:tcBorders>
                  <w:noWrap w:val="0"/>
                  <w:vAlign w:val="center"/>
                </w:tcPr>
                <w:p w14:paraId="58139CD9">
                  <w:pPr>
                    <w:pStyle w:val="34"/>
                    <w:bidi w:val="0"/>
                    <w:rPr>
                      <w:rFonts w:hint="eastAsia"/>
                      <w:color w:val="auto"/>
                      <w:sz w:val="21"/>
                      <w:szCs w:val="21"/>
                      <w:highlight w:val="none"/>
                      <w:lang w:val="en-US" w:eastAsia="zh-CN"/>
                    </w:rPr>
                  </w:pPr>
                </w:p>
              </w:tc>
            </w:tr>
            <w:tr w14:paraId="7BF8D1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restart"/>
                  <w:tcBorders>
                    <w:tl2br w:val="nil"/>
                    <w:tr2bl w:val="nil"/>
                  </w:tcBorders>
                  <w:noWrap w:val="0"/>
                  <w:vAlign w:val="center"/>
                </w:tcPr>
                <w:p w14:paraId="5CB0F603">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280" w:type="pct"/>
                  <w:vMerge w:val="restart"/>
                  <w:tcBorders>
                    <w:tl2br w:val="nil"/>
                    <w:tr2bl w:val="nil"/>
                  </w:tcBorders>
                  <w:noWrap w:val="0"/>
                  <w:vAlign w:val="center"/>
                </w:tcPr>
                <w:p w14:paraId="1A66B234">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废气</w:t>
                  </w:r>
                </w:p>
              </w:tc>
              <w:tc>
                <w:tcPr>
                  <w:tcW w:w="1444" w:type="pct"/>
                  <w:gridSpan w:val="2"/>
                  <w:tcBorders>
                    <w:tl2br w:val="nil"/>
                    <w:tr2bl w:val="nil"/>
                  </w:tcBorders>
                  <w:shd w:val="clear" w:color="auto" w:fill="auto"/>
                  <w:noWrap w:val="0"/>
                  <w:vAlign w:val="center"/>
                </w:tcPr>
                <w:p w14:paraId="7748C845">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石子和砂子卸料粉尘</w:t>
                  </w:r>
                </w:p>
              </w:tc>
              <w:tc>
                <w:tcPr>
                  <w:tcW w:w="785" w:type="pct"/>
                  <w:tcBorders>
                    <w:tl2br w:val="nil"/>
                    <w:tr2bl w:val="nil"/>
                  </w:tcBorders>
                  <w:shd w:val="clear" w:color="auto" w:fill="auto"/>
                  <w:noWrap w:val="0"/>
                  <w:vAlign w:val="center"/>
                </w:tcPr>
                <w:p w14:paraId="0D043D11">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颗粒物</w:t>
                  </w:r>
                </w:p>
              </w:tc>
              <w:tc>
                <w:tcPr>
                  <w:tcW w:w="1214" w:type="pct"/>
                  <w:tcBorders>
                    <w:tl2br w:val="nil"/>
                    <w:tr2bl w:val="nil"/>
                  </w:tcBorders>
                  <w:shd w:val="clear" w:color="auto" w:fill="auto"/>
                  <w:noWrap w:val="0"/>
                  <w:vAlign w:val="center"/>
                </w:tcPr>
                <w:p w14:paraId="60F67CD7">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洒水抑尘</w:t>
                  </w:r>
                </w:p>
              </w:tc>
              <w:tc>
                <w:tcPr>
                  <w:tcW w:w="994" w:type="pct"/>
                  <w:tcBorders>
                    <w:tl2br w:val="nil"/>
                    <w:tr2bl w:val="nil"/>
                  </w:tcBorders>
                  <w:shd w:val="clear" w:color="auto" w:fill="auto"/>
                  <w:noWrap w:val="0"/>
                  <w:vAlign w:val="center"/>
                </w:tcPr>
                <w:p w14:paraId="4E518ECC">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无组织排放</w:t>
                  </w:r>
                </w:p>
              </w:tc>
            </w:tr>
            <w:tr w14:paraId="231DF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56FE9498">
                  <w:pPr>
                    <w:pStyle w:val="34"/>
                    <w:bidi w:val="0"/>
                    <w:rPr>
                      <w:color w:val="auto"/>
                      <w:sz w:val="21"/>
                      <w:szCs w:val="21"/>
                      <w:highlight w:val="none"/>
                      <w:lang w:val="en-US" w:eastAsia="zh-CN"/>
                    </w:rPr>
                  </w:pPr>
                </w:p>
              </w:tc>
              <w:tc>
                <w:tcPr>
                  <w:tcW w:w="280" w:type="pct"/>
                  <w:vMerge w:val="continue"/>
                  <w:tcBorders>
                    <w:tl2br w:val="nil"/>
                    <w:tr2bl w:val="nil"/>
                  </w:tcBorders>
                  <w:noWrap w:val="0"/>
                  <w:vAlign w:val="center"/>
                </w:tcPr>
                <w:p w14:paraId="33308E10">
                  <w:pPr>
                    <w:pStyle w:val="34"/>
                    <w:bidi w:val="0"/>
                    <w:rPr>
                      <w:color w:val="auto"/>
                      <w:sz w:val="21"/>
                      <w:szCs w:val="21"/>
                      <w:highlight w:val="none"/>
                      <w:lang w:val="en-US" w:eastAsia="zh-CN"/>
                    </w:rPr>
                  </w:pPr>
                </w:p>
              </w:tc>
              <w:tc>
                <w:tcPr>
                  <w:tcW w:w="1444" w:type="pct"/>
                  <w:gridSpan w:val="2"/>
                  <w:tcBorders>
                    <w:tl2br w:val="nil"/>
                    <w:tr2bl w:val="nil"/>
                  </w:tcBorders>
                  <w:shd w:val="clear" w:color="auto" w:fill="auto"/>
                  <w:noWrap w:val="0"/>
                  <w:vAlign w:val="center"/>
                </w:tcPr>
                <w:p w14:paraId="3A8FFADF">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石子和砂子贮存粉尘</w:t>
                  </w:r>
                </w:p>
              </w:tc>
              <w:tc>
                <w:tcPr>
                  <w:tcW w:w="785" w:type="pct"/>
                  <w:tcBorders>
                    <w:tl2br w:val="nil"/>
                    <w:tr2bl w:val="nil"/>
                  </w:tcBorders>
                  <w:shd w:val="clear" w:color="auto" w:fill="auto"/>
                  <w:noWrap w:val="0"/>
                  <w:vAlign w:val="center"/>
                </w:tcPr>
                <w:p w14:paraId="39E858EC">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颗粒物</w:t>
                  </w:r>
                </w:p>
              </w:tc>
              <w:tc>
                <w:tcPr>
                  <w:tcW w:w="1214" w:type="pct"/>
                  <w:tcBorders>
                    <w:tl2br w:val="nil"/>
                    <w:tr2bl w:val="nil"/>
                  </w:tcBorders>
                  <w:shd w:val="clear" w:color="auto" w:fill="auto"/>
                  <w:noWrap w:val="0"/>
                  <w:vAlign w:val="center"/>
                </w:tcPr>
                <w:p w14:paraId="7E9C80CF">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洒水抑尘</w:t>
                  </w:r>
                </w:p>
              </w:tc>
              <w:tc>
                <w:tcPr>
                  <w:tcW w:w="994" w:type="pct"/>
                  <w:tcBorders>
                    <w:tl2br w:val="nil"/>
                    <w:tr2bl w:val="nil"/>
                  </w:tcBorders>
                  <w:shd w:val="clear" w:color="auto" w:fill="auto"/>
                  <w:noWrap w:val="0"/>
                  <w:vAlign w:val="center"/>
                </w:tcPr>
                <w:p w14:paraId="04DAFD1E">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无组织排放</w:t>
                  </w:r>
                </w:p>
              </w:tc>
            </w:tr>
            <w:tr w14:paraId="3DE6A7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2E00F8F3">
                  <w:pPr>
                    <w:pStyle w:val="34"/>
                    <w:bidi w:val="0"/>
                    <w:rPr>
                      <w:color w:val="auto"/>
                      <w:sz w:val="21"/>
                      <w:szCs w:val="21"/>
                      <w:highlight w:val="none"/>
                      <w:lang w:val="en-US" w:eastAsia="zh-CN"/>
                    </w:rPr>
                  </w:pPr>
                </w:p>
              </w:tc>
              <w:tc>
                <w:tcPr>
                  <w:tcW w:w="280" w:type="pct"/>
                  <w:vMerge w:val="continue"/>
                  <w:tcBorders>
                    <w:tl2br w:val="nil"/>
                    <w:tr2bl w:val="nil"/>
                  </w:tcBorders>
                  <w:noWrap w:val="0"/>
                  <w:vAlign w:val="center"/>
                </w:tcPr>
                <w:p w14:paraId="79041633">
                  <w:pPr>
                    <w:pStyle w:val="34"/>
                    <w:bidi w:val="0"/>
                    <w:rPr>
                      <w:color w:val="auto"/>
                      <w:sz w:val="21"/>
                      <w:szCs w:val="21"/>
                      <w:highlight w:val="none"/>
                      <w:lang w:val="en-US" w:eastAsia="zh-CN"/>
                    </w:rPr>
                  </w:pPr>
                </w:p>
              </w:tc>
              <w:tc>
                <w:tcPr>
                  <w:tcW w:w="1444" w:type="pct"/>
                  <w:gridSpan w:val="2"/>
                  <w:tcBorders>
                    <w:tl2br w:val="nil"/>
                    <w:tr2bl w:val="nil"/>
                  </w:tcBorders>
                  <w:noWrap w:val="0"/>
                  <w:vAlign w:val="center"/>
                </w:tcPr>
                <w:p w14:paraId="47A39ECA">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水泥筒仓、粉煤灰筒仓、外加剂罐粉尘</w:t>
                  </w:r>
                </w:p>
              </w:tc>
              <w:tc>
                <w:tcPr>
                  <w:tcW w:w="785" w:type="pct"/>
                  <w:tcBorders>
                    <w:tl2br w:val="nil"/>
                    <w:tr2bl w:val="nil"/>
                  </w:tcBorders>
                  <w:noWrap w:val="0"/>
                  <w:vAlign w:val="center"/>
                </w:tcPr>
                <w:p w14:paraId="61EC96B4">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颗粒物</w:t>
                  </w:r>
                </w:p>
              </w:tc>
              <w:tc>
                <w:tcPr>
                  <w:tcW w:w="1214" w:type="pct"/>
                  <w:tcBorders>
                    <w:tl2br w:val="nil"/>
                    <w:tr2bl w:val="nil"/>
                  </w:tcBorders>
                  <w:noWrap w:val="0"/>
                  <w:vAlign w:val="center"/>
                </w:tcPr>
                <w:p w14:paraId="0D928B86">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布袋除尘器</w:t>
                  </w:r>
                </w:p>
              </w:tc>
              <w:tc>
                <w:tcPr>
                  <w:tcW w:w="994" w:type="pct"/>
                  <w:tcBorders>
                    <w:tl2br w:val="nil"/>
                    <w:tr2bl w:val="nil"/>
                  </w:tcBorders>
                  <w:noWrap w:val="0"/>
                  <w:vAlign w:val="center"/>
                </w:tcPr>
                <w:p w14:paraId="356D267A">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无组织排放</w:t>
                  </w:r>
                </w:p>
              </w:tc>
            </w:tr>
            <w:tr w14:paraId="76B39B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67AC5D48">
                  <w:pPr>
                    <w:pStyle w:val="34"/>
                    <w:bidi w:val="0"/>
                    <w:rPr>
                      <w:color w:val="auto"/>
                      <w:sz w:val="21"/>
                      <w:szCs w:val="21"/>
                      <w:highlight w:val="none"/>
                    </w:rPr>
                  </w:pPr>
                </w:p>
              </w:tc>
              <w:tc>
                <w:tcPr>
                  <w:tcW w:w="280" w:type="pct"/>
                  <w:vMerge w:val="continue"/>
                  <w:tcBorders>
                    <w:tl2br w:val="nil"/>
                    <w:tr2bl w:val="nil"/>
                  </w:tcBorders>
                  <w:noWrap w:val="0"/>
                  <w:vAlign w:val="center"/>
                </w:tcPr>
                <w:p w14:paraId="722AA1DB">
                  <w:pPr>
                    <w:pStyle w:val="34"/>
                    <w:bidi w:val="0"/>
                    <w:rPr>
                      <w:color w:val="auto"/>
                      <w:sz w:val="21"/>
                      <w:szCs w:val="21"/>
                      <w:highlight w:val="none"/>
                    </w:rPr>
                  </w:pPr>
                </w:p>
              </w:tc>
              <w:tc>
                <w:tcPr>
                  <w:tcW w:w="1444" w:type="pct"/>
                  <w:gridSpan w:val="2"/>
                  <w:tcBorders>
                    <w:tl2br w:val="nil"/>
                    <w:tr2bl w:val="nil"/>
                  </w:tcBorders>
                  <w:noWrap w:val="0"/>
                  <w:vAlign w:val="center"/>
                </w:tcPr>
                <w:p w14:paraId="61B20ED4">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砂、碎石等投料</w:t>
                  </w:r>
                </w:p>
              </w:tc>
              <w:tc>
                <w:tcPr>
                  <w:tcW w:w="785" w:type="pct"/>
                  <w:tcBorders>
                    <w:tl2br w:val="nil"/>
                    <w:tr2bl w:val="nil"/>
                  </w:tcBorders>
                  <w:noWrap w:val="0"/>
                  <w:vAlign w:val="center"/>
                </w:tcPr>
                <w:p w14:paraId="6B2D68B0">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颗粒物</w:t>
                  </w:r>
                </w:p>
              </w:tc>
              <w:tc>
                <w:tcPr>
                  <w:tcW w:w="1214" w:type="pct"/>
                  <w:tcBorders>
                    <w:tl2br w:val="nil"/>
                    <w:tr2bl w:val="nil"/>
                  </w:tcBorders>
                  <w:noWrap w:val="0"/>
                  <w:vAlign w:val="center"/>
                </w:tcPr>
                <w:p w14:paraId="1E8A3CB7">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设置半封闭式罩棚与雾化喷淋装置</w:t>
                  </w:r>
                </w:p>
              </w:tc>
              <w:tc>
                <w:tcPr>
                  <w:tcW w:w="994" w:type="pct"/>
                  <w:tcBorders>
                    <w:tl2br w:val="nil"/>
                    <w:tr2bl w:val="nil"/>
                  </w:tcBorders>
                  <w:noWrap w:val="0"/>
                  <w:vAlign w:val="center"/>
                </w:tcPr>
                <w:p w14:paraId="49512C64">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无组织排放</w:t>
                  </w:r>
                </w:p>
              </w:tc>
            </w:tr>
            <w:tr w14:paraId="620737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51C925F1">
                  <w:pPr>
                    <w:pStyle w:val="34"/>
                    <w:bidi w:val="0"/>
                    <w:rPr>
                      <w:color w:val="auto"/>
                      <w:sz w:val="21"/>
                      <w:szCs w:val="21"/>
                      <w:highlight w:val="none"/>
                    </w:rPr>
                  </w:pPr>
                </w:p>
              </w:tc>
              <w:tc>
                <w:tcPr>
                  <w:tcW w:w="280" w:type="pct"/>
                  <w:vMerge w:val="continue"/>
                  <w:tcBorders>
                    <w:tl2br w:val="nil"/>
                    <w:tr2bl w:val="nil"/>
                  </w:tcBorders>
                  <w:noWrap w:val="0"/>
                  <w:vAlign w:val="center"/>
                </w:tcPr>
                <w:p w14:paraId="7BF27992">
                  <w:pPr>
                    <w:pStyle w:val="34"/>
                    <w:bidi w:val="0"/>
                    <w:rPr>
                      <w:color w:val="auto"/>
                      <w:sz w:val="21"/>
                      <w:szCs w:val="21"/>
                      <w:highlight w:val="none"/>
                    </w:rPr>
                  </w:pPr>
                </w:p>
              </w:tc>
              <w:tc>
                <w:tcPr>
                  <w:tcW w:w="1444" w:type="pct"/>
                  <w:gridSpan w:val="2"/>
                  <w:tcBorders>
                    <w:tl2br w:val="nil"/>
                    <w:tr2bl w:val="nil"/>
                  </w:tcBorders>
                  <w:noWrap w:val="0"/>
                  <w:vAlign w:val="center"/>
                </w:tcPr>
                <w:p w14:paraId="54FDE175">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原料的输送、计量、投料</w:t>
                  </w:r>
                </w:p>
              </w:tc>
              <w:tc>
                <w:tcPr>
                  <w:tcW w:w="785" w:type="pct"/>
                  <w:tcBorders>
                    <w:tl2br w:val="nil"/>
                    <w:tr2bl w:val="nil"/>
                  </w:tcBorders>
                  <w:noWrap w:val="0"/>
                  <w:vAlign w:val="center"/>
                </w:tcPr>
                <w:p w14:paraId="70553C12">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颗粒物</w:t>
                  </w:r>
                </w:p>
              </w:tc>
              <w:tc>
                <w:tcPr>
                  <w:tcW w:w="1214" w:type="pct"/>
                  <w:tcBorders>
                    <w:tl2br w:val="nil"/>
                    <w:tr2bl w:val="nil"/>
                  </w:tcBorders>
                  <w:noWrap w:val="0"/>
                  <w:vAlign w:val="center"/>
                </w:tcPr>
                <w:p w14:paraId="27D21ACC">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封闭式输送</w:t>
                  </w:r>
                </w:p>
              </w:tc>
              <w:tc>
                <w:tcPr>
                  <w:tcW w:w="994" w:type="pct"/>
                  <w:tcBorders>
                    <w:tl2br w:val="nil"/>
                    <w:tr2bl w:val="nil"/>
                  </w:tcBorders>
                  <w:noWrap w:val="0"/>
                  <w:vAlign w:val="center"/>
                </w:tcPr>
                <w:p w14:paraId="7307CA4F">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无组织排放</w:t>
                  </w:r>
                </w:p>
              </w:tc>
            </w:tr>
            <w:tr w14:paraId="7E2139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09E54284">
                  <w:pPr>
                    <w:pStyle w:val="34"/>
                    <w:bidi w:val="0"/>
                    <w:rPr>
                      <w:color w:val="auto"/>
                      <w:sz w:val="21"/>
                      <w:szCs w:val="21"/>
                      <w:highlight w:val="none"/>
                      <w:lang w:val="en-US" w:eastAsia="zh-CN"/>
                    </w:rPr>
                  </w:pPr>
                </w:p>
              </w:tc>
              <w:tc>
                <w:tcPr>
                  <w:tcW w:w="280" w:type="pct"/>
                  <w:vMerge w:val="continue"/>
                  <w:tcBorders>
                    <w:tl2br w:val="nil"/>
                    <w:tr2bl w:val="nil"/>
                  </w:tcBorders>
                  <w:noWrap w:val="0"/>
                  <w:vAlign w:val="center"/>
                </w:tcPr>
                <w:p w14:paraId="66A2BF9A">
                  <w:pPr>
                    <w:pStyle w:val="34"/>
                    <w:bidi w:val="0"/>
                    <w:rPr>
                      <w:color w:val="auto"/>
                      <w:sz w:val="21"/>
                      <w:szCs w:val="21"/>
                      <w:highlight w:val="none"/>
                      <w:lang w:val="en-US" w:eastAsia="zh-CN"/>
                    </w:rPr>
                  </w:pPr>
                </w:p>
              </w:tc>
              <w:tc>
                <w:tcPr>
                  <w:tcW w:w="1444" w:type="pct"/>
                  <w:gridSpan w:val="2"/>
                  <w:tcBorders>
                    <w:tl2br w:val="nil"/>
                    <w:tr2bl w:val="nil"/>
                  </w:tcBorders>
                  <w:shd w:val="clear" w:color="auto" w:fill="auto"/>
                  <w:noWrap w:val="0"/>
                  <w:vAlign w:val="center"/>
                </w:tcPr>
                <w:p w14:paraId="50FB5E68">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物料混合搅拌粉尘</w:t>
                  </w:r>
                </w:p>
              </w:tc>
              <w:tc>
                <w:tcPr>
                  <w:tcW w:w="785" w:type="pct"/>
                  <w:tcBorders>
                    <w:tl2br w:val="nil"/>
                    <w:tr2bl w:val="nil"/>
                  </w:tcBorders>
                  <w:shd w:val="clear" w:color="auto" w:fill="auto"/>
                  <w:noWrap w:val="0"/>
                  <w:vAlign w:val="center"/>
                </w:tcPr>
                <w:p w14:paraId="6E5335D6">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颗粒物</w:t>
                  </w:r>
                </w:p>
              </w:tc>
              <w:tc>
                <w:tcPr>
                  <w:tcW w:w="1214" w:type="pct"/>
                  <w:tcBorders>
                    <w:tl2br w:val="nil"/>
                    <w:tr2bl w:val="nil"/>
                  </w:tcBorders>
                  <w:shd w:val="clear" w:color="auto" w:fill="auto"/>
                  <w:noWrap w:val="0"/>
                  <w:vAlign w:val="center"/>
                </w:tcPr>
                <w:p w14:paraId="581A4469">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布袋除尘器</w:t>
                  </w:r>
                </w:p>
              </w:tc>
              <w:tc>
                <w:tcPr>
                  <w:tcW w:w="994" w:type="pct"/>
                  <w:tcBorders>
                    <w:tl2br w:val="nil"/>
                    <w:tr2bl w:val="nil"/>
                  </w:tcBorders>
                  <w:shd w:val="clear" w:color="auto" w:fill="auto"/>
                  <w:noWrap w:val="0"/>
                  <w:vAlign w:val="center"/>
                </w:tcPr>
                <w:p w14:paraId="717CBEBF">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无组织排放</w:t>
                  </w:r>
                </w:p>
              </w:tc>
            </w:tr>
            <w:tr w14:paraId="4F9FD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758A31BF">
                  <w:pPr>
                    <w:pStyle w:val="34"/>
                    <w:bidi w:val="0"/>
                    <w:rPr>
                      <w:color w:val="auto"/>
                      <w:sz w:val="21"/>
                      <w:szCs w:val="21"/>
                      <w:highlight w:val="none"/>
                    </w:rPr>
                  </w:pPr>
                </w:p>
              </w:tc>
              <w:tc>
                <w:tcPr>
                  <w:tcW w:w="280" w:type="pct"/>
                  <w:vMerge w:val="continue"/>
                  <w:tcBorders>
                    <w:tl2br w:val="nil"/>
                    <w:tr2bl w:val="nil"/>
                  </w:tcBorders>
                  <w:noWrap w:val="0"/>
                  <w:vAlign w:val="center"/>
                </w:tcPr>
                <w:p w14:paraId="7F86B8E1">
                  <w:pPr>
                    <w:pStyle w:val="34"/>
                    <w:bidi w:val="0"/>
                    <w:rPr>
                      <w:color w:val="auto"/>
                      <w:sz w:val="21"/>
                      <w:szCs w:val="21"/>
                      <w:highlight w:val="none"/>
                    </w:rPr>
                  </w:pPr>
                </w:p>
              </w:tc>
              <w:tc>
                <w:tcPr>
                  <w:tcW w:w="1444" w:type="pct"/>
                  <w:gridSpan w:val="2"/>
                  <w:tcBorders>
                    <w:tl2br w:val="nil"/>
                    <w:tr2bl w:val="nil"/>
                  </w:tcBorders>
                  <w:noWrap w:val="0"/>
                  <w:vAlign w:val="center"/>
                </w:tcPr>
                <w:p w14:paraId="7B54E1D5">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运输</w:t>
                  </w:r>
                </w:p>
              </w:tc>
              <w:tc>
                <w:tcPr>
                  <w:tcW w:w="785" w:type="pct"/>
                  <w:tcBorders>
                    <w:tl2br w:val="nil"/>
                    <w:tr2bl w:val="nil"/>
                  </w:tcBorders>
                  <w:noWrap w:val="0"/>
                  <w:vAlign w:val="center"/>
                </w:tcPr>
                <w:p w14:paraId="52301E9E">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颗粒物</w:t>
                  </w:r>
                </w:p>
              </w:tc>
              <w:tc>
                <w:tcPr>
                  <w:tcW w:w="1214" w:type="pct"/>
                  <w:tcBorders>
                    <w:tl2br w:val="nil"/>
                    <w:tr2bl w:val="nil"/>
                  </w:tcBorders>
                  <w:noWrap w:val="0"/>
                  <w:vAlign w:val="center"/>
                </w:tcPr>
                <w:p w14:paraId="59578BAA">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苫盖、密闭，洒水降尘</w:t>
                  </w:r>
                </w:p>
              </w:tc>
              <w:tc>
                <w:tcPr>
                  <w:tcW w:w="994" w:type="pct"/>
                  <w:tcBorders>
                    <w:tl2br w:val="nil"/>
                    <w:tr2bl w:val="nil"/>
                  </w:tcBorders>
                  <w:noWrap w:val="0"/>
                  <w:vAlign w:val="center"/>
                </w:tcPr>
                <w:p w14:paraId="1B7F0713">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无组织排放</w:t>
                  </w:r>
                </w:p>
              </w:tc>
            </w:tr>
            <w:tr w14:paraId="6E26C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restart"/>
                  <w:tcBorders>
                    <w:tl2br w:val="nil"/>
                    <w:tr2bl w:val="nil"/>
                  </w:tcBorders>
                  <w:noWrap w:val="0"/>
                  <w:vAlign w:val="center"/>
                </w:tcPr>
                <w:p w14:paraId="0F57EBE3">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3</w:t>
                  </w:r>
                </w:p>
              </w:tc>
              <w:tc>
                <w:tcPr>
                  <w:tcW w:w="280" w:type="pct"/>
                  <w:vMerge w:val="restart"/>
                  <w:tcBorders>
                    <w:tl2br w:val="nil"/>
                    <w:tr2bl w:val="nil"/>
                  </w:tcBorders>
                  <w:noWrap w:val="0"/>
                  <w:vAlign w:val="center"/>
                </w:tcPr>
                <w:p w14:paraId="18B9792F">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噪声</w:t>
                  </w:r>
                </w:p>
              </w:tc>
              <w:tc>
                <w:tcPr>
                  <w:tcW w:w="1444" w:type="pct"/>
                  <w:gridSpan w:val="2"/>
                  <w:tcBorders>
                    <w:tl2br w:val="nil"/>
                    <w:tr2bl w:val="nil"/>
                  </w:tcBorders>
                  <w:noWrap w:val="0"/>
                  <w:vAlign w:val="center"/>
                </w:tcPr>
                <w:p w14:paraId="47FA439B">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设备噪声</w:t>
                  </w:r>
                </w:p>
              </w:tc>
              <w:tc>
                <w:tcPr>
                  <w:tcW w:w="785" w:type="pct"/>
                  <w:tcBorders>
                    <w:tl2br w:val="nil"/>
                    <w:tr2bl w:val="nil"/>
                  </w:tcBorders>
                  <w:noWrap w:val="0"/>
                  <w:vAlign w:val="center"/>
                </w:tcPr>
                <w:p w14:paraId="0617B980">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噪声</w:t>
                  </w:r>
                </w:p>
              </w:tc>
              <w:tc>
                <w:tcPr>
                  <w:tcW w:w="1214" w:type="pct"/>
                  <w:tcBorders>
                    <w:tl2br w:val="nil"/>
                    <w:tr2bl w:val="nil"/>
                  </w:tcBorders>
                  <w:noWrap w:val="0"/>
                  <w:vAlign w:val="center"/>
                </w:tcPr>
                <w:p w14:paraId="6BBFB9A3">
                  <w:pPr>
                    <w:pStyle w:val="34"/>
                    <w:bidi w:val="0"/>
                    <w:rPr>
                      <w:rFonts w:hint="eastAsia"/>
                      <w:color w:val="auto"/>
                      <w:sz w:val="21"/>
                      <w:szCs w:val="21"/>
                      <w:highlight w:val="none"/>
                      <w:lang w:val="en-US" w:eastAsia="zh-CN"/>
                    </w:rPr>
                  </w:pPr>
                  <w:r>
                    <w:rPr>
                      <w:color w:val="auto"/>
                      <w:sz w:val="21"/>
                      <w:szCs w:val="21"/>
                      <w:highlight w:val="none"/>
                    </w:rPr>
                    <w:t>选用低噪声设备，基础</w:t>
                  </w:r>
                  <w:r>
                    <w:rPr>
                      <w:rFonts w:hint="eastAsia"/>
                      <w:color w:val="auto"/>
                      <w:sz w:val="21"/>
                      <w:szCs w:val="21"/>
                      <w:highlight w:val="none"/>
                    </w:rPr>
                    <w:t>减振等措施</w:t>
                  </w:r>
                </w:p>
              </w:tc>
              <w:tc>
                <w:tcPr>
                  <w:tcW w:w="994" w:type="pct"/>
                  <w:tcBorders>
                    <w:tl2br w:val="nil"/>
                    <w:tr2bl w:val="nil"/>
                  </w:tcBorders>
                  <w:noWrap w:val="0"/>
                  <w:vAlign w:val="center"/>
                </w:tcPr>
                <w:p w14:paraId="3A63FC51">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w:t>
                  </w:r>
                </w:p>
              </w:tc>
            </w:tr>
            <w:tr w14:paraId="632AB9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03D8EF26">
                  <w:pPr>
                    <w:pStyle w:val="34"/>
                    <w:bidi w:val="0"/>
                    <w:rPr>
                      <w:rFonts w:hint="eastAsia"/>
                      <w:color w:val="auto"/>
                      <w:sz w:val="21"/>
                      <w:szCs w:val="21"/>
                      <w:highlight w:val="none"/>
                      <w:lang w:val="en-US" w:eastAsia="zh-CN"/>
                    </w:rPr>
                  </w:pPr>
                </w:p>
              </w:tc>
              <w:tc>
                <w:tcPr>
                  <w:tcW w:w="280" w:type="pct"/>
                  <w:vMerge w:val="continue"/>
                  <w:tcBorders>
                    <w:tl2br w:val="nil"/>
                    <w:tr2bl w:val="nil"/>
                  </w:tcBorders>
                  <w:noWrap w:val="0"/>
                  <w:vAlign w:val="center"/>
                </w:tcPr>
                <w:p w14:paraId="58FD05EB">
                  <w:pPr>
                    <w:pStyle w:val="34"/>
                    <w:bidi w:val="0"/>
                    <w:rPr>
                      <w:rFonts w:hint="eastAsia"/>
                      <w:color w:val="auto"/>
                      <w:sz w:val="21"/>
                      <w:szCs w:val="21"/>
                      <w:highlight w:val="none"/>
                      <w:lang w:val="en-US" w:eastAsia="zh-CN"/>
                    </w:rPr>
                  </w:pPr>
                </w:p>
              </w:tc>
              <w:tc>
                <w:tcPr>
                  <w:tcW w:w="1444" w:type="pct"/>
                  <w:gridSpan w:val="2"/>
                  <w:tcBorders>
                    <w:tl2br w:val="nil"/>
                    <w:tr2bl w:val="nil"/>
                  </w:tcBorders>
                  <w:noWrap w:val="0"/>
                  <w:vAlign w:val="center"/>
                </w:tcPr>
                <w:p w14:paraId="49C99242">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运输噪声</w:t>
                  </w:r>
                </w:p>
              </w:tc>
              <w:tc>
                <w:tcPr>
                  <w:tcW w:w="785" w:type="pct"/>
                  <w:tcBorders>
                    <w:tl2br w:val="nil"/>
                    <w:tr2bl w:val="nil"/>
                  </w:tcBorders>
                  <w:noWrap w:val="0"/>
                  <w:vAlign w:val="center"/>
                </w:tcPr>
                <w:p w14:paraId="2D62EA2E">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噪声</w:t>
                  </w:r>
                </w:p>
              </w:tc>
              <w:tc>
                <w:tcPr>
                  <w:tcW w:w="1214" w:type="pct"/>
                  <w:tcBorders>
                    <w:tl2br w:val="nil"/>
                    <w:tr2bl w:val="nil"/>
                  </w:tcBorders>
                  <w:noWrap w:val="0"/>
                  <w:vAlign w:val="center"/>
                </w:tcPr>
                <w:p w14:paraId="455927F3">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厂区内降低车速、禁止鸣笛</w:t>
                  </w:r>
                </w:p>
              </w:tc>
              <w:tc>
                <w:tcPr>
                  <w:tcW w:w="994" w:type="pct"/>
                  <w:tcBorders>
                    <w:tl2br w:val="nil"/>
                    <w:tr2bl w:val="nil"/>
                  </w:tcBorders>
                  <w:noWrap w:val="0"/>
                  <w:vAlign w:val="center"/>
                </w:tcPr>
                <w:p w14:paraId="5B179BBF">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w:t>
                  </w:r>
                </w:p>
              </w:tc>
            </w:tr>
            <w:tr w14:paraId="78F32B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restart"/>
                  <w:tcBorders>
                    <w:tl2br w:val="nil"/>
                    <w:tr2bl w:val="nil"/>
                  </w:tcBorders>
                  <w:noWrap w:val="0"/>
                  <w:vAlign w:val="center"/>
                </w:tcPr>
                <w:p w14:paraId="3264A692">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4</w:t>
                  </w:r>
                </w:p>
              </w:tc>
              <w:tc>
                <w:tcPr>
                  <w:tcW w:w="280" w:type="pct"/>
                  <w:vMerge w:val="restart"/>
                  <w:tcBorders>
                    <w:tl2br w:val="nil"/>
                    <w:tr2bl w:val="nil"/>
                  </w:tcBorders>
                  <w:noWrap w:val="0"/>
                  <w:vAlign w:val="center"/>
                </w:tcPr>
                <w:p w14:paraId="3BABE96F">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固废</w:t>
                  </w:r>
                </w:p>
              </w:tc>
              <w:tc>
                <w:tcPr>
                  <w:tcW w:w="1444" w:type="pct"/>
                  <w:gridSpan w:val="2"/>
                  <w:tcBorders>
                    <w:tl2br w:val="nil"/>
                    <w:tr2bl w:val="nil"/>
                  </w:tcBorders>
                  <w:noWrap w:val="0"/>
                  <w:vAlign w:val="center"/>
                </w:tcPr>
                <w:p w14:paraId="7DE93826">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生活垃圾</w:t>
                  </w:r>
                </w:p>
              </w:tc>
              <w:tc>
                <w:tcPr>
                  <w:tcW w:w="785" w:type="pct"/>
                  <w:tcBorders>
                    <w:tl2br w:val="nil"/>
                    <w:tr2bl w:val="nil"/>
                  </w:tcBorders>
                  <w:noWrap w:val="0"/>
                  <w:vAlign w:val="center"/>
                </w:tcPr>
                <w:p w14:paraId="4B224481">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生活垃圾</w:t>
                  </w:r>
                </w:p>
              </w:tc>
              <w:tc>
                <w:tcPr>
                  <w:tcW w:w="1214" w:type="pct"/>
                  <w:tcBorders>
                    <w:tl2br w:val="nil"/>
                    <w:tr2bl w:val="nil"/>
                  </w:tcBorders>
                  <w:noWrap w:val="0"/>
                  <w:vAlign w:val="center"/>
                </w:tcPr>
                <w:p w14:paraId="5F4F9B9E">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994" w:type="pct"/>
                  <w:tcBorders>
                    <w:tl2br w:val="nil"/>
                    <w:tr2bl w:val="nil"/>
                  </w:tcBorders>
                  <w:noWrap w:val="0"/>
                  <w:vAlign w:val="center"/>
                </w:tcPr>
                <w:p w14:paraId="39D3910D">
                  <w:pPr>
                    <w:pStyle w:val="34"/>
                    <w:bidi w:val="0"/>
                    <w:rPr>
                      <w:rFonts w:hint="eastAsia"/>
                      <w:color w:val="auto"/>
                      <w:sz w:val="21"/>
                      <w:szCs w:val="21"/>
                      <w:highlight w:val="none"/>
                      <w:lang w:val="en-US" w:eastAsia="zh-CN"/>
                    </w:rPr>
                  </w:pPr>
                  <w:r>
                    <w:rPr>
                      <w:color w:val="auto"/>
                      <w:sz w:val="21"/>
                      <w:szCs w:val="21"/>
                      <w:highlight w:val="none"/>
                    </w:rPr>
                    <w:t>市政部门统一处理</w:t>
                  </w:r>
                </w:p>
              </w:tc>
            </w:tr>
            <w:tr w14:paraId="79F604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218088DF">
                  <w:pPr>
                    <w:pStyle w:val="34"/>
                    <w:bidi w:val="0"/>
                    <w:rPr>
                      <w:rFonts w:hint="eastAsia"/>
                      <w:color w:val="auto"/>
                      <w:sz w:val="21"/>
                      <w:szCs w:val="21"/>
                      <w:highlight w:val="none"/>
                      <w:lang w:val="en-US" w:eastAsia="zh-CN"/>
                    </w:rPr>
                  </w:pPr>
                </w:p>
              </w:tc>
              <w:tc>
                <w:tcPr>
                  <w:tcW w:w="280" w:type="pct"/>
                  <w:vMerge w:val="continue"/>
                  <w:tcBorders>
                    <w:tl2br w:val="nil"/>
                    <w:tr2bl w:val="nil"/>
                  </w:tcBorders>
                  <w:noWrap w:val="0"/>
                  <w:vAlign w:val="center"/>
                </w:tcPr>
                <w:p w14:paraId="5B452DE9">
                  <w:pPr>
                    <w:pStyle w:val="34"/>
                    <w:bidi w:val="0"/>
                    <w:rPr>
                      <w:rFonts w:hint="eastAsia"/>
                      <w:color w:val="auto"/>
                      <w:sz w:val="21"/>
                      <w:szCs w:val="21"/>
                      <w:highlight w:val="none"/>
                      <w:lang w:val="en-US" w:eastAsia="zh-CN"/>
                    </w:rPr>
                  </w:pPr>
                </w:p>
              </w:tc>
              <w:tc>
                <w:tcPr>
                  <w:tcW w:w="360" w:type="pct"/>
                  <w:vMerge w:val="restart"/>
                  <w:tcBorders>
                    <w:tl2br w:val="nil"/>
                    <w:tr2bl w:val="nil"/>
                  </w:tcBorders>
                  <w:noWrap w:val="0"/>
                  <w:vAlign w:val="center"/>
                </w:tcPr>
                <w:p w14:paraId="4E926E19">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一般固废</w:t>
                  </w:r>
                </w:p>
              </w:tc>
              <w:tc>
                <w:tcPr>
                  <w:tcW w:w="1083" w:type="pct"/>
                  <w:tcBorders>
                    <w:tl2br w:val="nil"/>
                    <w:tr2bl w:val="nil"/>
                  </w:tcBorders>
                  <w:noWrap w:val="0"/>
                  <w:vAlign w:val="center"/>
                </w:tcPr>
                <w:p w14:paraId="72838469">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水泥筒仓</w:t>
                  </w:r>
                  <w:r>
                    <w:rPr>
                      <w:rFonts w:hint="eastAsia"/>
                      <w:color w:val="auto"/>
                      <w:sz w:val="21"/>
                      <w:szCs w:val="21"/>
                      <w:highlight w:val="none"/>
                    </w:rPr>
                    <w:t>布袋除尘器收尘</w:t>
                  </w:r>
                </w:p>
              </w:tc>
              <w:tc>
                <w:tcPr>
                  <w:tcW w:w="785" w:type="pct"/>
                  <w:vMerge w:val="restart"/>
                  <w:tcBorders>
                    <w:tl2br w:val="nil"/>
                    <w:tr2bl w:val="nil"/>
                  </w:tcBorders>
                  <w:noWrap w:val="0"/>
                  <w:vAlign w:val="center"/>
                </w:tcPr>
                <w:p w14:paraId="1C8ACA8A">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粉尘</w:t>
                  </w:r>
                </w:p>
              </w:tc>
              <w:tc>
                <w:tcPr>
                  <w:tcW w:w="1214" w:type="pct"/>
                  <w:vMerge w:val="restart"/>
                  <w:tcBorders>
                    <w:tl2br w:val="nil"/>
                    <w:tr2bl w:val="nil"/>
                  </w:tcBorders>
                  <w:noWrap w:val="0"/>
                  <w:vAlign w:val="center"/>
                </w:tcPr>
                <w:p w14:paraId="4A9B6E79">
                  <w:pPr>
                    <w:pStyle w:val="34"/>
                    <w:bidi w:val="0"/>
                    <w:rPr>
                      <w:rFonts w:hint="default"/>
                      <w:color w:val="auto"/>
                      <w:sz w:val="21"/>
                      <w:szCs w:val="21"/>
                      <w:highlight w:val="none"/>
                      <w:lang w:val="en-US" w:eastAsia="zh-CN"/>
                    </w:rPr>
                  </w:pPr>
                  <w:r>
                    <w:rPr>
                      <w:color w:val="auto"/>
                      <w:sz w:val="21"/>
                      <w:szCs w:val="21"/>
                      <w:highlight w:val="none"/>
                    </w:rPr>
                    <w:t>回用于生产</w:t>
                  </w:r>
                </w:p>
              </w:tc>
              <w:tc>
                <w:tcPr>
                  <w:tcW w:w="994" w:type="pct"/>
                  <w:vMerge w:val="restart"/>
                  <w:tcBorders>
                    <w:tl2br w:val="nil"/>
                    <w:tr2bl w:val="nil"/>
                  </w:tcBorders>
                  <w:noWrap w:val="0"/>
                  <w:vAlign w:val="center"/>
                </w:tcPr>
                <w:p w14:paraId="46D3A958">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w:t>
                  </w:r>
                </w:p>
              </w:tc>
            </w:tr>
            <w:tr w14:paraId="73996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020E95B1">
                  <w:pPr>
                    <w:pStyle w:val="34"/>
                    <w:bidi w:val="0"/>
                    <w:rPr>
                      <w:color w:val="auto"/>
                      <w:sz w:val="21"/>
                      <w:szCs w:val="21"/>
                      <w:highlight w:val="none"/>
                    </w:rPr>
                  </w:pPr>
                </w:p>
              </w:tc>
              <w:tc>
                <w:tcPr>
                  <w:tcW w:w="280" w:type="pct"/>
                  <w:vMerge w:val="continue"/>
                  <w:tcBorders>
                    <w:tl2br w:val="nil"/>
                    <w:tr2bl w:val="nil"/>
                  </w:tcBorders>
                  <w:noWrap w:val="0"/>
                  <w:vAlign w:val="center"/>
                </w:tcPr>
                <w:p w14:paraId="2B14DF12">
                  <w:pPr>
                    <w:pStyle w:val="34"/>
                    <w:bidi w:val="0"/>
                    <w:rPr>
                      <w:color w:val="auto"/>
                      <w:sz w:val="21"/>
                      <w:szCs w:val="21"/>
                      <w:highlight w:val="none"/>
                    </w:rPr>
                  </w:pPr>
                </w:p>
              </w:tc>
              <w:tc>
                <w:tcPr>
                  <w:tcW w:w="360" w:type="pct"/>
                  <w:vMerge w:val="continue"/>
                  <w:tcBorders>
                    <w:tl2br w:val="nil"/>
                    <w:tr2bl w:val="nil"/>
                  </w:tcBorders>
                  <w:noWrap w:val="0"/>
                  <w:vAlign w:val="center"/>
                </w:tcPr>
                <w:p w14:paraId="763121DE">
                  <w:pPr>
                    <w:pStyle w:val="34"/>
                    <w:bidi w:val="0"/>
                    <w:rPr>
                      <w:color w:val="auto"/>
                      <w:sz w:val="21"/>
                      <w:szCs w:val="21"/>
                      <w:highlight w:val="none"/>
                    </w:rPr>
                  </w:pPr>
                </w:p>
              </w:tc>
              <w:tc>
                <w:tcPr>
                  <w:tcW w:w="1083" w:type="pct"/>
                  <w:tcBorders>
                    <w:tl2br w:val="nil"/>
                    <w:tr2bl w:val="nil"/>
                  </w:tcBorders>
                  <w:noWrap w:val="0"/>
                  <w:vAlign w:val="center"/>
                </w:tcPr>
                <w:p w14:paraId="3A6485AC">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粉煤灰筒仓</w:t>
                  </w:r>
                  <w:r>
                    <w:rPr>
                      <w:rFonts w:hint="eastAsia"/>
                      <w:color w:val="auto"/>
                      <w:sz w:val="21"/>
                      <w:szCs w:val="21"/>
                      <w:highlight w:val="none"/>
                    </w:rPr>
                    <w:t>布袋除尘器收尘</w:t>
                  </w:r>
                </w:p>
              </w:tc>
              <w:tc>
                <w:tcPr>
                  <w:tcW w:w="785" w:type="pct"/>
                  <w:vMerge w:val="continue"/>
                  <w:tcBorders>
                    <w:tl2br w:val="nil"/>
                    <w:tr2bl w:val="nil"/>
                  </w:tcBorders>
                  <w:noWrap w:val="0"/>
                  <w:vAlign w:val="center"/>
                </w:tcPr>
                <w:p w14:paraId="7E759DDD">
                  <w:pPr>
                    <w:pStyle w:val="34"/>
                    <w:bidi w:val="0"/>
                    <w:rPr>
                      <w:rFonts w:hint="eastAsia"/>
                      <w:color w:val="auto"/>
                      <w:sz w:val="21"/>
                      <w:szCs w:val="21"/>
                      <w:highlight w:val="none"/>
                      <w:lang w:val="en-US" w:eastAsia="zh-CN"/>
                    </w:rPr>
                  </w:pPr>
                </w:p>
              </w:tc>
              <w:tc>
                <w:tcPr>
                  <w:tcW w:w="1214" w:type="pct"/>
                  <w:vMerge w:val="continue"/>
                  <w:tcBorders>
                    <w:tl2br w:val="nil"/>
                    <w:tr2bl w:val="nil"/>
                  </w:tcBorders>
                  <w:noWrap w:val="0"/>
                  <w:vAlign w:val="center"/>
                </w:tcPr>
                <w:p w14:paraId="27DA21E1">
                  <w:pPr>
                    <w:pStyle w:val="34"/>
                    <w:bidi w:val="0"/>
                    <w:rPr>
                      <w:rFonts w:hint="eastAsia"/>
                      <w:color w:val="auto"/>
                      <w:sz w:val="21"/>
                      <w:szCs w:val="21"/>
                      <w:highlight w:val="none"/>
                      <w:lang w:val="en-US" w:eastAsia="zh-CN"/>
                    </w:rPr>
                  </w:pPr>
                </w:p>
              </w:tc>
              <w:tc>
                <w:tcPr>
                  <w:tcW w:w="994" w:type="pct"/>
                  <w:vMerge w:val="continue"/>
                  <w:tcBorders>
                    <w:tl2br w:val="nil"/>
                    <w:tr2bl w:val="nil"/>
                  </w:tcBorders>
                  <w:noWrap w:val="0"/>
                  <w:vAlign w:val="center"/>
                </w:tcPr>
                <w:p w14:paraId="0D3BEA7B">
                  <w:pPr>
                    <w:pStyle w:val="34"/>
                    <w:bidi w:val="0"/>
                    <w:rPr>
                      <w:rFonts w:hint="eastAsia"/>
                      <w:color w:val="auto"/>
                      <w:sz w:val="21"/>
                      <w:szCs w:val="21"/>
                      <w:highlight w:val="none"/>
                      <w:lang w:val="en-US" w:eastAsia="zh-CN"/>
                    </w:rPr>
                  </w:pPr>
                </w:p>
              </w:tc>
            </w:tr>
            <w:tr w14:paraId="3F007E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403F229A">
                  <w:pPr>
                    <w:pStyle w:val="34"/>
                    <w:bidi w:val="0"/>
                    <w:rPr>
                      <w:color w:val="auto"/>
                      <w:sz w:val="21"/>
                      <w:szCs w:val="21"/>
                      <w:highlight w:val="none"/>
                    </w:rPr>
                  </w:pPr>
                </w:p>
              </w:tc>
              <w:tc>
                <w:tcPr>
                  <w:tcW w:w="280" w:type="pct"/>
                  <w:vMerge w:val="continue"/>
                  <w:tcBorders>
                    <w:tl2br w:val="nil"/>
                    <w:tr2bl w:val="nil"/>
                  </w:tcBorders>
                  <w:noWrap w:val="0"/>
                  <w:vAlign w:val="center"/>
                </w:tcPr>
                <w:p w14:paraId="52320DCC">
                  <w:pPr>
                    <w:pStyle w:val="34"/>
                    <w:bidi w:val="0"/>
                    <w:rPr>
                      <w:color w:val="auto"/>
                      <w:sz w:val="21"/>
                      <w:szCs w:val="21"/>
                      <w:highlight w:val="none"/>
                    </w:rPr>
                  </w:pPr>
                </w:p>
              </w:tc>
              <w:tc>
                <w:tcPr>
                  <w:tcW w:w="360" w:type="pct"/>
                  <w:vMerge w:val="continue"/>
                  <w:tcBorders>
                    <w:tl2br w:val="nil"/>
                    <w:tr2bl w:val="nil"/>
                  </w:tcBorders>
                  <w:noWrap w:val="0"/>
                  <w:vAlign w:val="center"/>
                </w:tcPr>
                <w:p w14:paraId="704644B2">
                  <w:pPr>
                    <w:pStyle w:val="34"/>
                    <w:bidi w:val="0"/>
                    <w:rPr>
                      <w:color w:val="auto"/>
                      <w:sz w:val="21"/>
                      <w:szCs w:val="21"/>
                      <w:highlight w:val="none"/>
                    </w:rPr>
                  </w:pPr>
                </w:p>
              </w:tc>
              <w:tc>
                <w:tcPr>
                  <w:tcW w:w="1083" w:type="pct"/>
                  <w:tcBorders>
                    <w:tl2br w:val="nil"/>
                    <w:tr2bl w:val="nil"/>
                  </w:tcBorders>
                  <w:noWrap w:val="0"/>
                  <w:vAlign w:val="center"/>
                </w:tcPr>
                <w:p w14:paraId="2B9D73AB">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外加剂罐</w:t>
                  </w:r>
                  <w:r>
                    <w:rPr>
                      <w:rFonts w:hint="eastAsia"/>
                      <w:color w:val="auto"/>
                      <w:sz w:val="21"/>
                      <w:szCs w:val="21"/>
                      <w:highlight w:val="none"/>
                    </w:rPr>
                    <w:t>布袋除尘器收尘</w:t>
                  </w:r>
                </w:p>
              </w:tc>
              <w:tc>
                <w:tcPr>
                  <w:tcW w:w="785" w:type="pct"/>
                  <w:vMerge w:val="continue"/>
                  <w:tcBorders>
                    <w:tl2br w:val="nil"/>
                    <w:tr2bl w:val="nil"/>
                  </w:tcBorders>
                  <w:noWrap w:val="0"/>
                  <w:vAlign w:val="center"/>
                </w:tcPr>
                <w:p w14:paraId="64621E19">
                  <w:pPr>
                    <w:pStyle w:val="34"/>
                    <w:bidi w:val="0"/>
                    <w:rPr>
                      <w:rFonts w:hint="eastAsia"/>
                      <w:color w:val="auto"/>
                      <w:sz w:val="21"/>
                      <w:szCs w:val="21"/>
                      <w:highlight w:val="none"/>
                      <w:lang w:val="en-US" w:eastAsia="zh-CN"/>
                    </w:rPr>
                  </w:pPr>
                </w:p>
              </w:tc>
              <w:tc>
                <w:tcPr>
                  <w:tcW w:w="1214" w:type="pct"/>
                  <w:vMerge w:val="continue"/>
                  <w:tcBorders>
                    <w:tl2br w:val="nil"/>
                    <w:tr2bl w:val="nil"/>
                  </w:tcBorders>
                  <w:noWrap w:val="0"/>
                  <w:vAlign w:val="center"/>
                </w:tcPr>
                <w:p w14:paraId="7B803B86">
                  <w:pPr>
                    <w:pStyle w:val="34"/>
                    <w:bidi w:val="0"/>
                    <w:rPr>
                      <w:rFonts w:hint="eastAsia"/>
                      <w:color w:val="auto"/>
                      <w:sz w:val="21"/>
                      <w:szCs w:val="21"/>
                      <w:highlight w:val="none"/>
                      <w:lang w:val="en-US" w:eastAsia="zh-CN"/>
                    </w:rPr>
                  </w:pPr>
                </w:p>
              </w:tc>
              <w:tc>
                <w:tcPr>
                  <w:tcW w:w="994" w:type="pct"/>
                  <w:vMerge w:val="continue"/>
                  <w:tcBorders>
                    <w:tl2br w:val="nil"/>
                    <w:tr2bl w:val="nil"/>
                  </w:tcBorders>
                  <w:noWrap w:val="0"/>
                  <w:vAlign w:val="center"/>
                </w:tcPr>
                <w:p w14:paraId="3436E000">
                  <w:pPr>
                    <w:pStyle w:val="34"/>
                    <w:bidi w:val="0"/>
                    <w:rPr>
                      <w:rFonts w:hint="eastAsia"/>
                      <w:color w:val="auto"/>
                      <w:sz w:val="21"/>
                      <w:szCs w:val="21"/>
                      <w:highlight w:val="none"/>
                      <w:lang w:val="en-US" w:eastAsia="zh-CN"/>
                    </w:rPr>
                  </w:pPr>
                </w:p>
              </w:tc>
            </w:tr>
            <w:tr w14:paraId="7105E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6961FABB">
                  <w:pPr>
                    <w:pStyle w:val="34"/>
                    <w:bidi w:val="0"/>
                    <w:rPr>
                      <w:rFonts w:hint="eastAsia"/>
                      <w:color w:val="auto"/>
                      <w:sz w:val="21"/>
                      <w:szCs w:val="21"/>
                      <w:highlight w:val="none"/>
                      <w:lang w:val="en-US" w:eastAsia="zh-CN"/>
                    </w:rPr>
                  </w:pPr>
                </w:p>
              </w:tc>
              <w:tc>
                <w:tcPr>
                  <w:tcW w:w="280" w:type="pct"/>
                  <w:vMerge w:val="continue"/>
                  <w:tcBorders>
                    <w:tl2br w:val="nil"/>
                    <w:tr2bl w:val="nil"/>
                  </w:tcBorders>
                  <w:noWrap w:val="0"/>
                  <w:vAlign w:val="center"/>
                </w:tcPr>
                <w:p w14:paraId="2022D45E">
                  <w:pPr>
                    <w:pStyle w:val="34"/>
                    <w:bidi w:val="0"/>
                    <w:rPr>
                      <w:rFonts w:hint="eastAsia"/>
                      <w:color w:val="auto"/>
                      <w:sz w:val="21"/>
                      <w:szCs w:val="21"/>
                      <w:highlight w:val="none"/>
                      <w:lang w:val="en-US" w:eastAsia="zh-CN"/>
                    </w:rPr>
                  </w:pPr>
                </w:p>
              </w:tc>
              <w:tc>
                <w:tcPr>
                  <w:tcW w:w="360" w:type="pct"/>
                  <w:vMerge w:val="continue"/>
                  <w:tcBorders>
                    <w:tl2br w:val="nil"/>
                    <w:tr2bl w:val="nil"/>
                  </w:tcBorders>
                  <w:noWrap w:val="0"/>
                  <w:vAlign w:val="center"/>
                </w:tcPr>
                <w:p w14:paraId="7FB63161">
                  <w:pPr>
                    <w:pStyle w:val="34"/>
                    <w:bidi w:val="0"/>
                    <w:rPr>
                      <w:rFonts w:hint="eastAsia"/>
                      <w:color w:val="auto"/>
                      <w:sz w:val="21"/>
                      <w:szCs w:val="21"/>
                      <w:highlight w:val="none"/>
                      <w:lang w:val="en-US" w:eastAsia="zh-CN"/>
                    </w:rPr>
                  </w:pPr>
                </w:p>
              </w:tc>
              <w:tc>
                <w:tcPr>
                  <w:tcW w:w="1083" w:type="pct"/>
                  <w:tcBorders>
                    <w:tl2br w:val="nil"/>
                    <w:tr2bl w:val="nil"/>
                  </w:tcBorders>
                  <w:noWrap w:val="0"/>
                  <w:vAlign w:val="center"/>
                </w:tcPr>
                <w:p w14:paraId="6B14BA43">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搅拌机</w:t>
                  </w:r>
                  <w:r>
                    <w:rPr>
                      <w:rFonts w:hint="eastAsia"/>
                      <w:color w:val="auto"/>
                      <w:sz w:val="21"/>
                      <w:szCs w:val="21"/>
                      <w:highlight w:val="none"/>
                    </w:rPr>
                    <w:t>布袋除尘器收尘</w:t>
                  </w:r>
                </w:p>
              </w:tc>
              <w:tc>
                <w:tcPr>
                  <w:tcW w:w="785" w:type="pct"/>
                  <w:vMerge w:val="continue"/>
                  <w:tcBorders>
                    <w:tl2br w:val="nil"/>
                    <w:tr2bl w:val="nil"/>
                  </w:tcBorders>
                  <w:noWrap w:val="0"/>
                  <w:vAlign w:val="center"/>
                </w:tcPr>
                <w:p w14:paraId="761A27A0">
                  <w:pPr>
                    <w:pStyle w:val="34"/>
                    <w:bidi w:val="0"/>
                    <w:rPr>
                      <w:rFonts w:hint="eastAsia"/>
                      <w:color w:val="auto"/>
                      <w:sz w:val="21"/>
                      <w:szCs w:val="21"/>
                      <w:highlight w:val="none"/>
                      <w:lang w:val="en-US" w:eastAsia="zh-CN"/>
                    </w:rPr>
                  </w:pPr>
                </w:p>
              </w:tc>
              <w:tc>
                <w:tcPr>
                  <w:tcW w:w="1214" w:type="pct"/>
                  <w:vMerge w:val="continue"/>
                  <w:tcBorders>
                    <w:tl2br w:val="nil"/>
                    <w:tr2bl w:val="nil"/>
                  </w:tcBorders>
                  <w:noWrap w:val="0"/>
                  <w:vAlign w:val="center"/>
                </w:tcPr>
                <w:p w14:paraId="0A01EFE1">
                  <w:pPr>
                    <w:pStyle w:val="34"/>
                    <w:bidi w:val="0"/>
                    <w:rPr>
                      <w:rFonts w:hint="eastAsia"/>
                      <w:color w:val="auto"/>
                      <w:sz w:val="21"/>
                      <w:szCs w:val="21"/>
                      <w:highlight w:val="none"/>
                      <w:lang w:val="en-US" w:eastAsia="zh-CN"/>
                    </w:rPr>
                  </w:pPr>
                </w:p>
              </w:tc>
              <w:tc>
                <w:tcPr>
                  <w:tcW w:w="994" w:type="pct"/>
                  <w:vMerge w:val="continue"/>
                  <w:tcBorders>
                    <w:tl2br w:val="nil"/>
                    <w:tr2bl w:val="nil"/>
                  </w:tcBorders>
                  <w:noWrap w:val="0"/>
                  <w:vAlign w:val="center"/>
                </w:tcPr>
                <w:p w14:paraId="76E4925C">
                  <w:pPr>
                    <w:pStyle w:val="34"/>
                    <w:bidi w:val="0"/>
                    <w:rPr>
                      <w:rFonts w:hint="eastAsia"/>
                      <w:color w:val="auto"/>
                      <w:sz w:val="21"/>
                      <w:szCs w:val="21"/>
                      <w:highlight w:val="none"/>
                      <w:lang w:val="en-US" w:eastAsia="zh-CN"/>
                    </w:rPr>
                  </w:pPr>
                </w:p>
              </w:tc>
            </w:tr>
            <w:tr w14:paraId="332631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3EABFEB2">
                  <w:pPr>
                    <w:pStyle w:val="34"/>
                    <w:bidi w:val="0"/>
                    <w:rPr>
                      <w:rFonts w:hint="eastAsia"/>
                      <w:color w:val="auto"/>
                      <w:sz w:val="21"/>
                      <w:szCs w:val="21"/>
                      <w:highlight w:val="none"/>
                      <w:lang w:val="en-US" w:eastAsia="zh-CN"/>
                    </w:rPr>
                  </w:pPr>
                </w:p>
              </w:tc>
              <w:tc>
                <w:tcPr>
                  <w:tcW w:w="280" w:type="pct"/>
                  <w:vMerge w:val="continue"/>
                  <w:tcBorders>
                    <w:tl2br w:val="nil"/>
                    <w:tr2bl w:val="nil"/>
                  </w:tcBorders>
                  <w:noWrap w:val="0"/>
                  <w:vAlign w:val="center"/>
                </w:tcPr>
                <w:p w14:paraId="6A8874FF">
                  <w:pPr>
                    <w:pStyle w:val="34"/>
                    <w:bidi w:val="0"/>
                    <w:rPr>
                      <w:rFonts w:hint="eastAsia"/>
                      <w:color w:val="auto"/>
                      <w:sz w:val="21"/>
                      <w:szCs w:val="21"/>
                      <w:highlight w:val="none"/>
                      <w:lang w:val="en-US" w:eastAsia="zh-CN"/>
                    </w:rPr>
                  </w:pPr>
                </w:p>
              </w:tc>
              <w:tc>
                <w:tcPr>
                  <w:tcW w:w="360" w:type="pct"/>
                  <w:vMerge w:val="continue"/>
                  <w:tcBorders>
                    <w:tl2br w:val="nil"/>
                    <w:tr2bl w:val="nil"/>
                  </w:tcBorders>
                  <w:noWrap w:val="0"/>
                  <w:vAlign w:val="center"/>
                </w:tcPr>
                <w:p w14:paraId="472A7ECB">
                  <w:pPr>
                    <w:pStyle w:val="34"/>
                    <w:bidi w:val="0"/>
                    <w:rPr>
                      <w:rFonts w:hint="eastAsia"/>
                      <w:color w:val="auto"/>
                      <w:sz w:val="21"/>
                      <w:szCs w:val="21"/>
                      <w:highlight w:val="none"/>
                      <w:lang w:val="en-US" w:eastAsia="zh-CN"/>
                    </w:rPr>
                  </w:pPr>
                </w:p>
              </w:tc>
              <w:tc>
                <w:tcPr>
                  <w:tcW w:w="1083" w:type="pct"/>
                  <w:tcBorders>
                    <w:tl2br w:val="nil"/>
                    <w:tr2bl w:val="nil"/>
                  </w:tcBorders>
                  <w:noWrap w:val="0"/>
                  <w:vAlign w:val="center"/>
                </w:tcPr>
                <w:p w14:paraId="37A1CC3B">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实验室废料</w:t>
                  </w:r>
                </w:p>
              </w:tc>
              <w:tc>
                <w:tcPr>
                  <w:tcW w:w="785" w:type="pct"/>
                  <w:tcBorders>
                    <w:tl2br w:val="nil"/>
                    <w:tr2bl w:val="nil"/>
                  </w:tcBorders>
                  <w:noWrap w:val="0"/>
                  <w:vAlign w:val="center"/>
                </w:tcPr>
                <w:p w14:paraId="2476EACA">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实验室废料</w:t>
                  </w:r>
                </w:p>
              </w:tc>
              <w:tc>
                <w:tcPr>
                  <w:tcW w:w="1214" w:type="pct"/>
                  <w:tcBorders>
                    <w:tl2br w:val="nil"/>
                    <w:tr2bl w:val="nil"/>
                  </w:tcBorders>
                  <w:noWrap w:val="0"/>
                  <w:vAlign w:val="center"/>
                </w:tcPr>
                <w:p w14:paraId="67B7954D">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994" w:type="pct"/>
                  <w:tcBorders>
                    <w:tl2br w:val="nil"/>
                    <w:tr2bl w:val="nil"/>
                  </w:tcBorders>
                  <w:noWrap w:val="0"/>
                  <w:vAlign w:val="center"/>
                </w:tcPr>
                <w:p w14:paraId="5D30423A">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由骨料供应商回收破碎后重新利用</w:t>
                  </w:r>
                </w:p>
              </w:tc>
            </w:tr>
            <w:tr w14:paraId="41B3F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48DD9FB4">
                  <w:pPr>
                    <w:pStyle w:val="34"/>
                    <w:bidi w:val="0"/>
                    <w:rPr>
                      <w:color w:val="auto"/>
                      <w:sz w:val="21"/>
                      <w:szCs w:val="21"/>
                      <w:highlight w:val="none"/>
                    </w:rPr>
                  </w:pPr>
                </w:p>
              </w:tc>
              <w:tc>
                <w:tcPr>
                  <w:tcW w:w="280" w:type="pct"/>
                  <w:vMerge w:val="continue"/>
                  <w:tcBorders>
                    <w:tl2br w:val="nil"/>
                    <w:tr2bl w:val="nil"/>
                  </w:tcBorders>
                  <w:noWrap w:val="0"/>
                  <w:vAlign w:val="center"/>
                </w:tcPr>
                <w:p w14:paraId="2BCEA98A">
                  <w:pPr>
                    <w:pStyle w:val="34"/>
                    <w:bidi w:val="0"/>
                    <w:rPr>
                      <w:color w:val="auto"/>
                      <w:sz w:val="21"/>
                      <w:szCs w:val="21"/>
                      <w:highlight w:val="none"/>
                    </w:rPr>
                  </w:pPr>
                </w:p>
              </w:tc>
              <w:tc>
                <w:tcPr>
                  <w:tcW w:w="360" w:type="pct"/>
                  <w:vMerge w:val="continue"/>
                  <w:tcBorders>
                    <w:tl2br w:val="nil"/>
                    <w:tr2bl w:val="nil"/>
                  </w:tcBorders>
                  <w:noWrap w:val="0"/>
                  <w:vAlign w:val="center"/>
                </w:tcPr>
                <w:p w14:paraId="16BE9DD1">
                  <w:pPr>
                    <w:pStyle w:val="34"/>
                    <w:bidi w:val="0"/>
                    <w:rPr>
                      <w:color w:val="auto"/>
                      <w:sz w:val="21"/>
                      <w:szCs w:val="21"/>
                      <w:highlight w:val="none"/>
                    </w:rPr>
                  </w:pPr>
                </w:p>
              </w:tc>
              <w:tc>
                <w:tcPr>
                  <w:tcW w:w="1083" w:type="pct"/>
                  <w:tcBorders>
                    <w:tl2br w:val="nil"/>
                    <w:tr2bl w:val="nil"/>
                  </w:tcBorders>
                  <w:noWrap w:val="0"/>
                  <w:vAlign w:val="center"/>
                </w:tcPr>
                <w:p w14:paraId="0EBA4ADA">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废布袋</w:t>
                  </w:r>
                </w:p>
              </w:tc>
              <w:tc>
                <w:tcPr>
                  <w:tcW w:w="785" w:type="pct"/>
                  <w:tcBorders>
                    <w:tl2br w:val="nil"/>
                    <w:tr2bl w:val="nil"/>
                  </w:tcBorders>
                  <w:noWrap w:val="0"/>
                  <w:vAlign w:val="center"/>
                </w:tcPr>
                <w:p w14:paraId="52E00443">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废布袋</w:t>
                  </w:r>
                </w:p>
              </w:tc>
              <w:tc>
                <w:tcPr>
                  <w:tcW w:w="1214" w:type="pct"/>
                  <w:tcBorders>
                    <w:tl2br w:val="nil"/>
                    <w:tr2bl w:val="nil"/>
                  </w:tcBorders>
                  <w:noWrap w:val="0"/>
                  <w:vAlign w:val="center"/>
                </w:tcPr>
                <w:p w14:paraId="55CF3E0B">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994" w:type="pct"/>
                  <w:tcBorders>
                    <w:tl2br w:val="nil"/>
                    <w:tr2bl w:val="nil"/>
                  </w:tcBorders>
                  <w:noWrap w:val="0"/>
                  <w:vAlign w:val="center"/>
                </w:tcPr>
                <w:p w14:paraId="1A622B6D">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由厂家回收处置</w:t>
                  </w:r>
                </w:p>
              </w:tc>
            </w:tr>
            <w:tr w14:paraId="4D15EF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28420456">
                  <w:pPr>
                    <w:pStyle w:val="34"/>
                    <w:bidi w:val="0"/>
                    <w:rPr>
                      <w:color w:val="auto"/>
                      <w:sz w:val="21"/>
                      <w:szCs w:val="21"/>
                      <w:highlight w:val="none"/>
                    </w:rPr>
                  </w:pPr>
                </w:p>
              </w:tc>
              <w:tc>
                <w:tcPr>
                  <w:tcW w:w="280" w:type="pct"/>
                  <w:vMerge w:val="continue"/>
                  <w:tcBorders>
                    <w:tl2br w:val="nil"/>
                    <w:tr2bl w:val="nil"/>
                  </w:tcBorders>
                  <w:noWrap w:val="0"/>
                  <w:vAlign w:val="center"/>
                </w:tcPr>
                <w:p w14:paraId="51C85FF0">
                  <w:pPr>
                    <w:pStyle w:val="34"/>
                    <w:bidi w:val="0"/>
                    <w:rPr>
                      <w:color w:val="auto"/>
                      <w:sz w:val="21"/>
                      <w:szCs w:val="21"/>
                      <w:highlight w:val="none"/>
                    </w:rPr>
                  </w:pPr>
                </w:p>
              </w:tc>
              <w:tc>
                <w:tcPr>
                  <w:tcW w:w="360" w:type="pct"/>
                  <w:vMerge w:val="continue"/>
                  <w:tcBorders>
                    <w:tl2br w:val="nil"/>
                    <w:tr2bl w:val="nil"/>
                  </w:tcBorders>
                  <w:noWrap w:val="0"/>
                  <w:vAlign w:val="center"/>
                </w:tcPr>
                <w:p w14:paraId="4560D6A5">
                  <w:pPr>
                    <w:pStyle w:val="34"/>
                    <w:bidi w:val="0"/>
                    <w:rPr>
                      <w:color w:val="auto"/>
                      <w:sz w:val="21"/>
                      <w:szCs w:val="21"/>
                      <w:highlight w:val="none"/>
                    </w:rPr>
                  </w:pPr>
                </w:p>
              </w:tc>
              <w:tc>
                <w:tcPr>
                  <w:tcW w:w="1083" w:type="pct"/>
                  <w:tcBorders>
                    <w:tl2br w:val="nil"/>
                    <w:tr2bl w:val="nil"/>
                  </w:tcBorders>
                  <w:noWrap w:val="0"/>
                  <w:vAlign w:val="center"/>
                </w:tcPr>
                <w:p w14:paraId="257E4CE1">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沉淀池</w:t>
                  </w:r>
                </w:p>
              </w:tc>
              <w:tc>
                <w:tcPr>
                  <w:tcW w:w="785" w:type="pct"/>
                  <w:tcBorders>
                    <w:tl2br w:val="nil"/>
                    <w:tr2bl w:val="nil"/>
                  </w:tcBorders>
                  <w:noWrap w:val="0"/>
                  <w:vAlign w:val="center"/>
                </w:tcPr>
                <w:p w14:paraId="717615AC">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污泥</w:t>
                  </w:r>
                </w:p>
              </w:tc>
              <w:tc>
                <w:tcPr>
                  <w:tcW w:w="1214" w:type="pct"/>
                  <w:tcBorders>
                    <w:tl2br w:val="nil"/>
                    <w:tr2bl w:val="nil"/>
                  </w:tcBorders>
                  <w:noWrap w:val="0"/>
                  <w:vAlign w:val="center"/>
                </w:tcPr>
                <w:p w14:paraId="6C0CF8BC">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994" w:type="pct"/>
                  <w:tcBorders>
                    <w:tl2br w:val="nil"/>
                    <w:tr2bl w:val="nil"/>
                  </w:tcBorders>
                  <w:noWrap w:val="0"/>
                  <w:vAlign w:val="center"/>
                </w:tcPr>
                <w:p w14:paraId="07FBE4E2">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市政部门统一处理</w:t>
                  </w:r>
                </w:p>
              </w:tc>
            </w:tr>
            <w:tr w14:paraId="76134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 w:type="pct"/>
                  <w:vMerge w:val="continue"/>
                  <w:tcBorders>
                    <w:tl2br w:val="nil"/>
                    <w:tr2bl w:val="nil"/>
                  </w:tcBorders>
                  <w:noWrap w:val="0"/>
                  <w:vAlign w:val="center"/>
                </w:tcPr>
                <w:p w14:paraId="18D1BC2C">
                  <w:pPr>
                    <w:pStyle w:val="34"/>
                    <w:bidi w:val="0"/>
                    <w:rPr>
                      <w:color w:val="auto"/>
                      <w:sz w:val="21"/>
                      <w:szCs w:val="21"/>
                      <w:highlight w:val="none"/>
                    </w:rPr>
                  </w:pPr>
                </w:p>
              </w:tc>
              <w:tc>
                <w:tcPr>
                  <w:tcW w:w="280" w:type="pct"/>
                  <w:vMerge w:val="continue"/>
                  <w:tcBorders>
                    <w:tl2br w:val="nil"/>
                    <w:tr2bl w:val="nil"/>
                  </w:tcBorders>
                  <w:noWrap w:val="0"/>
                  <w:vAlign w:val="center"/>
                </w:tcPr>
                <w:p w14:paraId="48A0824C">
                  <w:pPr>
                    <w:pStyle w:val="34"/>
                    <w:bidi w:val="0"/>
                    <w:rPr>
                      <w:color w:val="auto"/>
                      <w:sz w:val="21"/>
                      <w:szCs w:val="21"/>
                      <w:highlight w:val="none"/>
                    </w:rPr>
                  </w:pPr>
                </w:p>
              </w:tc>
              <w:tc>
                <w:tcPr>
                  <w:tcW w:w="360" w:type="pct"/>
                  <w:tcBorders>
                    <w:tl2br w:val="nil"/>
                    <w:tr2bl w:val="nil"/>
                  </w:tcBorders>
                  <w:noWrap w:val="0"/>
                  <w:vAlign w:val="center"/>
                </w:tcPr>
                <w:p w14:paraId="68CACCC6">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危险废物</w:t>
                  </w:r>
                </w:p>
              </w:tc>
              <w:tc>
                <w:tcPr>
                  <w:tcW w:w="1083" w:type="pct"/>
                  <w:tcBorders>
                    <w:tl2br w:val="nil"/>
                    <w:tr2bl w:val="nil"/>
                  </w:tcBorders>
                  <w:noWrap w:val="0"/>
                  <w:vAlign w:val="center"/>
                </w:tcPr>
                <w:p w14:paraId="693DE3F4">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设备检修保养</w:t>
                  </w:r>
                </w:p>
              </w:tc>
              <w:tc>
                <w:tcPr>
                  <w:tcW w:w="785" w:type="pct"/>
                  <w:tcBorders>
                    <w:tl2br w:val="nil"/>
                    <w:tr2bl w:val="nil"/>
                  </w:tcBorders>
                  <w:noWrap w:val="0"/>
                  <w:vAlign w:val="center"/>
                </w:tcPr>
                <w:p w14:paraId="55478AB1">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废润滑油、废油桶、含油抹布及棉纱手套</w:t>
                  </w:r>
                </w:p>
              </w:tc>
              <w:tc>
                <w:tcPr>
                  <w:tcW w:w="1214" w:type="pct"/>
                  <w:tcBorders>
                    <w:tl2br w:val="nil"/>
                    <w:tr2bl w:val="nil"/>
                  </w:tcBorders>
                  <w:noWrap w:val="0"/>
                  <w:vAlign w:val="center"/>
                </w:tcPr>
                <w:p w14:paraId="6EE6554C">
                  <w:pPr>
                    <w:pStyle w:val="34"/>
                    <w:bidi w:val="0"/>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994" w:type="pct"/>
                  <w:tcBorders>
                    <w:tl2br w:val="nil"/>
                    <w:tr2bl w:val="nil"/>
                  </w:tcBorders>
                  <w:noWrap w:val="0"/>
                  <w:vAlign w:val="center"/>
                </w:tcPr>
                <w:p w14:paraId="0B927EB3">
                  <w:pPr>
                    <w:pStyle w:val="34"/>
                    <w:bidi w:val="0"/>
                    <w:rPr>
                      <w:rFonts w:hint="default"/>
                      <w:color w:val="auto"/>
                      <w:sz w:val="21"/>
                      <w:szCs w:val="21"/>
                      <w:highlight w:val="none"/>
                      <w:lang w:val="en-US" w:eastAsia="zh-CN"/>
                    </w:rPr>
                  </w:pPr>
                  <w:r>
                    <w:rPr>
                      <w:rFonts w:hint="eastAsia"/>
                      <w:color w:val="auto"/>
                      <w:sz w:val="21"/>
                      <w:szCs w:val="21"/>
                      <w:highlight w:val="none"/>
                      <w:lang w:val="en-US" w:eastAsia="zh-CN"/>
                    </w:rPr>
                    <w:t>有资质单位外运处置</w:t>
                  </w:r>
                </w:p>
              </w:tc>
            </w:tr>
          </w:tbl>
          <w:p w14:paraId="1456E3D6">
            <w:pPr>
              <w:widowControl w:val="0"/>
              <w:wordWrap w:val="0"/>
              <w:topLinePunct/>
              <w:bidi w:val="0"/>
              <w:spacing w:line="240" w:lineRule="auto"/>
              <w:ind w:firstLine="0" w:firstLineChars="0"/>
              <w:jc w:val="center"/>
              <w:rPr>
                <w:rFonts w:hint="eastAsia" w:ascii="Times New Roman" w:hAnsi="Times New Roman" w:eastAsia="宋体" w:cs="宋体"/>
                <w:b/>
                <w:color w:val="auto"/>
                <w:kern w:val="2"/>
                <w:sz w:val="24"/>
                <w:szCs w:val="24"/>
                <w:highlight w:val="none"/>
                <w:lang w:val="en-US" w:eastAsia="zh-CN" w:bidi="ar-SA"/>
              </w:rPr>
            </w:pPr>
          </w:p>
        </w:tc>
      </w:tr>
      <w:tr w14:paraId="4EBC9F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5" w:type="pct"/>
            <w:noWrap w:val="0"/>
            <w:vAlign w:val="center"/>
          </w:tcPr>
          <w:p w14:paraId="683BD1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宋体"/>
                <w:color w:val="auto"/>
                <w:highlight w:val="none"/>
              </w:rPr>
            </w:pPr>
            <w:r>
              <w:rPr>
                <w:rFonts w:hint="eastAsia" w:ascii="Times New Roman" w:hAnsi="Times New Roman" w:eastAsia="宋体" w:cs="宋体"/>
                <w:color w:val="auto"/>
                <w:highlight w:val="none"/>
              </w:rPr>
              <w:t>与项目有关的原有环境污染问题</w:t>
            </w:r>
          </w:p>
        </w:tc>
        <w:tc>
          <w:tcPr>
            <w:tcW w:w="4554" w:type="pct"/>
            <w:noWrap w:val="0"/>
            <w:vAlign w:val="center"/>
          </w:tcPr>
          <w:p w14:paraId="2DCCB313">
            <w:pPr>
              <w:keepNext w:val="0"/>
              <w:keepLines w:val="0"/>
              <w:pageBreakBefore w:val="0"/>
              <w:widowControl w:val="0"/>
              <w:kinsoku/>
              <w:wordWrap w:val="0"/>
              <w:overflowPunct/>
              <w:topLinePunct/>
              <w:autoSpaceDE/>
              <w:autoSpaceDN/>
              <w:bidi w:val="0"/>
              <w:adjustRightInd/>
              <w:snapToGrid/>
              <w:spacing w:before="157" w:beforeLines="50" w:line="360" w:lineRule="auto"/>
              <w:ind w:firstLine="482" w:firstLineChars="200"/>
              <w:jc w:val="left"/>
              <w:textAlignment w:val="center"/>
              <w:rPr>
                <w:b/>
                <w:bCs/>
                <w:color w:val="auto"/>
                <w:sz w:val="24"/>
                <w:highlight w:val="none"/>
              </w:rPr>
            </w:pPr>
            <w:r>
              <w:rPr>
                <w:b/>
                <w:bCs/>
                <w:color w:val="auto"/>
                <w:sz w:val="24"/>
                <w:highlight w:val="none"/>
              </w:rPr>
              <w:t>一、企业基本情况</w:t>
            </w:r>
          </w:p>
          <w:p w14:paraId="6BB0721B">
            <w:pPr>
              <w:keepNext w:val="0"/>
              <w:keepLines w:val="0"/>
              <w:pageBreakBefore w:val="0"/>
              <w:widowControl w:val="0"/>
              <w:kinsoku/>
              <w:wordWrap/>
              <w:overflowPunct/>
              <w:topLinePunct/>
              <w:autoSpaceDE/>
              <w:autoSpaceDN/>
              <w:bidi w:val="0"/>
              <w:adjustRightInd/>
              <w:snapToGrid/>
              <w:spacing w:line="360" w:lineRule="auto"/>
              <w:ind w:firstLine="480" w:firstLineChars="200"/>
              <w:jc w:val="left"/>
              <w:textAlignment w:val="center"/>
              <w:rPr>
                <w:rFonts w:ascii="Times New Roman" w:hAnsi="Times New Roman" w:eastAsia="宋体" w:cs="Times New Roman"/>
                <w:color w:val="auto"/>
                <w:kern w:val="2"/>
                <w:sz w:val="24"/>
                <w:szCs w:val="24"/>
                <w:highlight w:val="none"/>
                <w:lang w:val="en-US" w:eastAsia="zh-CN" w:bidi="ar-SA"/>
              </w:rPr>
            </w:pPr>
            <w:r>
              <w:rPr>
                <w:color w:val="auto"/>
                <w:highlight w:val="none"/>
              </w:rPr>
              <w:t>本项目</w:t>
            </w:r>
            <w:r>
              <w:rPr>
                <w:rFonts w:hint="eastAsia"/>
                <w:color w:val="auto"/>
                <w:highlight w:val="none"/>
                <w:lang w:val="en-US" w:eastAsia="zh-CN"/>
              </w:rPr>
              <w:t>位于</w:t>
            </w:r>
            <w:r>
              <w:rPr>
                <w:rFonts w:hint="eastAsia"/>
                <w:color w:val="auto"/>
                <w:highlight w:val="none"/>
                <w:lang w:eastAsia="zh-CN"/>
              </w:rPr>
              <w:t>黑龙江省双鸭山市四方台区三江农资东侧，</w:t>
            </w:r>
            <w:r>
              <w:rPr>
                <w:rFonts w:hint="eastAsia"/>
                <w:color w:val="auto"/>
                <w:highlight w:val="none"/>
                <w:lang w:val="en-US" w:eastAsia="zh-CN"/>
              </w:rPr>
              <w:t>总占地面积为17500m</w:t>
            </w:r>
            <w:r>
              <w:rPr>
                <w:rFonts w:hint="eastAsia"/>
                <w:color w:val="auto"/>
                <w:highlight w:val="none"/>
                <w:vertAlign w:val="superscript"/>
                <w:lang w:val="en-US" w:eastAsia="zh-CN"/>
              </w:rPr>
              <w:t>2</w:t>
            </w:r>
            <w:r>
              <w:rPr>
                <w:rFonts w:hint="eastAsia"/>
                <w:color w:val="auto"/>
                <w:highlight w:val="none"/>
                <w:lang w:val="en-US" w:eastAsia="zh-CN"/>
              </w:rPr>
              <w:t>。</w:t>
            </w:r>
            <w:r>
              <w:rPr>
                <w:rFonts w:hint="eastAsia" w:ascii="Times New Roman" w:hAnsi="Times New Roman" w:eastAsia="宋体" w:cs="Times New Roman"/>
                <w:color w:val="auto"/>
                <w:kern w:val="2"/>
                <w:sz w:val="24"/>
                <w:szCs w:val="24"/>
                <w:highlight w:val="none"/>
                <w:lang w:val="en-US" w:eastAsia="zh-CN" w:bidi="ar-SA"/>
              </w:rPr>
              <w:t>本项目</w:t>
            </w:r>
            <w:r>
              <w:rPr>
                <w:rFonts w:ascii="Times New Roman" w:hAnsi="Times New Roman" w:eastAsia="宋体" w:cs="Times New Roman"/>
                <w:color w:val="auto"/>
                <w:kern w:val="2"/>
                <w:sz w:val="24"/>
                <w:szCs w:val="24"/>
                <w:highlight w:val="none"/>
                <w:lang w:val="en-US" w:eastAsia="zh-CN" w:bidi="ar-SA"/>
              </w:rPr>
              <w:t>主要建设</w:t>
            </w:r>
            <w:r>
              <w:rPr>
                <w:rFonts w:hint="eastAsia"/>
                <w:color w:val="auto"/>
                <w:highlight w:val="none"/>
                <w:lang w:val="en-US" w:eastAsia="zh-CN"/>
              </w:rPr>
              <w:t>商品混凝土生产线。生产区设置搅拌机、水泥筒仓、粉煤灰筒仓、外加剂罐、皮带、输送机等设备</w:t>
            </w:r>
            <w:r>
              <w:rPr>
                <w:rFonts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本</w:t>
            </w:r>
            <w:r>
              <w:rPr>
                <w:rFonts w:ascii="Times New Roman" w:hAnsi="Times New Roman" w:eastAsia="宋体" w:cs="Times New Roman"/>
                <w:color w:val="auto"/>
                <w:kern w:val="2"/>
                <w:sz w:val="24"/>
                <w:szCs w:val="24"/>
                <w:highlight w:val="none"/>
                <w:lang w:val="en-US" w:eastAsia="zh-CN" w:bidi="ar-SA"/>
              </w:rPr>
              <w:t>项目总投资</w:t>
            </w:r>
            <w:r>
              <w:rPr>
                <w:rFonts w:hint="eastAsia" w:ascii="Times New Roman" w:hAnsi="Times New Roman" w:eastAsia="宋体" w:cs="Times New Roman"/>
                <w:color w:val="auto"/>
                <w:kern w:val="2"/>
                <w:sz w:val="24"/>
                <w:szCs w:val="24"/>
                <w:highlight w:val="none"/>
                <w:lang w:val="en-US" w:eastAsia="zh-CN" w:bidi="ar-SA"/>
              </w:rPr>
              <w:t>200</w:t>
            </w:r>
            <w:r>
              <w:rPr>
                <w:rFonts w:ascii="Times New Roman" w:hAnsi="Times New Roman" w:eastAsia="宋体" w:cs="Times New Roman"/>
                <w:color w:val="auto"/>
                <w:kern w:val="2"/>
                <w:sz w:val="24"/>
                <w:szCs w:val="24"/>
                <w:highlight w:val="none"/>
                <w:lang w:val="en-US" w:eastAsia="zh-CN" w:bidi="ar-SA"/>
              </w:rPr>
              <w:t>万元</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年</w:t>
            </w:r>
            <w:r>
              <w:rPr>
                <w:rFonts w:hint="eastAsia" w:ascii="Times New Roman" w:hAnsi="Times New Roman" w:eastAsia="宋体" w:cs="Times New Roman"/>
                <w:color w:val="auto"/>
                <w:kern w:val="2"/>
                <w:sz w:val="24"/>
                <w:szCs w:val="24"/>
                <w:highlight w:val="none"/>
                <w:lang w:val="en-US" w:eastAsia="zh-CN" w:bidi="ar-SA"/>
              </w:rPr>
              <w:t>生产商品</w:t>
            </w:r>
            <w:r>
              <w:rPr>
                <w:rFonts w:hint="eastAsia"/>
                <w:color w:val="auto"/>
                <w:highlight w:val="none"/>
                <w:lang w:val="en-US" w:eastAsia="zh-CN"/>
              </w:rPr>
              <w:t>混凝土5万m</w:t>
            </w:r>
            <w:r>
              <w:rPr>
                <w:rFonts w:hint="eastAsia"/>
                <w:color w:val="auto"/>
                <w:highlight w:val="none"/>
                <w:vertAlign w:val="superscript"/>
                <w:lang w:val="en-US" w:eastAsia="zh-CN"/>
              </w:rPr>
              <w:t>3</w:t>
            </w:r>
            <w:r>
              <w:rPr>
                <w:rFonts w:ascii="Times New Roman" w:hAnsi="Times New Roman" w:eastAsia="宋体" w:cs="Times New Roman"/>
                <w:color w:val="auto"/>
                <w:kern w:val="2"/>
                <w:sz w:val="24"/>
                <w:szCs w:val="24"/>
                <w:highlight w:val="none"/>
                <w:lang w:val="en-US" w:eastAsia="zh-CN" w:bidi="ar-SA"/>
              </w:rPr>
              <w:t>。</w:t>
            </w:r>
          </w:p>
          <w:p w14:paraId="41FEB654">
            <w:pPr>
              <w:pStyle w:val="31"/>
              <w:bidi w:val="0"/>
              <w:rPr>
                <w:rFonts w:hint="eastAsia" w:ascii="Times New Roman" w:hAnsi="Times New Roman" w:eastAsia="宋体" w:cs="Times New Roman"/>
                <w:color w:val="auto"/>
                <w:kern w:val="2"/>
                <w:sz w:val="24"/>
                <w:szCs w:val="24"/>
                <w:highlight w:val="none"/>
                <w:lang w:val="en-US" w:eastAsia="zh-CN" w:bidi="ar-SA"/>
              </w:rPr>
            </w:pPr>
            <w:r>
              <w:rPr>
                <w:rFonts w:hint="eastAsia"/>
                <w:color w:val="auto"/>
                <w:highlight w:val="none"/>
              </w:rPr>
              <w:t>企业于202</w:t>
            </w:r>
            <w:r>
              <w:rPr>
                <w:rFonts w:hint="eastAsia"/>
                <w:color w:val="auto"/>
                <w:highlight w:val="none"/>
                <w:lang w:val="en-US" w:eastAsia="zh-CN"/>
              </w:rPr>
              <w:t>4</w:t>
            </w:r>
            <w:r>
              <w:rPr>
                <w:rFonts w:hint="eastAsia"/>
                <w:color w:val="auto"/>
                <w:highlight w:val="none"/>
              </w:rPr>
              <w:t>年</w:t>
            </w:r>
            <w:r>
              <w:rPr>
                <w:rFonts w:hint="eastAsia"/>
                <w:color w:val="auto"/>
                <w:highlight w:val="none"/>
                <w:lang w:val="en-US" w:eastAsia="zh-CN"/>
              </w:rPr>
              <w:t>8</w:t>
            </w:r>
            <w:r>
              <w:rPr>
                <w:rFonts w:hint="eastAsia"/>
                <w:color w:val="auto"/>
                <w:highlight w:val="none"/>
              </w:rPr>
              <w:t>月已建设完成，尚未投入使用</w:t>
            </w:r>
            <w:r>
              <w:rPr>
                <w:rFonts w:hint="eastAsia"/>
                <w:color w:val="auto"/>
                <w:highlight w:val="none"/>
                <w:lang w:eastAsia="zh-CN"/>
              </w:rPr>
              <w:t>，</w:t>
            </w:r>
            <w:r>
              <w:rPr>
                <w:rFonts w:hint="eastAsia"/>
                <w:color w:val="auto"/>
                <w:highlight w:val="none"/>
                <w:lang w:val="en-US" w:eastAsia="zh-CN"/>
              </w:rPr>
              <w:t>属于未批先建，已接受处罚，处罚文件见附件7，罚款缴费证明见附件8。</w:t>
            </w:r>
            <w:r>
              <w:rPr>
                <w:rFonts w:ascii="Times New Roman" w:hAnsi="Times New Roman" w:eastAsia="宋体" w:cs="Times New Roman"/>
                <w:color w:val="auto"/>
                <w:kern w:val="2"/>
                <w:sz w:val="24"/>
                <w:szCs w:val="24"/>
                <w:highlight w:val="none"/>
                <w:lang w:val="en-US" w:eastAsia="zh-CN" w:bidi="ar-SA"/>
              </w:rPr>
              <w:t>按照《关于做好固定污染源排污许可清理整顿和2020年排污许可发证登记工作的通知》（环办环评函</w:t>
            </w:r>
            <w:r>
              <w:rPr>
                <w:rFonts w:hint="eastAsia" w:ascii="Times New Roman" w:hAnsi="Times New Roman" w:eastAsia="宋体" w:cs="Times New Roman"/>
                <w:color w:val="auto"/>
                <w:kern w:val="2"/>
                <w:sz w:val="24"/>
                <w:szCs w:val="24"/>
                <w:highlight w:val="none"/>
                <w:lang w:val="en-US" w:eastAsia="zh-CN" w:bidi="ar-SA"/>
              </w:rPr>
              <w:t>〔2019〕939号</w:t>
            </w:r>
            <w:r>
              <w:rPr>
                <w:rFonts w:ascii="Times New Roman" w:hAnsi="Times New Roman" w:eastAsia="宋体" w:cs="Times New Roman"/>
                <w:color w:val="auto"/>
                <w:kern w:val="2"/>
                <w:sz w:val="24"/>
                <w:szCs w:val="24"/>
                <w:highlight w:val="none"/>
                <w:lang w:val="en-US" w:eastAsia="zh-CN" w:bidi="ar-SA"/>
              </w:rPr>
              <w:t>）、《关于固定污染源排污限期整改有关事项的通知》（环环评</w:t>
            </w:r>
            <w:r>
              <w:rPr>
                <w:rFonts w:hint="eastAsia" w:ascii="Times New Roman" w:hAnsi="Times New Roman" w:eastAsia="宋体" w:cs="Times New Roman"/>
                <w:color w:val="auto"/>
                <w:kern w:val="2"/>
                <w:sz w:val="24"/>
                <w:szCs w:val="24"/>
                <w:highlight w:val="none"/>
                <w:lang w:val="en-US" w:eastAsia="zh-CN" w:bidi="ar-SA"/>
              </w:rPr>
              <w:t>〔2020〕19号</w:t>
            </w:r>
            <w:r>
              <w:rPr>
                <w:rFonts w:ascii="Times New Roman" w:hAnsi="Times New Roman" w:eastAsia="宋体" w:cs="Times New Roman"/>
                <w:color w:val="auto"/>
                <w:kern w:val="2"/>
                <w:sz w:val="24"/>
                <w:szCs w:val="24"/>
                <w:highlight w:val="none"/>
                <w:lang w:val="en-US" w:eastAsia="zh-CN" w:bidi="ar-SA"/>
              </w:rPr>
              <w:t>）的要求，需办理环境影响评价审批手续。</w:t>
            </w:r>
            <w:r>
              <w:rPr>
                <w:rFonts w:hint="eastAsia" w:ascii="Times New Roman" w:hAnsi="Times New Roman" w:eastAsia="宋体" w:cs="Times New Roman"/>
                <w:color w:val="auto"/>
                <w:kern w:val="2"/>
                <w:sz w:val="24"/>
                <w:szCs w:val="24"/>
                <w:highlight w:val="none"/>
                <w:lang w:val="en-US" w:eastAsia="zh-CN" w:bidi="ar-SA"/>
              </w:rPr>
              <w:t>企业成立于</w:t>
            </w:r>
            <w:r>
              <w:rPr>
                <w:rFonts w:ascii="Times New Roman" w:hAnsi="Times New Roman" w:eastAsia="宋体" w:cs="Times New Roman"/>
                <w:color w:val="auto"/>
                <w:kern w:val="2"/>
                <w:sz w:val="24"/>
                <w:szCs w:val="24"/>
                <w:highlight w:val="none"/>
                <w:lang w:val="en-US" w:eastAsia="zh-CN" w:bidi="ar-SA"/>
              </w:rPr>
              <w:t>201</w:t>
            </w:r>
            <w:r>
              <w:rPr>
                <w:rFonts w:hint="eastAsia" w:ascii="Times New Roman" w:hAnsi="Times New Roman" w:eastAsia="宋体" w:cs="Times New Roman"/>
                <w:color w:val="auto"/>
                <w:kern w:val="2"/>
                <w:sz w:val="24"/>
                <w:szCs w:val="24"/>
                <w:highlight w:val="none"/>
                <w:lang w:val="en-US" w:eastAsia="zh-CN" w:bidi="ar-SA"/>
              </w:rPr>
              <w:t>9年，现已停产，待相关手续及环保措施落实后投产。</w:t>
            </w:r>
          </w:p>
          <w:p w14:paraId="187D5DDC">
            <w:pPr>
              <w:keepNext w:val="0"/>
              <w:keepLines w:val="0"/>
              <w:pageBreakBefore w:val="0"/>
              <w:widowControl w:val="0"/>
              <w:kinsoku/>
              <w:wordWrap w:val="0"/>
              <w:overflowPunct/>
              <w:topLinePunct/>
              <w:autoSpaceDE/>
              <w:autoSpaceDN/>
              <w:bidi w:val="0"/>
              <w:adjustRightInd/>
              <w:snapToGrid/>
              <w:spacing w:line="360" w:lineRule="auto"/>
              <w:ind w:firstLine="480" w:firstLineChars="200"/>
              <w:jc w:val="left"/>
              <w:textAlignment w:val="center"/>
              <w:rPr>
                <w:color w:val="auto"/>
                <w:sz w:val="24"/>
                <w:highlight w:val="none"/>
              </w:rPr>
            </w:pPr>
            <w:r>
              <w:rPr>
                <w:color w:val="auto"/>
                <w:sz w:val="24"/>
                <w:highlight w:val="none"/>
              </w:rPr>
              <w:t>经回顾性调查，本项目自建成投产以来，周边居民无上访现象，无环保投诉问题。</w:t>
            </w:r>
          </w:p>
          <w:p w14:paraId="098FED2C">
            <w:pPr>
              <w:pStyle w:val="31"/>
              <w:bidi w:val="0"/>
              <w:rPr>
                <w:b/>
                <w:bCs/>
                <w:color w:val="auto"/>
                <w:highlight w:val="none"/>
              </w:rPr>
            </w:pPr>
            <w:r>
              <w:rPr>
                <w:b/>
                <w:bCs/>
                <w:color w:val="auto"/>
                <w:highlight w:val="none"/>
              </w:rPr>
              <w:t>二、</w:t>
            </w:r>
            <w:r>
              <w:rPr>
                <w:rFonts w:hint="eastAsia"/>
                <w:b/>
                <w:bCs/>
                <w:color w:val="auto"/>
                <w:highlight w:val="none"/>
              </w:rPr>
              <w:t>现有工程污染防治措施</w:t>
            </w:r>
          </w:p>
          <w:p w14:paraId="2138309D">
            <w:pPr>
              <w:pStyle w:val="31"/>
              <w:bidi w:val="0"/>
              <w:rPr>
                <w:color w:val="auto"/>
                <w:highlight w:val="none"/>
              </w:rPr>
            </w:pPr>
            <w:r>
              <w:rPr>
                <w:color w:val="auto"/>
                <w:highlight w:val="none"/>
              </w:rPr>
              <w:t>（一）废气</w:t>
            </w:r>
          </w:p>
          <w:p w14:paraId="422FE366">
            <w:pPr>
              <w:pStyle w:val="31"/>
              <w:bidi w:val="0"/>
              <w:rPr>
                <w:color w:val="auto"/>
                <w:highlight w:val="none"/>
              </w:rPr>
            </w:pPr>
            <w:r>
              <w:rPr>
                <w:rFonts w:hint="eastAsia"/>
                <w:color w:val="auto"/>
                <w:highlight w:val="none"/>
                <w:lang w:val="en-US" w:eastAsia="zh-CN"/>
              </w:rPr>
              <w:t>石子和砂子通过车辆运输进厂后卸料、贮存在堆场内，堆场内采取苫盖、洒水抑尘等措施，四周布置防风抑尘网；水泥筒仓、粉煤灰筒仓、外加剂罐自带的布袋除尘器，进料粉尘经布袋除尘器处理后通过罐顶通气孔无组织排放；砂、碎石等投料斗上方设置半封闭式罩棚与雾化喷淋装置，水泥、粉煤灰、外加剂等原料的输送、计量、投料等方式均为封闭式，物料计量后通过封闭输送机输送至搅拌站内，混合搅拌工序在密闭的搅拌站内，搅拌机投料口设置集气罩收集产生的颗粒物，经布袋除尘器处理后通过站顶排气口无组织排放；项目运输采取苫盖货车、密闭罐车运输，厂内及时清扫道路并定期洒水降尘，以减少道路扬尘的产生。</w:t>
            </w:r>
          </w:p>
          <w:p w14:paraId="5880E9C9">
            <w:pPr>
              <w:pStyle w:val="31"/>
              <w:bidi w:val="0"/>
              <w:rPr>
                <w:color w:val="auto"/>
                <w:highlight w:val="none"/>
              </w:rPr>
            </w:pPr>
            <w:r>
              <w:rPr>
                <w:color w:val="auto"/>
                <w:highlight w:val="none"/>
              </w:rPr>
              <w:t>（二）废水</w:t>
            </w:r>
          </w:p>
          <w:p w14:paraId="2B67CC62">
            <w:pPr>
              <w:pStyle w:val="31"/>
              <w:bidi w:val="0"/>
              <w:rPr>
                <w:rFonts w:hint="eastAsia"/>
                <w:color w:val="auto"/>
                <w:highlight w:val="none"/>
                <w:lang w:val="en-US" w:eastAsia="zh-CN"/>
              </w:rPr>
            </w:pPr>
            <w:r>
              <w:rPr>
                <w:rFonts w:hint="eastAsia"/>
                <w:color w:val="auto"/>
                <w:highlight w:val="none"/>
                <w:lang w:val="en-US" w:eastAsia="zh-CN"/>
              </w:rPr>
              <w:t>本项目洒水抑尘用水全部自然蒸发消耗，设备冲洗水全部回用于生产进入产品，车辆冲洗废水经沉淀池沉淀后回用于车辆冲洗后全部自然蒸发消耗，搅拌用水全部</w:t>
            </w:r>
            <w:r>
              <w:rPr>
                <w:color w:val="auto"/>
                <w:highlight w:val="none"/>
              </w:rPr>
              <w:t>进入产品</w:t>
            </w:r>
            <w:r>
              <w:rPr>
                <w:rFonts w:hint="eastAsia"/>
                <w:color w:val="auto"/>
                <w:highlight w:val="none"/>
                <w:lang w:eastAsia="zh-CN"/>
              </w:rPr>
              <w:t>，</w:t>
            </w:r>
            <w:r>
              <w:rPr>
                <w:rFonts w:hint="eastAsia"/>
                <w:color w:val="auto"/>
                <w:highlight w:val="none"/>
                <w:lang w:val="en-US" w:eastAsia="zh-CN"/>
              </w:rPr>
              <w:t>因此本项目无生产废水外排；</w:t>
            </w:r>
          </w:p>
          <w:p w14:paraId="22A670F1">
            <w:pPr>
              <w:pStyle w:val="31"/>
              <w:bidi w:val="0"/>
              <w:rPr>
                <w:rFonts w:hint="eastAsia"/>
                <w:color w:val="auto"/>
                <w:highlight w:val="none"/>
                <w:lang w:val="en-US" w:eastAsia="zh-CN"/>
              </w:rPr>
            </w:pPr>
            <w:r>
              <w:rPr>
                <w:rFonts w:hint="eastAsia"/>
                <w:color w:val="auto"/>
                <w:highlight w:val="none"/>
                <w:lang w:val="en-US" w:eastAsia="zh-CN"/>
              </w:rPr>
              <w:t>生活污水排入防渗旱厕，定期清掏，外运堆肥；</w:t>
            </w:r>
          </w:p>
          <w:p w14:paraId="443A84D8">
            <w:pPr>
              <w:pStyle w:val="31"/>
              <w:bidi w:val="0"/>
              <w:rPr>
                <w:color w:val="auto"/>
                <w:highlight w:val="none"/>
              </w:rPr>
            </w:pPr>
            <w:r>
              <w:rPr>
                <w:rFonts w:hint="eastAsia"/>
                <w:color w:val="auto"/>
                <w:highlight w:val="none"/>
                <w:lang w:val="en-US" w:eastAsia="zh-CN"/>
              </w:rPr>
              <w:t>初期雨水通过厂区地势自然流入沉淀池后用于厂区洒水降尘，全部自然蒸发，不外排。</w:t>
            </w:r>
          </w:p>
          <w:p w14:paraId="2A01D6EC">
            <w:pPr>
              <w:pStyle w:val="31"/>
              <w:bidi w:val="0"/>
              <w:rPr>
                <w:color w:val="auto"/>
                <w:highlight w:val="none"/>
              </w:rPr>
            </w:pPr>
            <w:r>
              <w:rPr>
                <w:color w:val="auto"/>
                <w:highlight w:val="none"/>
              </w:rPr>
              <w:t>（三）噪声</w:t>
            </w:r>
          </w:p>
          <w:p w14:paraId="56167053">
            <w:pPr>
              <w:pStyle w:val="31"/>
              <w:bidi w:val="0"/>
              <w:rPr>
                <w:color w:val="auto"/>
                <w:highlight w:val="none"/>
              </w:rPr>
            </w:pPr>
            <w:r>
              <w:rPr>
                <w:rFonts w:hint="eastAsia"/>
                <w:color w:val="auto"/>
                <w:highlight w:val="none"/>
                <w:lang w:val="en-US" w:eastAsia="zh-CN"/>
              </w:rPr>
              <w:t>本项目采用安装基础减振垫、设备软连接等降噪措施；运输车辆厂区内降低车速、禁止鸣笛。</w:t>
            </w:r>
          </w:p>
          <w:p w14:paraId="1BD5D1F6">
            <w:pPr>
              <w:pStyle w:val="31"/>
              <w:bidi w:val="0"/>
              <w:rPr>
                <w:color w:val="auto"/>
                <w:highlight w:val="none"/>
              </w:rPr>
            </w:pPr>
            <w:r>
              <w:rPr>
                <w:color w:val="auto"/>
                <w:highlight w:val="none"/>
              </w:rPr>
              <w:t>（四）固体废物</w:t>
            </w:r>
          </w:p>
          <w:p w14:paraId="30477FCD">
            <w:pPr>
              <w:pStyle w:val="31"/>
              <w:bidi w:val="0"/>
              <w:rPr>
                <w:rFonts w:hint="eastAsia"/>
                <w:color w:val="auto"/>
                <w:highlight w:val="none"/>
                <w:lang w:val="en-US" w:eastAsia="zh-CN"/>
              </w:rPr>
            </w:pPr>
            <w:r>
              <w:rPr>
                <w:rFonts w:hint="eastAsia"/>
                <w:color w:val="auto"/>
                <w:highlight w:val="none"/>
                <w:lang w:val="en-US" w:eastAsia="zh-CN"/>
              </w:rPr>
              <w:t>本项目生活垃圾交由市政部门统一处理；</w:t>
            </w:r>
          </w:p>
          <w:p w14:paraId="5BDBBD5C">
            <w:pPr>
              <w:pStyle w:val="31"/>
              <w:bidi w:val="0"/>
              <w:rPr>
                <w:rFonts w:hint="eastAsia"/>
                <w:color w:val="auto"/>
                <w:highlight w:val="none"/>
                <w:lang w:val="en-US" w:eastAsia="zh-CN"/>
              </w:rPr>
            </w:pPr>
            <w:r>
              <w:rPr>
                <w:rFonts w:hint="eastAsia"/>
                <w:color w:val="auto"/>
                <w:highlight w:val="none"/>
                <w:lang w:val="en-US" w:eastAsia="zh-CN"/>
              </w:rPr>
              <w:t>水泥筒仓、粉煤灰筒仓、外加剂罐、搅拌机布袋除尘器收尘作为原料回用于生产；实验室废料，由骨料供应商回收破碎后重新利用；废布袋由厂家回收处置；沉淀池中的污泥定期自然晾干挖出后交由市政部门统一处理。</w:t>
            </w:r>
          </w:p>
          <w:p w14:paraId="65E63137">
            <w:pPr>
              <w:pStyle w:val="31"/>
              <w:bidi w:val="0"/>
              <w:rPr>
                <w:rFonts w:hint="eastAsia"/>
                <w:color w:val="auto"/>
                <w:highlight w:val="none"/>
                <w:lang w:val="en-US" w:eastAsia="zh-CN"/>
              </w:rPr>
            </w:pPr>
            <w:r>
              <w:rPr>
                <w:rFonts w:hint="eastAsia"/>
                <w:color w:val="auto"/>
                <w:highlight w:val="none"/>
                <w:lang w:val="en-US" w:eastAsia="zh-CN"/>
              </w:rPr>
              <w:t>本项目设备维修、保养产生的废润滑油、废油桶、含油抹布及棉纱手套收集至危废贮存点，定期委托有资质单位处理。</w:t>
            </w:r>
          </w:p>
          <w:p w14:paraId="02773311">
            <w:pPr>
              <w:pStyle w:val="31"/>
              <w:bidi w:val="0"/>
              <w:rPr>
                <w:b/>
                <w:bCs/>
                <w:color w:val="auto"/>
                <w:highlight w:val="none"/>
              </w:rPr>
            </w:pPr>
            <w:r>
              <w:rPr>
                <w:b/>
                <w:bCs/>
                <w:color w:val="auto"/>
                <w:highlight w:val="none"/>
              </w:rPr>
              <w:t>三、</w:t>
            </w:r>
            <w:r>
              <w:rPr>
                <w:rFonts w:hint="eastAsia"/>
                <w:b/>
                <w:bCs/>
                <w:color w:val="auto"/>
                <w:highlight w:val="none"/>
              </w:rPr>
              <w:t>现有工程存在问题及整改措施</w:t>
            </w:r>
          </w:p>
          <w:p w14:paraId="4B9E2BF2">
            <w:pPr>
              <w:pStyle w:val="31"/>
              <w:bidi w:val="0"/>
              <w:rPr>
                <w:rFonts w:hint="default"/>
                <w:color w:val="auto"/>
                <w:highlight w:val="none"/>
                <w:lang w:val="en-US" w:eastAsia="zh-CN"/>
              </w:rPr>
            </w:pPr>
            <w:r>
              <w:rPr>
                <w:rFonts w:hint="eastAsia"/>
                <w:color w:val="auto"/>
                <w:highlight w:val="none"/>
                <w:lang w:val="en-US" w:eastAsia="zh-CN"/>
              </w:rPr>
              <w:t>项目现场踏查可知，堆场四周防风抑尘网尚未建成，本次报告中纳入新建环保措施，待建成后投产。</w:t>
            </w:r>
          </w:p>
          <w:p w14:paraId="6AA97004">
            <w:pPr>
              <w:pStyle w:val="31"/>
              <w:bidi w:val="0"/>
              <w:rPr>
                <w:rFonts w:ascii="Times New Roman" w:hAnsi="Times New Roman" w:eastAsia="宋体" w:cs="宋体"/>
                <w:color w:val="auto"/>
                <w:highlight w:val="none"/>
              </w:rPr>
            </w:pPr>
            <w:r>
              <w:rPr>
                <w:rFonts w:hint="eastAsia"/>
                <w:color w:val="auto"/>
                <w:highlight w:val="none"/>
                <w:lang w:val="en-US" w:eastAsia="zh-CN"/>
              </w:rPr>
              <w:t>项目</w:t>
            </w:r>
            <w:r>
              <w:rPr>
                <w:rFonts w:hint="eastAsia"/>
                <w:color w:val="auto"/>
                <w:highlight w:val="none"/>
              </w:rPr>
              <w:t>无环境信访问题</w:t>
            </w:r>
            <w:r>
              <w:rPr>
                <w:rFonts w:hint="eastAsia"/>
                <w:color w:val="auto"/>
                <w:highlight w:val="none"/>
                <w:lang w:eastAsia="zh-CN"/>
              </w:rPr>
              <w:t>，</w:t>
            </w:r>
            <w:r>
              <w:rPr>
                <w:rFonts w:hint="eastAsia" w:ascii="Times New Roman" w:hAnsi="Times New Roman" w:eastAsia="宋体" w:cs="Times New Roman"/>
                <w:color w:val="auto"/>
                <w:kern w:val="2"/>
                <w:sz w:val="24"/>
                <w:szCs w:val="24"/>
                <w:highlight w:val="none"/>
                <w:lang w:val="en-US" w:eastAsia="zh-CN" w:bidi="ar-SA"/>
              </w:rPr>
              <w:t>待相关手续及环保措施落实后投产。</w:t>
            </w:r>
          </w:p>
        </w:tc>
      </w:tr>
    </w:tbl>
    <w:p w14:paraId="433A03A6">
      <w:pPr>
        <w:jc w:val="center"/>
        <w:rPr>
          <w:rFonts w:ascii="Times New Roman" w:hAnsi="Times New Roman" w:eastAsia="宋体" w:cs="宋体"/>
          <w:snapToGrid w:val="0"/>
          <w:color w:val="auto"/>
          <w:sz w:val="36"/>
          <w:szCs w:val="36"/>
          <w:highlight w:val="none"/>
        </w:rPr>
        <w:sectPr>
          <w:pgSz w:w="11906" w:h="16838"/>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2B5578BB">
      <w:pPr>
        <w:adjustRightInd w:val="0"/>
        <w:snapToGrid w:val="0"/>
        <w:spacing w:line="14" w:lineRule="auto"/>
        <w:jc w:val="center"/>
        <w:rPr>
          <w:rFonts w:hint="eastAsia" w:ascii="Times New Roman" w:hAnsi="Times New Roman" w:eastAsia="宋体" w:cs="宋体"/>
          <w:snapToGrid w:val="0"/>
          <w:color w:val="auto"/>
          <w:sz w:val="30"/>
          <w:szCs w:val="30"/>
          <w:highlight w:val="none"/>
        </w:rPr>
      </w:pPr>
    </w:p>
    <w:p w14:paraId="7D0B9713">
      <w:pPr>
        <w:widowControl w:val="0"/>
        <w:wordWrap w:val="0"/>
        <w:topLinePunct/>
        <w:bidi w:val="0"/>
        <w:spacing w:line="360" w:lineRule="auto"/>
        <w:ind w:firstLine="0" w:firstLineChars="0"/>
        <w:jc w:val="center"/>
        <w:outlineLvl w:val="0"/>
        <w:rPr>
          <w:rFonts w:hint="default" w:ascii="Times New Roman" w:hAnsi="Times New Roman" w:eastAsia="宋体" w:cs="宋体"/>
          <w:b/>
          <w:snapToGrid w:val="0"/>
          <w:color w:val="auto"/>
          <w:kern w:val="2"/>
          <w:sz w:val="30"/>
          <w:szCs w:val="30"/>
          <w:highlight w:val="none"/>
          <w:lang w:val="en-US" w:eastAsia="zh-CN" w:bidi="ar-SA"/>
        </w:rPr>
      </w:pPr>
      <w:bookmarkStart w:id="8" w:name="_Toc25557"/>
      <w:r>
        <w:rPr>
          <w:rFonts w:hint="eastAsia" w:ascii="Times New Roman" w:hAnsi="Times New Roman" w:eastAsia="宋体" w:cs="宋体"/>
          <w:b/>
          <w:snapToGrid w:val="0"/>
          <w:color w:val="auto"/>
          <w:kern w:val="2"/>
          <w:sz w:val="30"/>
          <w:szCs w:val="30"/>
          <w:highlight w:val="none"/>
          <w:lang w:val="en-US" w:eastAsia="zh-CN" w:bidi="ar-SA"/>
        </w:rPr>
        <w:t>三、区域环境质量现状、环境保护目标及评价标准</w:t>
      </w:r>
      <w:bookmarkEnd w:id="8"/>
    </w:p>
    <w:tbl>
      <w:tblPr>
        <w:tblStyle w:val="23"/>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64"/>
        <w:gridCol w:w="7759"/>
      </w:tblGrid>
      <w:tr w14:paraId="37E141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48" w:type="pct"/>
            <w:noWrap w:val="0"/>
            <w:vAlign w:val="center"/>
          </w:tcPr>
          <w:p w14:paraId="1DD83F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区域</w:t>
            </w:r>
          </w:p>
          <w:p w14:paraId="1526D9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环境</w:t>
            </w:r>
          </w:p>
          <w:p w14:paraId="13CED0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质量</w:t>
            </w:r>
          </w:p>
          <w:p w14:paraId="21CBC6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现状</w:t>
            </w:r>
          </w:p>
        </w:tc>
        <w:tc>
          <w:tcPr>
            <w:tcW w:w="4551" w:type="pct"/>
            <w:noWrap w:val="0"/>
            <w:vAlign w:val="center"/>
          </w:tcPr>
          <w:p w14:paraId="7BFB8B08">
            <w:pPr>
              <w:pStyle w:val="33"/>
              <w:keepNext w:val="0"/>
              <w:keepLines w:val="0"/>
              <w:pageBreakBefore w:val="0"/>
              <w:widowControl w:val="0"/>
              <w:kinsoku/>
              <w:wordWrap w:val="0"/>
              <w:overflowPunct/>
              <w:topLinePunct/>
              <w:autoSpaceDE/>
              <w:autoSpaceDN/>
              <w:bidi w:val="0"/>
              <w:adjustRightInd/>
              <w:snapToGrid/>
              <w:spacing w:before="157" w:beforeLines="50"/>
              <w:textAlignment w:val="auto"/>
              <w:rPr>
                <w:color w:val="auto"/>
                <w:highlight w:val="none"/>
              </w:rPr>
            </w:pPr>
            <w:r>
              <w:rPr>
                <w:rFonts w:hint="eastAsia"/>
                <w:color w:val="auto"/>
                <w:highlight w:val="none"/>
                <w:lang w:val="en-US" w:eastAsia="zh-CN"/>
              </w:rPr>
              <w:t>1</w:t>
            </w:r>
            <w:r>
              <w:rPr>
                <w:color w:val="auto"/>
                <w:highlight w:val="none"/>
              </w:rPr>
              <w:t>、大气环境</w:t>
            </w:r>
          </w:p>
          <w:p w14:paraId="217E71CC">
            <w:pPr>
              <w:pStyle w:val="31"/>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基本污染物现状</w:t>
            </w:r>
          </w:p>
          <w:p w14:paraId="414A2FE4">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1"/>
                <w:highlight w:val="none"/>
                <w:lang w:val="en-US" w:eastAsia="zh-CN"/>
              </w:rPr>
            </w:pPr>
            <w:r>
              <w:rPr>
                <w:rFonts w:hint="default" w:ascii="Times New Roman" w:hAnsi="Times New Roman" w:eastAsia="宋体" w:cs="Times New Roman"/>
                <w:bCs/>
                <w:color w:val="auto"/>
                <w:sz w:val="24"/>
                <w:szCs w:val="24"/>
                <w:highlight w:val="none"/>
                <w:lang w:val="en-US" w:eastAsia="zh-CN"/>
              </w:rPr>
              <w:t>根据《2024年双鸭山市环境空气质量状况》，双鸭山市202</w:t>
            </w:r>
            <w:r>
              <w:rPr>
                <w:rFonts w:hint="default" w:ascii="Times New Roman" w:hAnsi="Times New Roman"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lang w:val="en-US" w:eastAsia="zh-CN"/>
              </w:rPr>
              <w:t>年PM</w:t>
            </w:r>
            <w:r>
              <w:rPr>
                <w:rFonts w:hint="default" w:ascii="Times New Roman" w:hAnsi="Times New Roman" w:eastAsia="宋体" w:cs="Times New Roman"/>
                <w:bCs/>
                <w:color w:val="auto"/>
                <w:sz w:val="24"/>
                <w:szCs w:val="24"/>
                <w:highlight w:val="none"/>
                <w:vertAlign w:val="subscript"/>
                <w:lang w:val="en-US" w:eastAsia="zh-CN"/>
              </w:rPr>
              <w:t>2.5</w:t>
            </w:r>
            <w:r>
              <w:rPr>
                <w:rFonts w:hint="default" w:ascii="Times New Roman" w:hAnsi="Times New Roman" w:eastAsia="宋体" w:cs="Times New Roman"/>
                <w:bCs/>
                <w:color w:val="auto"/>
                <w:sz w:val="24"/>
                <w:szCs w:val="24"/>
                <w:highlight w:val="none"/>
                <w:lang w:val="en-US" w:eastAsia="zh-CN"/>
              </w:rPr>
              <w:t>、PM</w:t>
            </w:r>
            <w:r>
              <w:rPr>
                <w:rFonts w:hint="default" w:ascii="Times New Roman" w:hAnsi="Times New Roman" w:eastAsia="宋体" w:cs="Times New Roman"/>
                <w:bCs/>
                <w:color w:val="auto"/>
                <w:sz w:val="24"/>
                <w:szCs w:val="24"/>
                <w:highlight w:val="none"/>
                <w:vertAlign w:val="subscript"/>
                <w:lang w:val="en-US" w:eastAsia="zh-CN"/>
              </w:rPr>
              <w:t>10</w:t>
            </w:r>
            <w:r>
              <w:rPr>
                <w:rFonts w:hint="default" w:ascii="Times New Roman" w:hAnsi="Times New Roman" w:eastAsia="宋体" w:cs="Times New Roman"/>
                <w:bCs/>
                <w:color w:val="auto"/>
                <w:sz w:val="24"/>
                <w:szCs w:val="24"/>
                <w:highlight w:val="none"/>
                <w:lang w:val="en-US" w:eastAsia="zh-CN"/>
              </w:rPr>
              <w:t>、SO</w:t>
            </w:r>
            <w:r>
              <w:rPr>
                <w:rFonts w:hint="default" w:ascii="Times New Roman" w:hAnsi="Times New Roman" w:eastAsia="宋体" w:cs="Times New Roman"/>
                <w:bCs/>
                <w:color w:val="auto"/>
                <w:sz w:val="24"/>
                <w:szCs w:val="24"/>
                <w:highlight w:val="none"/>
                <w:vertAlign w:val="subscript"/>
                <w:lang w:val="en-US" w:eastAsia="zh-CN"/>
              </w:rPr>
              <w:t>2</w:t>
            </w:r>
            <w:r>
              <w:rPr>
                <w:rFonts w:hint="default" w:ascii="Times New Roman" w:hAnsi="Times New Roman" w:eastAsia="宋体" w:cs="Times New Roman"/>
                <w:bCs/>
                <w:color w:val="auto"/>
                <w:sz w:val="24"/>
                <w:szCs w:val="24"/>
                <w:highlight w:val="none"/>
                <w:lang w:val="en-US" w:eastAsia="zh-CN"/>
              </w:rPr>
              <w:t>、NO</w:t>
            </w:r>
            <w:r>
              <w:rPr>
                <w:rFonts w:hint="default" w:ascii="Times New Roman" w:hAnsi="Times New Roman" w:eastAsia="宋体" w:cs="Times New Roman"/>
                <w:bCs/>
                <w:color w:val="auto"/>
                <w:sz w:val="24"/>
                <w:szCs w:val="24"/>
                <w:highlight w:val="none"/>
                <w:vertAlign w:val="subscript"/>
                <w:lang w:val="en-US" w:eastAsia="zh-CN"/>
              </w:rPr>
              <w:t>2</w:t>
            </w:r>
            <w:r>
              <w:rPr>
                <w:rFonts w:hint="default" w:ascii="Times New Roman" w:hAnsi="Times New Roman" w:eastAsia="宋体" w:cs="Times New Roman"/>
                <w:bCs/>
                <w:color w:val="auto"/>
                <w:sz w:val="24"/>
                <w:szCs w:val="24"/>
                <w:highlight w:val="none"/>
                <w:lang w:val="en-US" w:eastAsia="zh-CN"/>
              </w:rPr>
              <w:t>年均浓度分别为2</w:t>
            </w:r>
            <w:r>
              <w:rPr>
                <w:rFonts w:hint="default" w:ascii="Times New Roman" w:hAnsi="Times New Roman" w:cs="Times New Roman"/>
                <w:bCs/>
                <w:color w:val="auto"/>
                <w:sz w:val="24"/>
                <w:szCs w:val="24"/>
                <w:highlight w:val="none"/>
                <w:lang w:val="en-US" w:eastAsia="zh-CN"/>
              </w:rPr>
              <w:t>7</w:t>
            </w:r>
            <w:r>
              <w:rPr>
                <w:rFonts w:hint="default" w:ascii="Times New Roman" w:hAnsi="Times New Roman" w:eastAsia="宋体" w:cs="Times New Roman"/>
                <w:bCs/>
                <w:color w:val="auto"/>
                <w:sz w:val="24"/>
                <w:szCs w:val="24"/>
                <w:highlight w:val="none"/>
                <w:lang w:val="en-US" w:eastAsia="zh-CN"/>
              </w:rPr>
              <w:t>μg/m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eastAsia="宋体" w:cs="Times New Roman"/>
                <w:bCs/>
                <w:color w:val="auto"/>
                <w:sz w:val="24"/>
                <w:szCs w:val="24"/>
                <w:highlight w:val="none"/>
                <w:lang w:val="en-US" w:eastAsia="zh-CN"/>
              </w:rPr>
              <w:t>、4</w:t>
            </w:r>
            <w:r>
              <w:rPr>
                <w:rFonts w:hint="default" w:ascii="Times New Roman" w:hAnsi="Times New Roman" w:cs="Times New Roman"/>
                <w:bCs/>
                <w:color w:val="auto"/>
                <w:sz w:val="24"/>
                <w:szCs w:val="24"/>
                <w:highlight w:val="none"/>
                <w:lang w:val="en-US" w:eastAsia="zh-CN"/>
              </w:rPr>
              <w:t>3</w:t>
            </w:r>
            <w:r>
              <w:rPr>
                <w:rFonts w:hint="default" w:ascii="Times New Roman" w:hAnsi="Times New Roman" w:eastAsia="宋体" w:cs="Times New Roman"/>
                <w:bCs/>
                <w:color w:val="auto"/>
                <w:sz w:val="24"/>
                <w:szCs w:val="24"/>
                <w:highlight w:val="none"/>
                <w:lang w:val="en-US" w:eastAsia="zh-CN"/>
              </w:rPr>
              <w:t>μg/m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cs="Times New Roman"/>
                <w:bCs/>
                <w:color w:val="auto"/>
                <w:sz w:val="24"/>
                <w:szCs w:val="24"/>
                <w:highlight w:val="none"/>
                <w:lang w:val="en-US" w:eastAsia="zh-CN"/>
              </w:rPr>
              <w:t>11</w:t>
            </w:r>
            <w:r>
              <w:rPr>
                <w:rFonts w:hint="default" w:ascii="Times New Roman" w:hAnsi="Times New Roman" w:eastAsia="宋体" w:cs="Times New Roman"/>
                <w:bCs/>
                <w:color w:val="auto"/>
                <w:sz w:val="24"/>
                <w:szCs w:val="24"/>
                <w:highlight w:val="none"/>
                <w:lang w:val="en-US" w:eastAsia="zh-CN"/>
              </w:rPr>
              <w:t>μg/m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eastAsia="宋体" w:cs="Times New Roman"/>
                <w:bCs/>
                <w:color w:val="auto"/>
                <w:sz w:val="24"/>
                <w:szCs w:val="24"/>
                <w:highlight w:val="none"/>
                <w:lang w:val="en-US" w:eastAsia="zh-CN"/>
              </w:rPr>
              <w:t>、1</w:t>
            </w:r>
            <w:r>
              <w:rPr>
                <w:rFonts w:hint="default" w:ascii="Times New Roman" w:hAnsi="Times New Roman"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lang w:val="en-US" w:eastAsia="zh-CN"/>
              </w:rPr>
              <w:t>μg/m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eastAsia="宋体" w:cs="Times New Roman"/>
                <w:bCs/>
                <w:color w:val="auto"/>
                <w:sz w:val="24"/>
                <w:szCs w:val="24"/>
                <w:highlight w:val="none"/>
                <w:lang w:val="en-US" w:eastAsia="zh-CN"/>
              </w:rPr>
              <w:t>；CO24小时平均第95百分位数为0.</w:t>
            </w:r>
            <w:r>
              <w:rPr>
                <w:rFonts w:hint="default" w:ascii="Times New Roman" w:hAnsi="Times New Roman" w:cs="Times New Roman"/>
                <w:bCs/>
                <w:color w:val="auto"/>
                <w:sz w:val="24"/>
                <w:szCs w:val="24"/>
                <w:highlight w:val="none"/>
                <w:lang w:val="en-US" w:eastAsia="zh-CN"/>
              </w:rPr>
              <w:t>9</w:t>
            </w:r>
            <w:r>
              <w:rPr>
                <w:rFonts w:hint="default" w:ascii="Times New Roman" w:hAnsi="Times New Roman" w:eastAsia="宋体" w:cs="Times New Roman"/>
                <w:bCs/>
                <w:color w:val="auto"/>
                <w:sz w:val="24"/>
                <w:szCs w:val="24"/>
                <w:highlight w:val="none"/>
                <w:lang w:val="en-US" w:eastAsia="zh-CN"/>
              </w:rPr>
              <w:t>mg/m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eastAsia="宋体" w:cs="Times New Roman"/>
                <w:bCs/>
                <w:color w:val="auto"/>
                <w:sz w:val="24"/>
                <w:szCs w:val="24"/>
                <w:highlight w:val="none"/>
                <w:lang w:val="en-US" w:eastAsia="zh-CN"/>
              </w:rPr>
              <w:t>，O</w:t>
            </w:r>
            <w:r>
              <w:rPr>
                <w:rFonts w:hint="default" w:ascii="Times New Roman" w:hAnsi="Times New Roman" w:eastAsia="宋体" w:cs="Times New Roman"/>
                <w:bCs/>
                <w:color w:val="auto"/>
                <w:sz w:val="24"/>
                <w:szCs w:val="24"/>
                <w:highlight w:val="none"/>
                <w:vertAlign w:val="subscript"/>
                <w:lang w:val="en-US" w:eastAsia="zh-CN"/>
              </w:rPr>
              <w:t>3</w:t>
            </w:r>
            <w:r>
              <w:rPr>
                <w:rFonts w:hint="default" w:ascii="Times New Roman" w:hAnsi="Times New Roman" w:eastAsia="宋体" w:cs="Times New Roman"/>
                <w:bCs/>
                <w:color w:val="auto"/>
                <w:sz w:val="24"/>
                <w:szCs w:val="24"/>
                <w:highlight w:val="none"/>
                <w:lang w:val="en-US" w:eastAsia="zh-CN"/>
              </w:rPr>
              <w:t>日最大8小时平均第90百分位数为</w:t>
            </w:r>
            <w:r>
              <w:rPr>
                <w:rFonts w:hint="default" w:ascii="Times New Roman" w:hAnsi="Times New Roman" w:cs="Times New Roman"/>
                <w:bCs/>
                <w:color w:val="auto"/>
                <w:sz w:val="24"/>
                <w:szCs w:val="24"/>
                <w:highlight w:val="none"/>
                <w:lang w:val="en-US" w:eastAsia="zh-CN"/>
              </w:rPr>
              <w:t>105</w:t>
            </w:r>
            <w:r>
              <w:rPr>
                <w:rFonts w:hint="default" w:ascii="Times New Roman" w:hAnsi="Times New Roman" w:eastAsia="宋体" w:cs="Times New Roman"/>
                <w:bCs/>
                <w:color w:val="auto"/>
                <w:sz w:val="24"/>
                <w:szCs w:val="24"/>
                <w:highlight w:val="none"/>
                <w:lang w:val="en-US" w:eastAsia="zh-CN"/>
              </w:rPr>
              <w:t>μg/m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eastAsia="宋体" w:cs="Times New Roman"/>
                <w:bCs/>
                <w:color w:val="auto"/>
                <w:sz w:val="24"/>
                <w:szCs w:val="24"/>
                <w:highlight w:val="none"/>
                <w:lang w:val="en-US" w:eastAsia="zh-CN"/>
              </w:rPr>
              <w:t>。基本污染物现状监测结果经统计</w:t>
            </w:r>
            <w:r>
              <w:rPr>
                <w:rFonts w:hint="default" w:ascii="Times New Roman" w:hAnsi="Times New Roman" w:eastAsia="宋体" w:cs="Times New Roman"/>
                <w:color w:val="auto"/>
                <w:kern w:val="0"/>
                <w:sz w:val="24"/>
                <w:szCs w:val="21"/>
                <w:highlight w:val="none"/>
              </w:rPr>
              <w:t>具体见表3-</w:t>
            </w:r>
            <w:r>
              <w:rPr>
                <w:rFonts w:hint="default" w:ascii="Times New Roman" w:hAnsi="Times New Roman" w:eastAsia="宋体" w:cs="Times New Roman"/>
                <w:color w:val="auto"/>
                <w:kern w:val="0"/>
                <w:sz w:val="24"/>
                <w:szCs w:val="21"/>
                <w:highlight w:val="none"/>
                <w:lang w:val="en-US" w:eastAsia="zh-CN"/>
              </w:rPr>
              <w:t>1</w:t>
            </w:r>
            <w:r>
              <w:rPr>
                <w:rFonts w:hint="eastAsia" w:ascii="Times New Roman" w:hAnsi="Times New Roman" w:eastAsia="宋体" w:cs="Times New Roman"/>
                <w:color w:val="auto"/>
                <w:kern w:val="0"/>
                <w:sz w:val="24"/>
                <w:szCs w:val="21"/>
                <w:highlight w:val="none"/>
                <w:lang w:val="en-US" w:eastAsia="zh-CN"/>
              </w:rPr>
              <w:t>。</w:t>
            </w:r>
          </w:p>
          <w:p w14:paraId="2ACB93F1">
            <w:pPr>
              <w:pStyle w:val="36"/>
              <w:bidi w:val="0"/>
              <w:rPr>
                <w:rFonts w:hint="eastAsia" w:eastAsia="宋体"/>
                <w:color w:val="auto"/>
                <w:highlight w:val="none"/>
                <w:lang w:eastAsia="zh-CN"/>
              </w:rPr>
            </w:pPr>
            <w:r>
              <w:rPr>
                <w:color w:val="auto"/>
                <w:highlight w:val="none"/>
              </w:rPr>
              <w:t>表3-1  区域环境空气质量现状评价表  单位：μg/</w:t>
            </w:r>
            <w:r>
              <w:rPr>
                <w:rFonts w:hint="eastAsia"/>
                <w:color w:val="auto"/>
                <w:highlight w:val="none"/>
                <w:lang w:eastAsia="zh-CN"/>
              </w:rPr>
              <w:t>m</w:t>
            </w:r>
            <w:r>
              <w:rPr>
                <w:rFonts w:hint="eastAsia"/>
                <w:color w:val="auto"/>
                <w:highlight w:val="none"/>
                <w:vertAlign w:val="superscript"/>
                <w:lang w:eastAsia="zh-CN"/>
              </w:rPr>
              <w:t>3</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5"/>
              <w:gridCol w:w="881"/>
              <w:gridCol w:w="852"/>
              <w:gridCol w:w="852"/>
              <w:gridCol w:w="852"/>
              <w:gridCol w:w="852"/>
              <w:gridCol w:w="852"/>
              <w:gridCol w:w="852"/>
              <w:gridCol w:w="855"/>
            </w:tblGrid>
            <w:tr w14:paraId="7EC8D9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60" w:type="pct"/>
                  <w:vMerge w:val="restart"/>
                  <w:tcBorders>
                    <w:top w:val="single" w:color="auto" w:sz="12" w:space="0"/>
                    <w:left w:val="nil"/>
                    <w:right w:val="single" w:color="auto" w:sz="6" w:space="0"/>
                  </w:tcBorders>
                  <w:noWrap/>
                  <w:vAlign w:val="center"/>
                </w:tcPr>
                <w:p w14:paraId="7A3603A2">
                  <w:pPr>
                    <w:pStyle w:val="34"/>
                    <w:bidi w:val="0"/>
                    <w:rPr>
                      <w:color w:val="auto"/>
                      <w:highlight w:val="none"/>
                    </w:rPr>
                  </w:pPr>
                  <w:r>
                    <w:rPr>
                      <w:color w:val="auto"/>
                      <w:highlight w:val="none"/>
                    </w:rPr>
                    <w:t>污染物</w:t>
                  </w:r>
                </w:p>
              </w:tc>
              <w:tc>
                <w:tcPr>
                  <w:tcW w:w="583" w:type="pct"/>
                  <w:vMerge w:val="restart"/>
                  <w:tcBorders>
                    <w:top w:val="single" w:color="auto" w:sz="12" w:space="0"/>
                    <w:left w:val="single" w:color="auto" w:sz="6" w:space="0"/>
                    <w:right w:val="single" w:color="auto" w:sz="6" w:space="0"/>
                  </w:tcBorders>
                  <w:noWrap/>
                  <w:vAlign w:val="center"/>
                </w:tcPr>
                <w:p w14:paraId="46DC43BF">
                  <w:pPr>
                    <w:pStyle w:val="34"/>
                    <w:bidi w:val="0"/>
                    <w:rPr>
                      <w:color w:val="auto"/>
                      <w:highlight w:val="none"/>
                    </w:rPr>
                  </w:pPr>
                  <w:r>
                    <w:rPr>
                      <w:color w:val="auto"/>
                      <w:highlight w:val="none"/>
                    </w:rPr>
                    <w:t>年评价指标</w:t>
                  </w:r>
                </w:p>
              </w:tc>
              <w:tc>
                <w:tcPr>
                  <w:tcW w:w="2259" w:type="pct"/>
                  <w:gridSpan w:val="4"/>
                  <w:tcBorders>
                    <w:top w:val="single" w:color="auto" w:sz="12" w:space="0"/>
                    <w:left w:val="single" w:color="auto" w:sz="6" w:space="0"/>
                    <w:bottom w:val="single" w:color="auto" w:sz="6" w:space="0"/>
                    <w:right w:val="nil"/>
                  </w:tcBorders>
                  <w:noWrap/>
                  <w:vAlign w:val="center"/>
                </w:tcPr>
                <w:p w14:paraId="7D899607">
                  <w:pPr>
                    <w:pStyle w:val="34"/>
                    <w:bidi w:val="0"/>
                    <w:rPr>
                      <w:color w:val="auto"/>
                      <w:highlight w:val="none"/>
                    </w:rPr>
                  </w:pPr>
                  <w:r>
                    <w:rPr>
                      <w:rFonts w:hint="eastAsia"/>
                      <w:color w:val="auto"/>
                      <w:highlight w:val="none"/>
                    </w:rPr>
                    <w:t>GB3095-2012限值</w:t>
                  </w:r>
                  <w:r>
                    <w:rPr>
                      <w:color w:val="auto"/>
                      <w:highlight w:val="none"/>
                    </w:rPr>
                    <w:t>二级标准</w:t>
                  </w:r>
                </w:p>
              </w:tc>
              <w:tc>
                <w:tcPr>
                  <w:tcW w:w="1696" w:type="pct"/>
                  <w:gridSpan w:val="3"/>
                  <w:tcBorders>
                    <w:top w:val="single" w:color="auto" w:sz="12" w:space="0"/>
                    <w:left w:val="single" w:color="auto" w:sz="6" w:space="0"/>
                    <w:bottom w:val="single" w:color="auto" w:sz="6" w:space="0"/>
                    <w:right w:val="nil"/>
                  </w:tcBorders>
                  <w:noWrap/>
                  <w:vAlign w:val="center"/>
                </w:tcPr>
                <w:p w14:paraId="6EEA3B34">
                  <w:pPr>
                    <w:pStyle w:val="34"/>
                    <w:bidi w:val="0"/>
                    <w:rPr>
                      <w:color w:val="auto"/>
                      <w:highlight w:val="none"/>
                    </w:rPr>
                  </w:pPr>
                  <w:r>
                    <w:rPr>
                      <w:rFonts w:hint="default"/>
                      <w:color w:val="auto"/>
                      <w:highlight w:val="none"/>
                    </w:rPr>
                    <w:t>GB3095-20</w:t>
                  </w:r>
                  <w:r>
                    <w:rPr>
                      <w:rFonts w:hint="eastAsia"/>
                      <w:color w:val="auto"/>
                      <w:highlight w:val="none"/>
                      <w:lang w:val="en-US" w:eastAsia="zh-CN"/>
                    </w:rPr>
                    <w:t>26过渡值</w:t>
                  </w:r>
                  <w:r>
                    <w:rPr>
                      <w:rFonts w:hint="default"/>
                      <w:color w:val="auto"/>
                      <w:highlight w:val="none"/>
                    </w:rPr>
                    <w:t>二级标准</w:t>
                  </w:r>
                </w:p>
              </w:tc>
            </w:tr>
            <w:tr w14:paraId="7D6ED1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60" w:type="pct"/>
                  <w:vMerge w:val="continue"/>
                  <w:tcBorders>
                    <w:left w:val="nil"/>
                    <w:bottom w:val="single" w:color="auto" w:sz="6" w:space="0"/>
                    <w:right w:val="single" w:color="auto" w:sz="6" w:space="0"/>
                  </w:tcBorders>
                  <w:noWrap/>
                  <w:vAlign w:val="center"/>
                </w:tcPr>
                <w:p w14:paraId="61E9B5C0">
                  <w:pPr>
                    <w:pStyle w:val="34"/>
                    <w:bidi w:val="0"/>
                    <w:rPr>
                      <w:color w:val="auto"/>
                      <w:highlight w:val="none"/>
                    </w:rPr>
                  </w:pPr>
                </w:p>
              </w:tc>
              <w:tc>
                <w:tcPr>
                  <w:tcW w:w="583" w:type="pct"/>
                  <w:vMerge w:val="continue"/>
                  <w:tcBorders>
                    <w:left w:val="single" w:color="auto" w:sz="6" w:space="0"/>
                    <w:bottom w:val="single" w:color="auto" w:sz="6" w:space="0"/>
                    <w:right w:val="single" w:color="auto" w:sz="6" w:space="0"/>
                  </w:tcBorders>
                  <w:noWrap/>
                  <w:vAlign w:val="center"/>
                </w:tcPr>
                <w:p w14:paraId="3A0C2658">
                  <w:pPr>
                    <w:pStyle w:val="34"/>
                    <w:bidi w:val="0"/>
                    <w:rPr>
                      <w:color w:val="auto"/>
                      <w:highlight w:val="none"/>
                    </w:rPr>
                  </w:pPr>
                </w:p>
              </w:tc>
              <w:tc>
                <w:tcPr>
                  <w:tcW w:w="564" w:type="pct"/>
                  <w:tcBorders>
                    <w:top w:val="single" w:color="auto" w:sz="12" w:space="0"/>
                    <w:left w:val="single" w:color="auto" w:sz="6" w:space="0"/>
                    <w:bottom w:val="single" w:color="auto" w:sz="6" w:space="0"/>
                    <w:right w:val="single" w:color="auto" w:sz="6" w:space="0"/>
                  </w:tcBorders>
                  <w:noWrap/>
                  <w:vAlign w:val="center"/>
                </w:tcPr>
                <w:p w14:paraId="7F2C5B19">
                  <w:pPr>
                    <w:pStyle w:val="34"/>
                    <w:bidi w:val="0"/>
                    <w:rPr>
                      <w:color w:val="auto"/>
                      <w:highlight w:val="none"/>
                    </w:rPr>
                  </w:pPr>
                  <w:r>
                    <w:rPr>
                      <w:color w:val="auto"/>
                      <w:highlight w:val="none"/>
                    </w:rPr>
                    <w:t>现状浓度</w:t>
                  </w:r>
                </w:p>
                <w:p w14:paraId="729F215A">
                  <w:pPr>
                    <w:pStyle w:val="34"/>
                    <w:bidi w:val="0"/>
                    <w:rPr>
                      <w:color w:val="auto"/>
                      <w:highlight w:val="none"/>
                    </w:rPr>
                  </w:pPr>
                  <w:r>
                    <w:rPr>
                      <w:color w:val="auto"/>
                      <w:highlight w:val="none"/>
                    </w:rPr>
                    <w:t>（μg/</w:t>
                  </w:r>
                  <w:r>
                    <w:rPr>
                      <w:rFonts w:hint="eastAsia"/>
                      <w:color w:val="auto"/>
                      <w:highlight w:val="none"/>
                      <w:lang w:eastAsia="zh-CN"/>
                    </w:rPr>
                    <w:t>m</w:t>
                  </w:r>
                  <w:r>
                    <w:rPr>
                      <w:rFonts w:hint="eastAsia"/>
                      <w:color w:val="auto"/>
                      <w:highlight w:val="none"/>
                      <w:vertAlign w:val="superscript"/>
                      <w:lang w:eastAsia="zh-CN"/>
                    </w:rPr>
                    <w:t>3</w:t>
                  </w:r>
                  <w:r>
                    <w:rPr>
                      <w:color w:val="auto"/>
                      <w:highlight w:val="none"/>
                    </w:rPr>
                    <w:t>）</w:t>
                  </w:r>
                </w:p>
              </w:tc>
              <w:tc>
                <w:tcPr>
                  <w:tcW w:w="564" w:type="pct"/>
                  <w:tcBorders>
                    <w:top w:val="single" w:color="auto" w:sz="12" w:space="0"/>
                    <w:left w:val="single" w:color="auto" w:sz="6" w:space="0"/>
                    <w:bottom w:val="single" w:color="auto" w:sz="6" w:space="0"/>
                    <w:right w:val="single" w:color="auto" w:sz="6" w:space="0"/>
                  </w:tcBorders>
                  <w:noWrap/>
                  <w:vAlign w:val="center"/>
                </w:tcPr>
                <w:p w14:paraId="4B82F32C">
                  <w:pPr>
                    <w:pStyle w:val="34"/>
                    <w:bidi w:val="0"/>
                    <w:rPr>
                      <w:color w:val="auto"/>
                      <w:highlight w:val="none"/>
                    </w:rPr>
                  </w:pPr>
                  <w:r>
                    <w:rPr>
                      <w:color w:val="auto"/>
                      <w:highlight w:val="none"/>
                    </w:rPr>
                    <w:t>标准值</w:t>
                  </w:r>
                </w:p>
                <w:p w14:paraId="5A8EC31B">
                  <w:pPr>
                    <w:pStyle w:val="34"/>
                    <w:bidi w:val="0"/>
                    <w:rPr>
                      <w:color w:val="auto"/>
                      <w:highlight w:val="none"/>
                    </w:rPr>
                  </w:pPr>
                  <w:r>
                    <w:rPr>
                      <w:color w:val="auto"/>
                      <w:highlight w:val="none"/>
                    </w:rPr>
                    <w:t>（μg/</w:t>
                  </w:r>
                  <w:r>
                    <w:rPr>
                      <w:rFonts w:hint="eastAsia"/>
                      <w:color w:val="auto"/>
                      <w:highlight w:val="none"/>
                      <w:lang w:eastAsia="zh-CN"/>
                    </w:rPr>
                    <w:t>m</w:t>
                  </w:r>
                  <w:r>
                    <w:rPr>
                      <w:rFonts w:hint="eastAsia"/>
                      <w:color w:val="auto"/>
                      <w:highlight w:val="none"/>
                      <w:vertAlign w:val="superscript"/>
                      <w:lang w:eastAsia="zh-CN"/>
                    </w:rPr>
                    <w:t>3</w:t>
                  </w:r>
                  <w:r>
                    <w:rPr>
                      <w:color w:val="auto"/>
                      <w:highlight w:val="none"/>
                    </w:rPr>
                    <w:t>）</w:t>
                  </w:r>
                </w:p>
              </w:tc>
              <w:tc>
                <w:tcPr>
                  <w:tcW w:w="564" w:type="pct"/>
                  <w:tcBorders>
                    <w:top w:val="single" w:color="auto" w:sz="12" w:space="0"/>
                    <w:left w:val="single" w:color="auto" w:sz="6" w:space="0"/>
                    <w:bottom w:val="single" w:color="auto" w:sz="6" w:space="0"/>
                    <w:right w:val="single" w:color="auto" w:sz="6" w:space="0"/>
                  </w:tcBorders>
                  <w:noWrap/>
                  <w:vAlign w:val="center"/>
                </w:tcPr>
                <w:p w14:paraId="210C854F">
                  <w:pPr>
                    <w:pStyle w:val="34"/>
                    <w:bidi w:val="0"/>
                    <w:rPr>
                      <w:color w:val="auto"/>
                      <w:highlight w:val="none"/>
                    </w:rPr>
                  </w:pPr>
                  <w:r>
                    <w:rPr>
                      <w:color w:val="auto"/>
                      <w:highlight w:val="none"/>
                    </w:rPr>
                    <w:t>占标率</w:t>
                  </w:r>
                </w:p>
                <w:p w14:paraId="16B07735">
                  <w:pPr>
                    <w:pStyle w:val="34"/>
                    <w:bidi w:val="0"/>
                    <w:rPr>
                      <w:color w:val="auto"/>
                      <w:highlight w:val="none"/>
                    </w:rPr>
                  </w:pPr>
                  <w:r>
                    <w:rPr>
                      <w:color w:val="auto"/>
                      <w:highlight w:val="none"/>
                    </w:rPr>
                    <w:t>（%）</w:t>
                  </w:r>
                </w:p>
              </w:tc>
              <w:tc>
                <w:tcPr>
                  <w:tcW w:w="564" w:type="pct"/>
                  <w:tcBorders>
                    <w:top w:val="single" w:color="auto" w:sz="12" w:space="0"/>
                    <w:left w:val="single" w:color="auto" w:sz="6" w:space="0"/>
                    <w:bottom w:val="single" w:color="auto" w:sz="6" w:space="0"/>
                    <w:right w:val="nil"/>
                  </w:tcBorders>
                  <w:noWrap/>
                  <w:vAlign w:val="center"/>
                </w:tcPr>
                <w:p w14:paraId="57B84E94">
                  <w:pPr>
                    <w:pStyle w:val="34"/>
                    <w:bidi w:val="0"/>
                    <w:rPr>
                      <w:color w:val="auto"/>
                      <w:highlight w:val="none"/>
                    </w:rPr>
                  </w:pPr>
                  <w:r>
                    <w:rPr>
                      <w:color w:val="auto"/>
                      <w:highlight w:val="none"/>
                    </w:rPr>
                    <w:t>达标情况</w:t>
                  </w:r>
                </w:p>
              </w:tc>
              <w:tc>
                <w:tcPr>
                  <w:tcW w:w="564" w:type="pct"/>
                  <w:tcBorders>
                    <w:top w:val="single" w:color="auto" w:sz="12" w:space="0"/>
                    <w:left w:val="single" w:color="auto" w:sz="6" w:space="0"/>
                    <w:bottom w:val="single" w:color="auto" w:sz="6" w:space="0"/>
                    <w:right w:val="nil"/>
                  </w:tcBorders>
                  <w:noWrap/>
                  <w:vAlign w:val="center"/>
                </w:tcPr>
                <w:p w14:paraId="2886B545">
                  <w:pPr>
                    <w:pStyle w:val="34"/>
                    <w:bidi w:val="0"/>
                    <w:rPr>
                      <w:color w:val="auto"/>
                      <w:highlight w:val="none"/>
                    </w:rPr>
                  </w:pPr>
                  <w:r>
                    <w:rPr>
                      <w:color w:val="auto"/>
                      <w:highlight w:val="none"/>
                    </w:rPr>
                    <w:t>标准值</w:t>
                  </w:r>
                </w:p>
                <w:p w14:paraId="4F85399A">
                  <w:pPr>
                    <w:pStyle w:val="34"/>
                    <w:bidi w:val="0"/>
                    <w:ind w:firstLine="0" w:firstLineChars="0"/>
                    <w:rPr>
                      <w:color w:val="auto"/>
                      <w:highlight w:val="none"/>
                    </w:rPr>
                  </w:pPr>
                  <w:r>
                    <w:rPr>
                      <w:color w:val="auto"/>
                      <w:highlight w:val="none"/>
                    </w:rPr>
                    <w:t>（μg/</w:t>
                  </w:r>
                  <w:r>
                    <w:rPr>
                      <w:rFonts w:hint="eastAsia"/>
                      <w:color w:val="auto"/>
                      <w:highlight w:val="none"/>
                      <w:lang w:eastAsia="zh-CN"/>
                    </w:rPr>
                    <w:t>m</w:t>
                  </w:r>
                  <w:r>
                    <w:rPr>
                      <w:rFonts w:hint="eastAsia"/>
                      <w:color w:val="auto"/>
                      <w:highlight w:val="none"/>
                      <w:vertAlign w:val="superscript"/>
                      <w:lang w:eastAsia="zh-CN"/>
                    </w:rPr>
                    <w:t>3</w:t>
                  </w:r>
                  <w:r>
                    <w:rPr>
                      <w:color w:val="auto"/>
                      <w:highlight w:val="none"/>
                    </w:rPr>
                    <w:t>）</w:t>
                  </w:r>
                </w:p>
              </w:tc>
              <w:tc>
                <w:tcPr>
                  <w:tcW w:w="564" w:type="pct"/>
                  <w:tcBorders>
                    <w:top w:val="single" w:color="auto" w:sz="12" w:space="0"/>
                    <w:left w:val="single" w:color="auto" w:sz="6" w:space="0"/>
                    <w:bottom w:val="single" w:color="auto" w:sz="6" w:space="0"/>
                    <w:right w:val="nil"/>
                  </w:tcBorders>
                  <w:noWrap/>
                  <w:vAlign w:val="center"/>
                </w:tcPr>
                <w:p w14:paraId="2E6FCE3D">
                  <w:pPr>
                    <w:pStyle w:val="34"/>
                    <w:bidi w:val="0"/>
                    <w:rPr>
                      <w:color w:val="auto"/>
                      <w:highlight w:val="none"/>
                    </w:rPr>
                  </w:pPr>
                  <w:r>
                    <w:rPr>
                      <w:color w:val="auto"/>
                      <w:highlight w:val="none"/>
                    </w:rPr>
                    <w:t>占标率</w:t>
                  </w:r>
                </w:p>
                <w:p w14:paraId="1F78C706">
                  <w:pPr>
                    <w:pStyle w:val="34"/>
                    <w:bidi w:val="0"/>
                    <w:ind w:firstLine="0" w:firstLineChars="0"/>
                    <w:rPr>
                      <w:color w:val="auto"/>
                      <w:highlight w:val="none"/>
                    </w:rPr>
                  </w:pPr>
                  <w:r>
                    <w:rPr>
                      <w:color w:val="auto"/>
                      <w:highlight w:val="none"/>
                    </w:rPr>
                    <w:t>（%）</w:t>
                  </w:r>
                </w:p>
              </w:tc>
              <w:tc>
                <w:tcPr>
                  <w:tcW w:w="566" w:type="pct"/>
                  <w:tcBorders>
                    <w:top w:val="single" w:color="auto" w:sz="12" w:space="0"/>
                    <w:left w:val="single" w:color="auto" w:sz="6" w:space="0"/>
                    <w:bottom w:val="single" w:color="auto" w:sz="6" w:space="0"/>
                    <w:right w:val="nil"/>
                  </w:tcBorders>
                  <w:noWrap/>
                  <w:vAlign w:val="center"/>
                </w:tcPr>
                <w:p w14:paraId="661FC8F5">
                  <w:pPr>
                    <w:pStyle w:val="34"/>
                    <w:bidi w:val="0"/>
                    <w:ind w:firstLine="0" w:firstLineChars="0"/>
                    <w:rPr>
                      <w:color w:val="auto"/>
                      <w:highlight w:val="none"/>
                    </w:rPr>
                  </w:pPr>
                  <w:r>
                    <w:rPr>
                      <w:color w:val="auto"/>
                      <w:highlight w:val="none"/>
                    </w:rPr>
                    <w:t>达标情况</w:t>
                  </w:r>
                </w:p>
              </w:tc>
            </w:tr>
            <w:tr w14:paraId="149842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60" w:type="pct"/>
                  <w:tcBorders>
                    <w:top w:val="single" w:color="auto" w:sz="6" w:space="0"/>
                    <w:left w:val="nil"/>
                    <w:bottom w:val="single" w:color="auto" w:sz="6" w:space="0"/>
                    <w:right w:val="single" w:color="auto" w:sz="6" w:space="0"/>
                  </w:tcBorders>
                  <w:noWrap/>
                  <w:vAlign w:val="center"/>
                </w:tcPr>
                <w:p w14:paraId="125C3D87">
                  <w:pPr>
                    <w:pStyle w:val="34"/>
                    <w:bidi w:val="0"/>
                    <w:rPr>
                      <w:color w:val="auto"/>
                      <w:highlight w:val="none"/>
                    </w:rPr>
                  </w:pPr>
                  <w:r>
                    <w:rPr>
                      <w:color w:val="auto"/>
                      <w:highlight w:val="none"/>
                    </w:rPr>
                    <w:t>PM</w:t>
                  </w:r>
                  <w:r>
                    <w:rPr>
                      <w:color w:val="auto"/>
                      <w:highlight w:val="none"/>
                      <w:vertAlign w:val="subscript"/>
                    </w:rPr>
                    <w:t>2.5</w:t>
                  </w:r>
                </w:p>
              </w:tc>
              <w:tc>
                <w:tcPr>
                  <w:tcW w:w="583" w:type="pct"/>
                  <w:tcBorders>
                    <w:top w:val="single" w:color="auto" w:sz="6" w:space="0"/>
                    <w:left w:val="single" w:color="auto" w:sz="6" w:space="0"/>
                    <w:bottom w:val="single" w:color="auto" w:sz="6" w:space="0"/>
                    <w:right w:val="single" w:color="auto" w:sz="6" w:space="0"/>
                  </w:tcBorders>
                  <w:noWrap/>
                  <w:vAlign w:val="center"/>
                </w:tcPr>
                <w:p w14:paraId="1CF953F3">
                  <w:pPr>
                    <w:pStyle w:val="34"/>
                    <w:bidi w:val="0"/>
                    <w:rPr>
                      <w:color w:val="auto"/>
                      <w:highlight w:val="none"/>
                    </w:rPr>
                  </w:pPr>
                  <w:r>
                    <w:rPr>
                      <w:color w:val="auto"/>
                      <w:highlight w:val="none"/>
                    </w:rPr>
                    <w:t>年平均质量浓度</w:t>
                  </w:r>
                </w:p>
              </w:tc>
              <w:tc>
                <w:tcPr>
                  <w:tcW w:w="564" w:type="pct"/>
                  <w:tcBorders>
                    <w:top w:val="single" w:color="auto" w:sz="6" w:space="0"/>
                    <w:left w:val="single" w:color="auto" w:sz="6" w:space="0"/>
                    <w:bottom w:val="single" w:color="auto" w:sz="6" w:space="0"/>
                    <w:right w:val="single" w:color="auto" w:sz="6" w:space="0"/>
                  </w:tcBorders>
                  <w:noWrap/>
                  <w:vAlign w:val="center"/>
                </w:tcPr>
                <w:p w14:paraId="6E885104">
                  <w:pPr>
                    <w:pStyle w:val="34"/>
                    <w:bidi w:val="0"/>
                    <w:rPr>
                      <w:rFonts w:hint="default"/>
                      <w:color w:val="auto"/>
                      <w:highlight w:val="none"/>
                      <w:lang w:val="en-US" w:eastAsia="zh-CN"/>
                    </w:rPr>
                  </w:pPr>
                  <w:r>
                    <w:rPr>
                      <w:rFonts w:hint="eastAsia"/>
                      <w:color w:val="auto"/>
                      <w:highlight w:val="none"/>
                      <w:lang w:val="en-US" w:eastAsia="zh-CN"/>
                    </w:rPr>
                    <w:t>27</w:t>
                  </w:r>
                </w:p>
              </w:tc>
              <w:tc>
                <w:tcPr>
                  <w:tcW w:w="564" w:type="pct"/>
                  <w:tcBorders>
                    <w:top w:val="single" w:color="auto" w:sz="6" w:space="0"/>
                    <w:left w:val="single" w:color="auto" w:sz="6" w:space="0"/>
                    <w:bottom w:val="single" w:color="auto" w:sz="6" w:space="0"/>
                    <w:right w:val="single" w:color="auto" w:sz="6" w:space="0"/>
                  </w:tcBorders>
                  <w:noWrap/>
                  <w:vAlign w:val="center"/>
                </w:tcPr>
                <w:p w14:paraId="6BB25E07">
                  <w:pPr>
                    <w:pStyle w:val="34"/>
                    <w:bidi w:val="0"/>
                    <w:rPr>
                      <w:color w:val="auto"/>
                      <w:highlight w:val="none"/>
                    </w:rPr>
                  </w:pPr>
                  <w:r>
                    <w:rPr>
                      <w:color w:val="auto"/>
                      <w:highlight w:val="none"/>
                    </w:rPr>
                    <w:t>35</w:t>
                  </w:r>
                </w:p>
              </w:tc>
              <w:tc>
                <w:tcPr>
                  <w:tcW w:w="564" w:type="pct"/>
                  <w:tcBorders>
                    <w:top w:val="single" w:color="auto" w:sz="6" w:space="0"/>
                    <w:left w:val="single" w:color="auto" w:sz="6" w:space="0"/>
                    <w:bottom w:val="single" w:color="auto" w:sz="6" w:space="0"/>
                    <w:right w:val="single" w:color="auto" w:sz="6" w:space="0"/>
                  </w:tcBorders>
                  <w:noWrap/>
                  <w:vAlign w:val="center"/>
                </w:tcPr>
                <w:p w14:paraId="77740597">
                  <w:pPr>
                    <w:pStyle w:val="34"/>
                    <w:bidi w:val="0"/>
                    <w:rPr>
                      <w:rFonts w:hint="default"/>
                      <w:color w:val="auto"/>
                      <w:highlight w:val="none"/>
                      <w:lang w:val="en-US" w:eastAsia="zh-CN"/>
                    </w:rPr>
                  </w:pPr>
                  <w:r>
                    <w:rPr>
                      <w:rFonts w:hint="eastAsia"/>
                      <w:color w:val="auto"/>
                      <w:highlight w:val="none"/>
                      <w:lang w:val="en-US" w:eastAsia="zh-CN"/>
                    </w:rPr>
                    <w:t>77.14</w:t>
                  </w:r>
                </w:p>
              </w:tc>
              <w:tc>
                <w:tcPr>
                  <w:tcW w:w="564" w:type="pct"/>
                  <w:tcBorders>
                    <w:top w:val="single" w:color="auto" w:sz="6" w:space="0"/>
                    <w:left w:val="single" w:color="auto" w:sz="6" w:space="0"/>
                    <w:bottom w:val="single" w:color="auto" w:sz="6" w:space="0"/>
                    <w:right w:val="nil"/>
                  </w:tcBorders>
                  <w:noWrap/>
                  <w:vAlign w:val="center"/>
                </w:tcPr>
                <w:p w14:paraId="07EF52C5">
                  <w:pPr>
                    <w:pStyle w:val="34"/>
                    <w:bidi w:val="0"/>
                    <w:rPr>
                      <w:color w:val="auto"/>
                      <w:highlight w:val="none"/>
                    </w:rPr>
                  </w:pPr>
                  <w:r>
                    <w:rPr>
                      <w:color w:val="auto"/>
                      <w:highlight w:val="none"/>
                    </w:rPr>
                    <w:t>达标</w:t>
                  </w:r>
                </w:p>
              </w:tc>
              <w:tc>
                <w:tcPr>
                  <w:tcW w:w="564" w:type="pct"/>
                  <w:tcBorders>
                    <w:top w:val="single" w:color="auto" w:sz="6" w:space="0"/>
                    <w:left w:val="single" w:color="auto" w:sz="6" w:space="0"/>
                    <w:bottom w:val="single" w:color="auto" w:sz="6" w:space="0"/>
                    <w:right w:val="nil"/>
                  </w:tcBorders>
                  <w:noWrap/>
                  <w:vAlign w:val="center"/>
                </w:tcPr>
                <w:p w14:paraId="4FEF1EB1">
                  <w:pPr>
                    <w:pStyle w:val="34"/>
                    <w:bidi w:val="0"/>
                    <w:rPr>
                      <w:rFonts w:hint="default" w:eastAsia="宋体"/>
                      <w:color w:val="auto"/>
                      <w:highlight w:val="none"/>
                      <w:lang w:val="en-US" w:eastAsia="zh-CN"/>
                    </w:rPr>
                  </w:pPr>
                  <w:r>
                    <w:rPr>
                      <w:rFonts w:hint="eastAsia"/>
                      <w:color w:val="auto"/>
                      <w:highlight w:val="none"/>
                      <w:lang w:val="en-US" w:eastAsia="zh-CN"/>
                    </w:rPr>
                    <w:t>30</w:t>
                  </w:r>
                </w:p>
              </w:tc>
              <w:tc>
                <w:tcPr>
                  <w:tcW w:w="564" w:type="pct"/>
                  <w:tcBorders>
                    <w:top w:val="single" w:color="auto" w:sz="6" w:space="0"/>
                    <w:left w:val="single" w:color="auto" w:sz="6" w:space="0"/>
                    <w:bottom w:val="single" w:color="auto" w:sz="6" w:space="0"/>
                    <w:right w:val="nil"/>
                  </w:tcBorders>
                  <w:noWrap/>
                  <w:vAlign w:val="center"/>
                </w:tcPr>
                <w:p w14:paraId="00ABE3DB">
                  <w:pPr>
                    <w:pStyle w:val="34"/>
                    <w:bidi w:val="0"/>
                    <w:rPr>
                      <w:rFonts w:hint="default" w:eastAsia="宋体"/>
                      <w:color w:val="auto"/>
                      <w:highlight w:val="none"/>
                      <w:lang w:val="en-US" w:eastAsia="zh-CN"/>
                    </w:rPr>
                  </w:pPr>
                  <w:r>
                    <w:rPr>
                      <w:rFonts w:hint="eastAsia"/>
                      <w:color w:val="auto"/>
                      <w:highlight w:val="none"/>
                      <w:lang w:val="en-US" w:eastAsia="zh-CN"/>
                    </w:rPr>
                    <w:t>90</w:t>
                  </w:r>
                </w:p>
              </w:tc>
              <w:tc>
                <w:tcPr>
                  <w:tcW w:w="855" w:type="dxa"/>
                  <w:tcBorders>
                    <w:top w:val="single" w:color="auto" w:sz="6" w:space="0"/>
                    <w:left w:val="single" w:color="auto" w:sz="6" w:space="0"/>
                    <w:bottom w:val="single" w:color="auto" w:sz="6" w:space="0"/>
                    <w:right w:val="nil"/>
                  </w:tcBorders>
                  <w:noWrap/>
                  <w:vAlign w:val="center"/>
                </w:tcPr>
                <w:p w14:paraId="299FAAC3">
                  <w:pPr>
                    <w:pStyle w:val="34"/>
                    <w:bidi w:val="0"/>
                    <w:ind w:firstLine="0" w:firstLineChars="0"/>
                    <w:rPr>
                      <w:color w:val="auto"/>
                      <w:highlight w:val="none"/>
                    </w:rPr>
                  </w:pPr>
                  <w:r>
                    <w:rPr>
                      <w:color w:val="auto"/>
                      <w:highlight w:val="none"/>
                    </w:rPr>
                    <w:t>达标</w:t>
                  </w:r>
                </w:p>
              </w:tc>
            </w:tr>
            <w:tr w14:paraId="395A79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60" w:type="pct"/>
                  <w:tcBorders>
                    <w:top w:val="single" w:color="auto" w:sz="6" w:space="0"/>
                    <w:left w:val="nil"/>
                    <w:bottom w:val="single" w:color="auto" w:sz="6" w:space="0"/>
                    <w:right w:val="single" w:color="auto" w:sz="6" w:space="0"/>
                  </w:tcBorders>
                  <w:noWrap/>
                  <w:vAlign w:val="center"/>
                </w:tcPr>
                <w:p w14:paraId="6D1A7C44">
                  <w:pPr>
                    <w:pStyle w:val="34"/>
                    <w:bidi w:val="0"/>
                    <w:rPr>
                      <w:color w:val="auto"/>
                      <w:highlight w:val="none"/>
                    </w:rPr>
                  </w:pPr>
                  <w:r>
                    <w:rPr>
                      <w:color w:val="auto"/>
                      <w:highlight w:val="none"/>
                    </w:rPr>
                    <w:t>PM</w:t>
                  </w:r>
                  <w:r>
                    <w:rPr>
                      <w:color w:val="auto"/>
                      <w:highlight w:val="none"/>
                      <w:vertAlign w:val="subscript"/>
                    </w:rPr>
                    <w:t>10</w:t>
                  </w:r>
                </w:p>
              </w:tc>
              <w:tc>
                <w:tcPr>
                  <w:tcW w:w="583" w:type="pct"/>
                  <w:tcBorders>
                    <w:top w:val="single" w:color="auto" w:sz="6" w:space="0"/>
                    <w:left w:val="single" w:color="auto" w:sz="6" w:space="0"/>
                    <w:bottom w:val="single" w:color="auto" w:sz="6" w:space="0"/>
                    <w:right w:val="single" w:color="auto" w:sz="6" w:space="0"/>
                  </w:tcBorders>
                  <w:noWrap/>
                  <w:vAlign w:val="center"/>
                </w:tcPr>
                <w:p w14:paraId="1ECD5889">
                  <w:pPr>
                    <w:pStyle w:val="34"/>
                    <w:bidi w:val="0"/>
                    <w:rPr>
                      <w:color w:val="auto"/>
                      <w:highlight w:val="none"/>
                    </w:rPr>
                  </w:pPr>
                  <w:r>
                    <w:rPr>
                      <w:color w:val="auto"/>
                      <w:highlight w:val="none"/>
                    </w:rPr>
                    <w:t>年平均质量浓度</w:t>
                  </w:r>
                </w:p>
              </w:tc>
              <w:tc>
                <w:tcPr>
                  <w:tcW w:w="564" w:type="pct"/>
                  <w:tcBorders>
                    <w:top w:val="single" w:color="auto" w:sz="6" w:space="0"/>
                    <w:left w:val="single" w:color="auto" w:sz="6" w:space="0"/>
                    <w:bottom w:val="single" w:color="auto" w:sz="6" w:space="0"/>
                    <w:right w:val="single" w:color="auto" w:sz="6" w:space="0"/>
                  </w:tcBorders>
                  <w:noWrap/>
                  <w:vAlign w:val="center"/>
                </w:tcPr>
                <w:p w14:paraId="2CADB655">
                  <w:pPr>
                    <w:pStyle w:val="34"/>
                    <w:bidi w:val="0"/>
                    <w:rPr>
                      <w:rFonts w:hint="default"/>
                      <w:color w:val="auto"/>
                      <w:highlight w:val="none"/>
                      <w:lang w:val="en-US" w:eastAsia="zh-CN"/>
                    </w:rPr>
                  </w:pPr>
                  <w:r>
                    <w:rPr>
                      <w:rFonts w:hint="eastAsia"/>
                      <w:color w:val="auto"/>
                      <w:highlight w:val="none"/>
                      <w:lang w:val="en-US" w:eastAsia="zh-CN"/>
                    </w:rPr>
                    <w:t>43</w:t>
                  </w:r>
                </w:p>
              </w:tc>
              <w:tc>
                <w:tcPr>
                  <w:tcW w:w="564" w:type="pct"/>
                  <w:tcBorders>
                    <w:top w:val="single" w:color="auto" w:sz="6" w:space="0"/>
                    <w:left w:val="single" w:color="auto" w:sz="6" w:space="0"/>
                    <w:bottom w:val="single" w:color="auto" w:sz="6" w:space="0"/>
                    <w:right w:val="single" w:color="auto" w:sz="6" w:space="0"/>
                  </w:tcBorders>
                  <w:noWrap/>
                  <w:vAlign w:val="center"/>
                </w:tcPr>
                <w:p w14:paraId="21D89946">
                  <w:pPr>
                    <w:pStyle w:val="34"/>
                    <w:bidi w:val="0"/>
                    <w:rPr>
                      <w:color w:val="auto"/>
                      <w:highlight w:val="none"/>
                    </w:rPr>
                  </w:pPr>
                  <w:r>
                    <w:rPr>
                      <w:color w:val="auto"/>
                      <w:highlight w:val="none"/>
                    </w:rPr>
                    <w:t>70</w:t>
                  </w:r>
                </w:p>
              </w:tc>
              <w:tc>
                <w:tcPr>
                  <w:tcW w:w="564" w:type="pct"/>
                  <w:tcBorders>
                    <w:top w:val="single" w:color="auto" w:sz="6" w:space="0"/>
                    <w:left w:val="single" w:color="auto" w:sz="6" w:space="0"/>
                    <w:bottom w:val="single" w:color="auto" w:sz="6" w:space="0"/>
                    <w:right w:val="single" w:color="auto" w:sz="6" w:space="0"/>
                  </w:tcBorders>
                  <w:noWrap/>
                  <w:vAlign w:val="center"/>
                </w:tcPr>
                <w:p w14:paraId="05005086">
                  <w:pPr>
                    <w:pStyle w:val="34"/>
                    <w:bidi w:val="0"/>
                    <w:rPr>
                      <w:rFonts w:hint="default"/>
                      <w:color w:val="auto"/>
                      <w:highlight w:val="none"/>
                      <w:lang w:val="en-US" w:eastAsia="zh-CN"/>
                    </w:rPr>
                  </w:pPr>
                  <w:r>
                    <w:rPr>
                      <w:rFonts w:hint="eastAsia"/>
                      <w:color w:val="auto"/>
                      <w:highlight w:val="none"/>
                      <w:lang w:val="en-US" w:eastAsia="zh-CN"/>
                    </w:rPr>
                    <w:t>61.43</w:t>
                  </w:r>
                </w:p>
              </w:tc>
              <w:tc>
                <w:tcPr>
                  <w:tcW w:w="564" w:type="pct"/>
                  <w:tcBorders>
                    <w:top w:val="single" w:color="auto" w:sz="6" w:space="0"/>
                    <w:left w:val="single" w:color="auto" w:sz="6" w:space="0"/>
                    <w:bottom w:val="single" w:color="auto" w:sz="6" w:space="0"/>
                    <w:right w:val="nil"/>
                  </w:tcBorders>
                  <w:noWrap/>
                  <w:vAlign w:val="center"/>
                </w:tcPr>
                <w:p w14:paraId="566B6055">
                  <w:pPr>
                    <w:pStyle w:val="34"/>
                    <w:bidi w:val="0"/>
                    <w:rPr>
                      <w:color w:val="auto"/>
                      <w:highlight w:val="none"/>
                    </w:rPr>
                  </w:pPr>
                  <w:r>
                    <w:rPr>
                      <w:color w:val="auto"/>
                      <w:highlight w:val="none"/>
                    </w:rPr>
                    <w:t>达标</w:t>
                  </w:r>
                </w:p>
              </w:tc>
              <w:tc>
                <w:tcPr>
                  <w:tcW w:w="564" w:type="pct"/>
                  <w:tcBorders>
                    <w:top w:val="single" w:color="auto" w:sz="6" w:space="0"/>
                    <w:left w:val="single" w:color="auto" w:sz="6" w:space="0"/>
                    <w:bottom w:val="single" w:color="auto" w:sz="6" w:space="0"/>
                    <w:right w:val="nil"/>
                  </w:tcBorders>
                  <w:noWrap/>
                  <w:vAlign w:val="center"/>
                </w:tcPr>
                <w:p w14:paraId="3498C4EA">
                  <w:pPr>
                    <w:pStyle w:val="34"/>
                    <w:bidi w:val="0"/>
                    <w:rPr>
                      <w:rFonts w:hint="default" w:eastAsia="宋体"/>
                      <w:color w:val="auto"/>
                      <w:highlight w:val="none"/>
                      <w:lang w:val="en-US" w:eastAsia="zh-CN"/>
                    </w:rPr>
                  </w:pPr>
                  <w:r>
                    <w:rPr>
                      <w:rFonts w:hint="eastAsia"/>
                      <w:color w:val="auto"/>
                      <w:highlight w:val="none"/>
                      <w:lang w:val="en-US" w:eastAsia="zh-CN"/>
                    </w:rPr>
                    <w:t>60</w:t>
                  </w:r>
                </w:p>
              </w:tc>
              <w:tc>
                <w:tcPr>
                  <w:tcW w:w="564" w:type="pct"/>
                  <w:tcBorders>
                    <w:top w:val="single" w:color="auto" w:sz="6" w:space="0"/>
                    <w:left w:val="single" w:color="auto" w:sz="6" w:space="0"/>
                    <w:bottom w:val="single" w:color="auto" w:sz="6" w:space="0"/>
                    <w:right w:val="nil"/>
                  </w:tcBorders>
                  <w:noWrap/>
                  <w:vAlign w:val="center"/>
                </w:tcPr>
                <w:p w14:paraId="398C00E5">
                  <w:pPr>
                    <w:pStyle w:val="34"/>
                    <w:bidi w:val="0"/>
                    <w:rPr>
                      <w:rFonts w:hint="default" w:eastAsia="宋体"/>
                      <w:color w:val="auto"/>
                      <w:highlight w:val="none"/>
                      <w:lang w:val="en-US" w:eastAsia="zh-CN"/>
                    </w:rPr>
                  </w:pPr>
                  <w:r>
                    <w:rPr>
                      <w:rFonts w:hint="eastAsia"/>
                      <w:color w:val="auto"/>
                      <w:highlight w:val="none"/>
                      <w:lang w:val="en-US" w:eastAsia="zh-CN"/>
                    </w:rPr>
                    <w:t>71.7</w:t>
                  </w:r>
                </w:p>
              </w:tc>
              <w:tc>
                <w:tcPr>
                  <w:tcW w:w="855" w:type="dxa"/>
                  <w:tcBorders>
                    <w:top w:val="single" w:color="auto" w:sz="6" w:space="0"/>
                    <w:left w:val="single" w:color="auto" w:sz="6" w:space="0"/>
                    <w:bottom w:val="single" w:color="auto" w:sz="6" w:space="0"/>
                    <w:right w:val="nil"/>
                  </w:tcBorders>
                  <w:noWrap/>
                  <w:vAlign w:val="center"/>
                </w:tcPr>
                <w:p w14:paraId="1A596493">
                  <w:pPr>
                    <w:pStyle w:val="34"/>
                    <w:bidi w:val="0"/>
                    <w:ind w:firstLine="0" w:firstLineChars="0"/>
                    <w:rPr>
                      <w:color w:val="auto"/>
                      <w:highlight w:val="none"/>
                    </w:rPr>
                  </w:pPr>
                  <w:r>
                    <w:rPr>
                      <w:color w:val="auto"/>
                      <w:highlight w:val="none"/>
                    </w:rPr>
                    <w:t>达标</w:t>
                  </w:r>
                </w:p>
              </w:tc>
            </w:tr>
            <w:tr w14:paraId="4E72A9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60" w:type="pct"/>
                  <w:tcBorders>
                    <w:top w:val="single" w:color="auto" w:sz="6" w:space="0"/>
                    <w:left w:val="nil"/>
                    <w:bottom w:val="single" w:color="auto" w:sz="6" w:space="0"/>
                    <w:right w:val="single" w:color="auto" w:sz="6" w:space="0"/>
                  </w:tcBorders>
                  <w:noWrap/>
                  <w:vAlign w:val="center"/>
                </w:tcPr>
                <w:p w14:paraId="2B7B2CBE">
                  <w:pPr>
                    <w:pStyle w:val="34"/>
                    <w:bidi w:val="0"/>
                    <w:rPr>
                      <w:color w:val="auto"/>
                      <w:highlight w:val="none"/>
                    </w:rPr>
                  </w:pPr>
                  <w:r>
                    <w:rPr>
                      <w:color w:val="auto"/>
                      <w:highlight w:val="none"/>
                    </w:rPr>
                    <w:t>NO</w:t>
                  </w:r>
                  <w:r>
                    <w:rPr>
                      <w:color w:val="auto"/>
                      <w:highlight w:val="none"/>
                      <w:vertAlign w:val="subscript"/>
                    </w:rPr>
                    <w:t>2</w:t>
                  </w:r>
                </w:p>
              </w:tc>
              <w:tc>
                <w:tcPr>
                  <w:tcW w:w="583" w:type="pct"/>
                  <w:tcBorders>
                    <w:top w:val="single" w:color="auto" w:sz="6" w:space="0"/>
                    <w:left w:val="single" w:color="auto" w:sz="6" w:space="0"/>
                    <w:bottom w:val="single" w:color="auto" w:sz="6" w:space="0"/>
                    <w:right w:val="single" w:color="auto" w:sz="6" w:space="0"/>
                  </w:tcBorders>
                  <w:noWrap/>
                  <w:vAlign w:val="center"/>
                </w:tcPr>
                <w:p w14:paraId="3C59AACB">
                  <w:pPr>
                    <w:pStyle w:val="34"/>
                    <w:bidi w:val="0"/>
                    <w:rPr>
                      <w:color w:val="auto"/>
                      <w:highlight w:val="none"/>
                    </w:rPr>
                  </w:pPr>
                  <w:r>
                    <w:rPr>
                      <w:color w:val="auto"/>
                      <w:highlight w:val="none"/>
                    </w:rPr>
                    <w:t>年平均质量浓度</w:t>
                  </w:r>
                </w:p>
              </w:tc>
              <w:tc>
                <w:tcPr>
                  <w:tcW w:w="564" w:type="pct"/>
                  <w:tcBorders>
                    <w:top w:val="single" w:color="auto" w:sz="6" w:space="0"/>
                    <w:left w:val="single" w:color="auto" w:sz="6" w:space="0"/>
                    <w:bottom w:val="single" w:color="auto" w:sz="6" w:space="0"/>
                    <w:right w:val="single" w:color="auto" w:sz="6" w:space="0"/>
                  </w:tcBorders>
                  <w:noWrap/>
                  <w:vAlign w:val="center"/>
                </w:tcPr>
                <w:p w14:paraId="126AC971">
                  <w:pPr>
                    <w:pStyle w:val="34"/>
                    <w:bidi w:val="0"/>
                    <w:rPr>
                      <w:rFonts w:hint="default"/>
                      <w:color w:val="auto"/>
                      <w:highlight w:val="none"/>
                      <w:lang w:val="en-US" w:eastAsia="zh-CN"/>
                    </w:rPr>
                  </w:pPr>
                  <w:r>
                    <w:rPr>
                      <w:rFonts w:hint="eastAsia"/>
                      <w:color w:val="auto"/>
                      <w:highlight w:val="none"/>
                      <w:lang w:val="en-US" w:eastAsia="zh-CN"/>
                    </w:rPr>
                    <w:t>15</w:t>
                  </w:r>
                </w:p>
              </w:tc>
              <w:tc>
                <w:tcPr>
                  <w:tcW w:w="564" w:type="pct"/>
                  <w:tcBorders>
                    <w:top w:val="single" w:color="auto" w:sz="6" w:space="0"/>
                    <w:left w:val="single" w:color="auto" w:sz="6" w:space="0"/>
                    <w:bottom w:val="single" w:color="auto" w:sz="6" w:space="0"/>
                    <w:right w:val="single" w:color="auto" w:sz="6" w:space="0"/>
                  </w:tcBorders>
                  <w:noWrap/>
                  <w:vAlign w:val="center"/>
                </w:tcPr>
                <w:p w14:paraId="4DBD8E44">
                  <w:pPr>
                    <w:pStyle w:val="34"/>
                    <w:bidi w:val="0"/>
                    <w:rPr>
                      <w:color w:val="auto"/>
                      <w:highlight w:val="none"/>
                    </w:rPr>
                  </w:pPr>
                  <w:r>
                    <w:rPr>
                      <w:color w:val="auto"/>
                      <w:highlight w:val="none"/>
                    </w:rPr>
                    <w:t>40</w:t>
                  </w:r>
                </w:p>
              </w:tc>
              <w:tc>
                <w:tcPr>
                  <w:tcW w:w="564" w:type="pct"/>
                  <w:tcBorders>
                    <w:top w:val="single" w:color="auto" w:sz="6" w:space="0"/>
                    <w:left w:val="single" w:color="auto" w:sz="6" w:space="0"/>
                    <w:bottom w:val="single" w:color="auto" w:sz="6" w:space="0"/>
                    <w:right w:val="single" w:color="auto" w:sz="6" w:space="0"/>
                  </w:tcBorders>
                  <w:noWrap/>
                  <w:vAlign w:val="center"/>
                </w:tcPr>
                <w:p w14:paraId="1C580DEC">
                  <w:pPr>
                    <w:pStyle w:val="34"/>
                    <w:bidi w:val="0"/>
                    <w:rPr>
                      <w:rFonts w:hint="default"/>
                      <w:color w:val="auto"/>
                      <w:highlight w:val="none"/>
                      <w:lang w:val="en-US" w:eastAsia="zh-CN"/>
                    </w:rPr>
                  </w:pPr>
                  <w:r>
                    <w:rPr>
                      <w:rFonts w:hint="eastAsia"/>
                      <w:color w:val="auto"/>
                      <w:highlight w:val="none"/>
                      <w:lang w:val="en-US" w:eastAsia="zh-CN"/>
                    </w:rPr>
                    <w:t>37.5</w:t>
                  </w:r>
                </w:p>
              </w:tc>
              <w:tc>
                <w:tcPr>
                  <w:tcW w:w="564" w:type="pct"/>
                  <w:tcBorders>
                    <w:top w:val="single" w:color="auto" w:sz="6" w:space="0"/>
                    <w:left w:val="single" w:color="auto" w:sz="6" w:space="0"/>
                    <w:bottom w:val="single" w:color="auto" w:sz="6" w:space="0"/>
                    <w:right w:val="nil"/>
                  </w:tcBorders>
                  <w:noWrap/>
                  <w:vAlign w:val="center"/>
                </w:tcPr>
                <w:p w14:paraId="261E0F7F">
                  <w:pPr>
                    <w:pStyle w:val="34"/>
                    <w:bidi w:val="0"/>
                    <w:rPr>
                      <w:color w:val="auto"/>
                      <w:highlight w:val="none"/>
                    </w:rPr>
                  </w:pPr>
                  <w:r>
                    <w:rPr>
                      <w:color w:val="auto"/>
                      <w:highlight w:val="none"/>
                    </w:rPr>
                    <w:t>达标</w:t>
                  </w:r>
                </w:p>
              </w:tc>
              <w:tc>
                <w:tcPr>
                  <w:tcW w:w="564" w:type="pct"/>
                  <w:tcBorders>
                    <w:top w:val="single" w:color="auto" w:sz="6" w:space="0"/>
                    <w:left w:val="single" w:color="auto" w:sz="6" w:space="0"/>
                    <w:bottom w:val="single" w:color="auto" w:sz="6" w:space="0"/>
                    <w:right w:val="nil"/>
                  </w:tcBorders>
                  <w:noWrap/>
                  <w:vAlign w:val="center"/>
                </w:tcPr>
                <w:p w14:paraId="4A9062D1">
                  <w:pPr>
                    <w:pStyle w:val="34"/>
                    <w:bidi w:val="0"/>
                    <w:rPr>
                      <w:rFonts w:hint="default" w:eastAsia="宋体"/>
                      <w:color w:val="auto"/>
                      <w:highlight w:val="none"/>
                      <w:lang w:val="en-US" w:eastAsia="zh-CN"/>
                    </w:rPr>
                  </w:pPr>
                  <w:r>
                    <w:rPr>
                      <w:rFonts w:hint="eastAsia"/>
                      <w:color w:val="auto"/>
                      <w:highlight w:val="none"/>
                      <w:lang w:val="en-US" w:eastAsia="zh-CN"/>
                    </w:rPr>
                    <w:t>40</w:t>
                  </w:r>
                </w:p>
              </w:tc>
              <w:tc>
                <w:tcPr>
                  <w:tcW w:w="852" w:type="dxa"/>
                  <w:tcBorders>
                    <w:top w:val="single" w:color="auto" w:sz="6" w:space="0"/>
                    <w:left w:val="single" w:color="auto" w:sz="6" w:space="0"/>
                    <w:bottom w:val="single" w:color="auto" w:sz="6" w:space="0"/>
                    <w:right w:val="nil"/>
                  </w:tcBorders>
                  <w:noWrap/>
                  <w:vAlign w:val="center"/>
                </w:tcPr>
                <w:p w14:paraId="6D3E46F8">
                  <w:pPr>
                    <w:pStyle w:val="34"/>
                    <w:bidi w:val="0"/>
                    <w:ind w:firstLine="0" w:firstLineChars="0"/>
                    <w:rPr>
                      <w:color w:val="auto"/>
                      <w:highlight w:val="none"/>
                    </w:rPr>
                  </w:pPr>
                  <w:r>
                    <w:rPr>
                      <w:rFonts w:hint="eastAsia"/>
                      <w:color w:val="auto"/>
                      <w:highlight w:val="none"/>
                      <w:lang w:val="en-US" w:eastAsia="zh-CN"/>
                    </w:rPr>
                    <w:t>37.5</w:t>
                  </w:r>
                </w:p>
              </w:tc>
              <w:tc>
                <w:tcPr>
                  <w:tcW w:w="855" w:type="dxa"/>
                  <w:tcBorders>
                    <w:top w:val="single" w:color="auto" w:sz="6" w:space="0"/>
                    <w:left w:val="single" w:color="auto" w:sz="6" w:space="0"/>
                    <w:bottom w:val="single" w:color="auto" w:sz="6" w:space="0"/>
                    <w:right w:val="nil"/>
                  </w:tcBorders>
                  <w:noWrap/>
                  <w:vAlign w:val="center"/>
                </w:tcPr>
                <w:p w14:paraId="30D01B4C">
                  <w:pPr>
                    <w:pStyle w:val="34"/>
                    <w:bidi w:val="0"/>
                    <w:ind w:firstLine="0" w:firstLineChars="0"/>
                    <w:rPr>
                      <w:color w:val="auto"/>
                      <w:highlight w:val="none"/>
                    </w:rPr>
                  </w:pPr>
                  <w:r>
                    <w:rPr>
                      <w:color w:val="auto"/>
                      <w:highlight w:val="none"/>
                    </w:rPr>
                    <w:t>达标</w:t>
                  </w:r>
                </w:p>
              </w:tc>
            </w:tr>
            <w:tr w14:paraId="5B460B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60" w:type="pct"/>
                  <w:tcBorders>
                    <w:top w:val="single" w:color="auto" w:sz="6" w:space="0"/>
                    <w:left w:val="nil"/>
                    <w:bottom w:val="single" w:color="auto" w:sz="6" w:space="0"/>
                    <w:right w:val="single" w:color="auto" w:sz="6" w:space="0"/>
                  </w:tcBorders>
                  <w:noWrap/>
                  <w:vAlign w:val="center"/>
                </w:tcPr>
                <w:p w14:paraId="5685378D">
                  <w:pPr>
                    <w:pStyle w:val="34"/>
                    <w:bidi w:val="0"/>
                    <w:rPr>
                      <w:color w:val="auto"/>
                      <w:highlight w:val="none"/>
                    </w:rPr>
                  </w:pPr>
                  <w:r>
                    <w:rPr>
                      <w:color w:val="auto"/>
                      <w:highlight w:val="none"/>
                    </w:rPr>
                    <w:t>SO</w:t>
                  </w:r>
                  <w:r>
                    <w:rPr>
                      <w:color w:val="auto"/>
                      <w:highlight w:val="none"/>
                      <w:vertAlign w:val="subscript"/>
                    </w:rPr>
                    <w:t>2</w:t>
                  </w:r>
                </w:p>
              </w:tc>
              <w:tc>
                <w:tcPr>
                  <w:tcW w:w="583" w:type="pct"/>
                  <w:tcBorders>
                    <w:top w:val="single" w:color="auto" w:sz="6" w:space="0"/>
                    <w:left w:val="single" w:color="auto" w:sz="6" w:space="0"/>
                    <w:bottom w:val="single" w:color="auto" w:sz="6" w:space="0"/>
                    <w:right w:val="single" w:color="auto" w:sz="6" w:space="0"/>
                  </w:tcBorders>
                  <w:noWrap/>
                  <w:vAlign w:val="center"/>
                </w:tcPr>
                <w:p w14:paraId="09FDF824">
                  <w:pPr>
                    <w:pStyle w:val="34"/>
                    <w:bidi w:val="0"/>
                    <w:rPr>
                      <w:color w:val="auto"/>
                      <w:highlight w:val="none"/>
                    </w:rPr>
                  </w:pPr>
                  <w:r>
                    <w:rPr>
                      <w:color w:val="auto"/>
                      <w:highlight w:val="none"/>
                    </w:rPr>
                    <w:t>年平均质量浓度</w:t>
                  </w:r>
                </w:p>
              </w:tc>
              <w:tc>
                <w:tcPr>
                  <w:tcW w:w="564" w:type="pct"/>
                  <w:tcBorders>
                    <w:top w:val="single" w:color="auto" w:sz="6" w:space="0"/>
                    <w:left w:val="single" w:color="auto" w:sz="6" w:space="0"/>
                    <w:bottom w:val="single" w:color="auto" w:sz="6" w:space="0"/>
                    <w:right w:val="single" w:color="auto" w:sz="6" w:space="0"/>
                  </w:tcBorders>
                  <w:noWrap/>
                  <w:vAlign w:val="center"/>
                </w:tcPr>
                <w:p w14:paraId="3E597A24">
                  <w:pPr>
                    <w:pStyle w:val="34"/>
                    <w:bidi w:val="0"/>
                    <w:rPr>
                      <w:rFonts w:hint="default"/>
                      <w:color w:val="auto"/>
                      <w:highlight w:val="none"/>
                      <w:lang w:val="en-US" w:eastAsia="zh-CN"/>
                    </w:rPr>
                  </w:pPr>
                  <w:r>
                    <w:rPr>
                      <w:rFonts w:hint="eastAsia"/>
                      <w:color w:val="auto"/>
                      <w:highlight w:val="none"/>
                      <w:lang w:val="en-US" w:eastAsia="zh-CN"/>
                    </w:rPr>
                    <w:t>11</w:t>
                  </w:r>
                </w:p>
              </w:tc>
              <w:tc>
                <w:tcPr>
                  <w:tcW w:w="564" w:type="pct"/>
                  <w:tcBorders>
                    <w:top w:val="single" w:color="auto" w:sz="6" w:space="0"/>
                    <w:left w:val="single" w:color="auto" w:sz="6" w:space="0"/>
                    <w:bottom w:val="single" w:color="auto" w:sz="6" w:space="0"/>
                    <w:right w:val="single" w:color="auto" w:sz="6" w:space="0"/>
                  </w:tcBorders>
                  <w:noWrap/>
                  <w:vAlign w:val="center"/>
                </w:tcPr>
                <w:p w14:paraId="6F36E3A8">
                  <w:pPr>
                    <w:pStyle w:val="34"/>
                    <w:bidi w:val="0"/>
                    <w:rPr>
                      <w:color w:val="auto"/>
                      <w:highlight w:val="none"/>
                    </w:rPr>
                  </w:pPr>
                  <w:r>
                    <w:rPr>
                      <w:color w:val="auto"/>
                      <w:highlight w:val="none"/>
                    </w:rPr>
                    <w:t>60</w:t>
                  </w:r>
                </w:p>
              </w:tc>
              <w:tc>
                <w:tcPr>
                  <w:tcW w:w="564" w:type="pct"/>
                  <w:tcBorders>
                    <w:top w:val="single" w:color="auto" w:sz="6" w:space="0"/>
                    <w:left w:val="single" w:color="auto" w:sz="6" w:space="0"/>
                    <w:bottom w:val="single" w:color="auto" w:sz="6" w:space="0"/>
                    <w:right w:val="single" w:color="auto" w:sz="6" w:space="0"/>
                  </w:tcBorders>
                  <w:noWrap/>
                  <w:vAlign w:val="center"/>
                </w:tcPr>
                <w:p w14:paraId="13755456">
                  <w:pPr>
                    <w:pStyle w:val="34"/>
                    <w:bidi w:val="0"/>
                    <w:rPr>
                      <w:rFonts w:hint="default"/>
                      <w:color w:val="auto"/>
                      <w:highlight w:val="none"/>
                      <w:lang w:val="en-US" w:eastAsia="zh-CN"/>
                    </w:rPr>
                  </w:pPr>
                  <w:r>
                    <w:rPr>
                      <w:rFonts w:hint="eastAsia"/>
                      <w:color w:val="auto"/>
                      <w:highlight w:val="none"/>
                      <w:lang w:val="en-US" w:eastAsia="zh-CN"/>
                    </w:rPr>
                    <w:t>18.33</w:t>
                  </w:r>
                </w:p>
              </w:tc>
              <w:tc>
                <w:tcPr>
                  <w:tcW w:w="564" w:type="pct"/>
                  <w:tcBorders>
                    <w:top w:val="single" w:color="auto" w:sz="6" w:space="0"/>
                    <w:left w:val="single" w:color="auto" w:sz="6" w:space="0"/>
                    <w:bottom w:val="single" w:color="auto" w:sz="6" w:space="0"/>
                    <w:right w:val="nil"/>
                  </w:tcBorders>
                  <w:noWrap/>
                  <w:vAlign w:val="center"/>
                </w:tcPr>
                <w:p w14:paraId="152A4604">
                  <w:pPr>
                    <w:pStyle w:val="34"/>
                    <w:bidi w:val="0"/>
                    <w:rPr>
                      <w:color w:val="auto"/>
                      <w:highlight w:val="none"/>
                    </w:rPr>
                  </w:pPr>
                  <w:r>
                    <w:rPr>
                      <w:color w:val="auto"/>
                      <w:highlight w:val="none"/>
                    </w:rPr>
                    <w:t>达标</w:t>
                  </w:r>
                </w:p>
              </w:tc>
              <w:tc>
                <w:tcPr>
                  <w:tcW w:w="564" w:type="pct"/>
                  <w:tcBorders>
                    <w:top w:val="single" w:color="auto" w:sz="6" w:space="0"/>
                    <w:left w:val="single" w:color="auto" w:sz="6" w:space="0"/>
                    <w:bottom w:val="single" w:color="auto" w:sz="6" w:space="0"/>
                    <w:right w:val="nil"/>
                  </w:tcBorders>
                  <w:noWrap/>
                  <w:vAlign w:val="center"/>
                </w:tcPr>
                <w:p w14:paraId="76814E52">
                  <w:pPr>
                    <w:pStyle w:val="34"/>
                    <w:bidi w:val="0"/>
                    <w:rPr>
                      <w:rFonts w:hint="default" w:eastAsia="宋体"/>
                      <w:color w:val="auto"/>
                      <w:highlight w:val="none"/>
                      <w:lang w:val="en-US" w:eastAsia="zh-CN"/>
                    </w:rPr>
                  </w:pPr>
                  <w:r>
                    <w:rPr>
                      <w:rFonts w:hint="eastAsia"/>
                      <w:color w:val="auto"/>
                      <w:highlight w:val="none"/>
                      <w:lang w:val="en-US" w:eastAsia="zh-CN"/>
                    </w:rPr>
                    <w:t>60</w:t>
                  </w:r>
                </w:p>
              </w:tc>
              <w:tc>
                <w:tcPr>
                  <w:tcW w:w="852" w:type="dxa"/>
                  <w:tcBorders>
                    <w:top w:val="single" w:color="auto" w:sz="6" w:space="0"/>
                    <w:left w:val="single" w:color="auto" w:sz="6" w:space="0"/>
                    <w:bottom w:val="single" w:color="auto" w:sz="6" w:space="0"/>
                    <w:right w:val="nil"/>
                  </w:tcBorders>
                  <w:noWrap/>
                  <w:vAlign w:val="center"/>
                </w:tcPr>
                <w:p w14:paraId="3BB713CD">
                  <w:pPr>
                    <w:pStyle w:val="34"/>
                    <w:bidi w:val="0"/>
                    <w:ind w:firstLine="0" w:firstLineChars="0"/>
                    <w:rPr>
                      <w:color w:val="auto"/>
                      <w:highlight w:val="none"/>
                    </w:rPr>
                  </w:pPr>
                  <w:r>
                    <w:rPr>
                      <w:rFonts w:hint="eastAsia"/>
                      <w:color w:val="auto"/>
                      <w:highlight w:val="none"/>
                      <w:lang w:val="en-US" w:eastAsia="zh-CN"/>
                    </w:rPr>
                    <w:t>18.33</w:t>
                  </w:r>
                </w:p>
              </w:tc>
              <w:tc>
                <w:tcPr>
                  <w:tcW w:w="855" w:type="dxa"/>
                  <w:tcBorders>
                    <w:top w:val="single" w:color="auto" w:sz="6" w:space="0"/>
                    <w:left w:val="single" w:color="auto" w:sz="6" w:space="0"/>
                    <w:bottom w:val="single" w:color="auto" w:sz="6" w:space="0"/>
                    <w:right w:val="nil"/>
                  </w:tcBorders>
                  <w:noWrap/>
                  <w:vAlign w:val="center"/>
                </w:tcPr>
                <w:p w14:paraId="2FEA4B92">
                  <w:pPr>
                    <w:pStyle w:val="34"/>
                    <w:bidi w:val="0"/>
                    <w:ind w:firstLine="0" w:firstLineChars="0"/>
                    <w:rPr>
                      <w:color w:val="auto"/>
                      <w:highlight w:val="none"/>
                    </w:rPr>
                  </w:pPr>
                  <w:r>
                    <w:rPr>
                      <w:color w:val="auto"/>
                      <w:highlight w:val="none"/>
                    </w:rPr>
                    <w:t>达标</w:t>
                  </w:r>
                </w:p>
              </w:tc>
            </w:tr>
            <w:tr w14:paraId="76288B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60" w:type="pct"/>
                  <w:tcBorders>
                    <w:top w:val="single" w:color="auto" w:sz="6" w:space="0"/>
                    <w:left w:val="nil"/>
                    <w:bottom w:val="single" w:color="auto" w:sz="6" w:space="0"/>
                    <w:right w:val="single" w:color="auto" w:sz="6" w:space="0"/>
                  </w:tcBorders>
                  <w:noWrap/>
                  <w:vAlign w:val="center"/>
                </w:tcPr>
                <w:p w14:paraId="0EAFAC18">
                  <w:pPr>
                    <w:pStyle w:val="34"/>
                    <w:bidi w:val="0"/>
                    <w:rPr>
                      <w:color w:val="auto"/>
                      <w:highlight w:val="none"/>
                    </w:rPr>
                  </w:pPr>
                  <w:r>
                    <w:rPr>
                      <w:color w:val="auto"/>
                      <w:highlight w:val="none"/>
                    </w:rPr>
                    <w:t>CO</w:t>
                  </w:r>
                </w:p>
              </w:tc>
              <w:tc>
                <w:tcPr>
                  <w:tcW w:w="583" w:type="pct"/>
                  <w:tcBorders>
                    <w:top w:val="single" w:color="auto" w:sz="6" w:space="0"/>
                    <w:left w:val="single" w:color="auto" w:sz="6" w:space="0"/>
                    <w:bottom w:val="single" w:color="auto" w:sz="6" w:space="0"/>
                    <w:right w:val="single" w:color="auto" w:sz="6" w:space="0"/>
                  </w:tcBorders>
                  <w:noWrap/>
                  <w:vAlign w:val="center"/>
                </w:tcPr>
                <w:p w14:paraId="4DE17BE0">
                  <w:pPr>
                    <w:pStyle w:val="34"/>
                    <w:bidi w:val="0"/>
                    <w:rPr>
                      <w:color w:val="auto"/>
                      <w:highlight w:val="none"/>
                    </w:rPr>
                  </w:pPr>
                  <w:r>
                    <w:rPr>
                      <w:color w:val="auto"/>
                      <w:highlight w:val="none"/>
                    </w:rPr>
                    <w:t>百分位数日平均</w:t>
                  </w:r>
                </w:p>
              </w:tc>
              <w:tc>
                <w:tcPr>
                  <w:tcW w:w="564" w:type="pct"/>
                  <w:tcBorders>
                    <w:top w:val="single" w:color="auto" w:sz="6" w:space="0"/>
                    <w:left w:val="single" w:color="auto" w:sz="6" w:space="0"/>
                    <w:bottom w:val="single" w:color="auto" w:sz="6" w:space="0"/>
                    <w:right w:val="single" w:color="auto" w:sz="6" w:space="0"/>
                  </w:tcBorders>
                  <w:noWrap/>
                  <w:vAlign w:val="center"/>
                </w:tcPr>
                <w:p w14:paraId="0043AE77">
                  <w:pPr>
                    <w:pStyle w:val="34"/>
                    <w:bidi w:val="0"/>
                    <w:rPr>
                      <w:color w:val="auto"/>
                      <w:highlight w:val="none"/>
                    </w:rPr>
                  </w:pPr>
                  <w:r>
                    <w:rPr>
                      <w:rFonts w:hint="eastAsia"/>
                      <w:color w:val="auto"/>
                      <w:highlight w:val="none"/>
                    </w:rPr>
                    <w:t>900</w:t>
                  </w:r>
                </w:p>
              </w:tc>
              <w:tc>
                <w:tcPr>
                  <w:tcW w:w="564" w:type="pct"/>
                  <w:tcBorders>
                    <w:top w:val="single" w:color="auto" w:sz="6" w:space="0"/>
                    <w:left w:val="single" w:color="auto" w:sz="6" w:space="0"/>
                    <w:bottom w:val="single" w:color="auto" w:sz="6" w:space="0"/>
                    <w:right w:val="single" w:color="auto" w:sz="6" w:space="0"/>
                  </w:tcBorders>
                  <w:noWrap/>
                  <w:vAlign w:val="center"/>
                </w:tcPr>
                <w:p w14:paraId="01E587E2">
                  <w:pPr>
                    <w:pStyle w:val="34"/>
                    <w:bidi w:val="0"/>
                    <w:rPr>
                      <w:color w:val="auto"/>
                      <w:highlight w:val="none"/>
                    </w:rPr>
                  </w:pPr>
                  <w:r>
                    <w:rPr>
                      <w:color w:val="auto"/>
                      <w:highlight w:val="none"/>
                    </w:rPr>
                    <w:t>4000</w:t>
                  </w:r>
                </w:p>
              </w:tc>
              <w:tc>
                <w:tcPr>
                  <w:tcW w:w="564" w:type="pct"/>
                  <w:tcBorders>
                    <w:top w:val="single" w:color="auto" w:sz="6" w:space="0"/>
                    <w:left w:val="single" w:color="auto" w:sz="6" w:space="0"/>
                    <w:bottom w:val="single" w:color="auto" w:sz="6" w:space="0"/>
                    <w:right w:val="single" w:color="auto" w:sz="6" w:space="0"/>
                  </w:tcBorders>
                  <w:noWrap/>
                  <w:vAlign w:val="center"/>
                </w:tcPr>
                <w:p w14:paraId="33FD8191">
                  <w:pPr>
                    <w:pStyle w:val="34"/>
                    <w:bidi w:val="0"/>
                    <w:rPr>
                      <w:rFonts w:hint="default"/>
                      <w:color w:val="auto"/>
                      <w:highlight w:val="none"/>
                      <w:lang w:val="en-US" w:eastAsia="zh-CN"/>
                    </w:rPr>
                  </w:pPr>
                  <w:r>
                    <w:rPr>
                      <w:rFonts w:hint="eastAsia"/>
                      <w:color w:val="auto"/>
                      <w:highlight w:val="none"/>
                      <w:lang w:val="en-US" w:eastAsia="zh-CN"/>
                    </w:rPr>
                    <w:t>22.5</w:t>
                  </w:r>
                </w:p>
              </w:tc>
              <w:tc>
                <w:tcPr>
                  <w:tcW w:w="564" w:type="pct"/>
                  <w:tcBorders>
                    <w:top w:val="single" w:color="auto" w:sz="6" w:space="0"/>
                    <w:left w:val="single" w:color="auto" w:sz="6" w:space="0"/>
                    <w:bottom w:val="single" w:color="auto" w:sz="6" w:space="0"/>
                    <w:right w:val="nil"/>
                  </w:tcBorders>
                  <w:noWrap/>
                  <w:vAlign w:val="center"/>
                </w:tcPr>
                <w:p w14:paraId="7322F40B">
                  <w:pPr>
                    <w:pStyle w:val="34"/>
                    <w:bidi w:val="0"/>
                    <w:rPr>
                      <w:color w:val="auto"/>
                      <w:highlight w:val="none"/>
                    </w:rPr>
                  </w:pPr>
                  <w:r>
                    <w:rPr>
                      <w:color w:val="auto"/>
                      <w:highlight w:val="none"/>
                    </w:rPr>
                    <w:t>达标</w:t>
                  </w:r>
                </w:p>
              </w:tc>
              <w:tc>
                <w:tcPr>
                  <w:tcW w:w="564" w:type="pct"/>
                  <w:tcBorders>
                    <w:top w:val="single" w:color="auto" w:sz="6" w:space="0"/>
                    <w:left w:val="single" w:color="auto" w:sz="6" w:space="0"/>
                    <w:bottom w:val="single" w:color="auto" w:sz="6" w:space="0"/>
                    <w:right w:val="nil"/>
                  </w:tcBorders>
                  <w:noWrap/>
                  <w:vAlign w:val="center"/>
                </w:tcPr>
                <w:p w14:paraId="74FF8BE3">
                  <w:pPr>
                    <w:pStyle w:val="34"/>
                    <w:bidi w:val="0"/>
                    <w:rPr>
                      <w:rFonts w:hint="default" w:eastAsia="宋体"/>
                      <w:color w:val="auto"/>
                      <w:highlight w:val="none"/>
                      <w:lang w:val="en-US" w:eastAsia="zh-CN"/>
                    </w:rPr>
                  </w:pPr>
                  <w:r>
                    <w:rPr>
                      <w:rFonts w:hint="eastAsia"/>
                      <w:color w:val="auto"/>
                      <w:highlight w:val="none"/>
                      <w:lang w:val="en-US" w:eastAsia="zh-CN"/>
                    </w:rPr>
                    <w:t>4000</w:t>
                  </w:r>
                </w:p>
              </w:tc>
              <w:tc>
                <w:tcPr>
                  <w:tcW w:w="852" w:type="dxa"/>
                  <w:tcBorders>
                    <w:top w:val="single" w:color="auto" w:sz="6" w:space="0"/>
                    <w:left w:val="single" w:color="auto" w:sz="6" w:space="0"/>
                    <w:bottom w:val="single" w:color="auto" w:sz="6" w:space="0"/>
                    <w:right w:val="nil"/>
                  </w:tcBorders>
                  <w:noWrap/>
                  <w:vAlign w:val="center"/>
                </w:tcPr>
                <w:p w14:paraId="2AF774D6">
                  <w:pPr>
                    <w:pStyle w:val="34"/>
                    <w:bidi w:val="0"/>
                    <w:ind w:firstLine="0" w:firstLineChars="0"/>
                    <w:rPr>
                      <w:color w:val="auto"/>
                      <w:highlight w:val="none"/>
                    </w:rPr>
                  </w:pPr>
                  <w:r>
                    <w:rPr>
                      <w:rFonts w:hint="eastAsia"/>
                      <w:color w:val="auto"/>
                      <w:highlight w:val="none"/>
                      <w:lang w:val="en-US" w:eastAsia="zh-CN"/>
                    </w:rPr>
                    <w:t>22.5</w:t>
                  </w:r>
                </w:p>
              </w:tc>
              <w:tc>
                <w:tcPr>
                  <w:tcW w:w="855" w:type="dxa"/>
                  <w:tcBorders>
                    <w:top w:val="single" w:color="auto" w:sz="6" w:space="0"/>
                    <w:left w:val="single" w:color="auto" w:sz="6" w:space="0"/>
                    <w:bottom w:val="single" w:color="auto" w:sz="6" w:space="0"/>
                    <w:right w:val="nil"/>
                  </w:tcBorders>
                  <w:noWrap/>
                  <w:vAlign w:val="center"/>
                </w:tcPr>
                <w:p w14:paraId="5191D9EA">
                  <w:pPr>
                    <w:pStyle w:val="34"/>
                    <w:bidi w:val="0"/>
                    <w:ind w:firstLine="0" w:firstLineChars="0"/>
                    <w:rPr>
                      <w:color w:val="auto"/>
                      <w:highlight w:val="none"/>
                    </w:rPr>
                  </w:pPr>
                  <w:r>
                    <w:rPr>
                      <w:color w:val="auto"/>
                      <w:highlight w:val="none"/>
                    </w:rPr>
                    <w:t>达标</w:t>
                  </w:r>
                </w:p>
              </w:tc>
            </w:tr>
            <w:tr w14:paraId="3B14C6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60" w:type="pct"/>
                  <w:tcBorders>
                    <w:top w:val="single" w:color="auto" w:sz="6" w:space="0"/>
                    <w:left w:val="nil"/>
                    <w:bottom w:val="single" w:color="auto" w:sz="12" w:space="0"/>
                    <w:right w:val="single" w:color="auto" w:sz="6" w:space="0"/>
                  </w:tcBorders>
                  <w:noWrap/>
                  <w:vAlign w:val="center"/>
                </w:tcPr>
                <w:p w14:paraId="6BE6746F">
                  <w:pPr>
                    <w:pStyle w:val="34"/>
                    <w:bidi w:val="0"/>
                    <w:rPr>
                      <w:color w:val="auto"/>
                      <w:highlight w:val="none"/>
                    </w:rPr>
                  </w:pPr>
                  <w:r>
                    <w:rPr>
                      <w:color w:val="auto"/>
                      <w:highlight w:val="none"/>
                    </w:rPr>
                    <w:t>O</w:t>
                  </w:r>
                  <w:r>
                    <w:rPr>
                      <w:color w:val="auto"/>
                      <w:highlight w:val="none"/>
                      <w:vertAlign w:val="subscript"/>
                    </w:rPr>
                    <w:t>3</w:t>
                  </w:r>
                </w:p>
              </w:tc>
              <w:tc>
                <w:tcPr>
                  <w:tcW w:w="583" w:type="pct"/>
                  <w:tcBorders>
                    <w:top w:val="single" w:color="auto" w:sz="6" w:space="0"/>
                    <w:left w:val="single" w:color="auto" w:sz="6" w:space="0"/>
                    <w:bottom w:val="single" w:color="auto" w:sz="12" w:space="0"/>
                    <w:right w:val="single" w:color="auto" w:sz="6" w:space="0"/>
                  </w:tcBorders>
                  <w:noWrap/>
                  <w:vAlign w:val="center"/>
                </w:tcPr>
                <w:p w14:paraId="02ED0882">
                  <w:pPr>
                    <w:pStyle w:val="34"/>
                    <w:bidi w:val="0"/>
                    <w:rPr>
                      <w:color w:val="auto"/>
                      <w:highlight w:val="none"/>
                    </w:rPr>
                  </w:pPr>
                  <w:r>
                    <w:rPr>
                      <w:rFonts w:hint="default"/>
                      <w:color w:val="auto"/>
                      <w:highlight w:val="none"/>
                      <w:lang w:val="en-US" w:eastAsia="zh-CN"/>
                    </w:rPr>
                    <w:t>8h</w:t>
                  </w:r>
                  <w:r>
                    <w:rPr>
                      <w:color w:val="auto"/>
                      <w:highlight w:val="none"/>
                      <w:lang w:val="en-US" w:eastAsia="zh-CN"/>
                    </w:rPr>
                    <w:t>平均质量浓</w:t>
                  </w:r>
                  <w:r>
                    <w:rPr>
                      <w:rFonts w:hint="eastAsia"/>
                      <w:color w:val="auto"/>
                      <w:highlight w:val="none"/>
                      <w:lang w:val="en-US" w:eastAsia="zh-CN"/>
                    </w:rPr>
                    <w:t>度</w:t>
                  </w:r>
                </w:p>
              </w:tc>
              <w:tc>
                <w:tcPr>
                  <w:tcW w:w="564" w:type="pct"/>
                  <w:tcBorders>
                    <w:top w:val="single" w:color="auto" w:sz="6" w:space="0"/>
                    <w:left w:val="single" w:color="auto" w:sz="6" w:space="0"/>
                    <w:bottom w:val="single" w:color="auto" w:sz="12" w:space="0"/>
                    <w:right w:val="single" w:color="auto" w:sz="6" w:space="0"/>
                  </w:tcBorders>
                  <w:noWrap/>
                  <w:vAlign w:val="center"/>
                </w:tcPr>
                <w:p w14:paraId="23EDF44E">
                  <w:pPr>
                    <w:pStyle w:val="34"/>
                    <w:bidi w:val="0"/>
                    <w:rPr>
                      <w:rFonts w:hint="default"/>
                      <w:color w:val="auto"/>
                      <w:highlight w:val="none"/>
                      <w:lang w:val="en-US" w:eastAsia="zh-CN"/>
                    </w:rPr>
                  </w:pPr>
                  <w:r>
                    <w:rPr>
                      <w:rFonts w:hint="eastAsia"/>
                      <w:color w:val="auto"/>
                      <w:highlight w:val="none"/>
                      <w:lang w:val="en-US" w:eastAsia="zh-CN"/>
                    </w:rPr>
                    <w:t>105</w:t>
                  </w:r>
                </w:p>
              </w:tc>
              <w:tc>
                <w:tcPr>
                  <w:tcW w:w="564" w:type="pct"/>
                  <w:tcBorders>
                    <w:top w:val="single" w:color="auto" w:sz="6" w:space="0"/>
                    <w:left w:val="single" w:color="auto" w:sz="6" w:space="0"/>
                    <w:bottom w:val="single" w:color="auto" w:sz="12" w:space="0"/>
                    <w:right w:val="single" w:color="auto" w:sz="6" w:space="0"/>
                  </w:tcBorders>
                  <w:noWrap/>
                  <w:vAlign w:val="center"/>
                </w:tcPr>
                <w:p w14:paraId="278BFBB1">
                  <w:pPr>
                    <w:pStyle w:val="34"/>
                    <w:bidi w:val="0"/>
                    <w:rPr>
                      <w:color w:val="auto"/>
                      <w:highlight w:val="none"/>
                    </w:rPr>
                  </w:pPr>
                  <w:r>
                    <w:rPr>
                      <w:color w:val="auto"/>
                      <w:highlight w:val="none"/>
                    </w:rPr>
                    <w:t>160</w:t>
                  </w:r>
                </w:p>
              </w:tc>
              <w:tc>
                <w:tcPr>
                  <w:tcW w:w="564" w:type="pct"/>
                  <w:tcBorders>
                    <w:top w:val="single" w:color="auto" w:sz="6" w:space="0"/>
                    <w:left w:val="single" w:color="auto" w:sz="6" w:space="0"/>
                    <w:bottom w:val="single" w:color="auto" w:sz="12" w:space="0"/>
                    <w:right w:val="single" w:color="auto" w:sz="6" w:space="0"/>
                  </w:tcBorders>
                  <w:noWrap/>
                  <w:vAlign w:val="center"/>
                </w:tcPr>
                <w:p w14:paraId="0B661DF8">
                  <w:pPr>
                    <w:pStyle w:val="34"/>
                    <w:bidi w:val="0"/>
                    <w:rPr>
                      <w:rFonts w:hint="default"/>
                      <w:color w:val="auto"/>
                      <w:highlight w:val="none"/>
                      <w:lang w:val="en-US" w:eastAsia="zh-CN"/>
                    </w:rPr>
                  </w:pPr>
                  <w:r>
                    <w:rPr>
                      <w:rFonts w:hint="eastAsia"/>
                      <w:color w:val="auto"/>
                      <w:highlight w:val="none"/>
                      <w:lang w:val="en-US" w:eastAsia="zh-CN"/>
                    </w:rPr>
                    <w:t>65.62</w:t>
                  </w:r>
                </w:p>
              </w:tc>
              <w:tc>
                <w:tcPr>
                  <w:tcW w:w="564" w:type="pct"/>
                  <w:tcBorders>
                    <w:top w:val="single" w:color="auto" w:sz="6" w:space="0"/>
                    <w:left w:val="single" w:color="auto" w:sz="6" w:space="0"/>
                    <w:bottom w:val="single" w:color="auto" w:sz="12" w:space="0"/>
                    <w:right w:val="nil"/>
                  </w:tcBorders>
                  <w:noWrap/>
                  <w:vAlign w:val="center"/>
                </w:tcPr>
                <w:p w14:paraId="6FA46DF6">
                  <w:pPr>
                    <w:pStyle w:val="34"/>
                    <w:bidi w:val="0"/>
                    <w:rPr>
                      <w:color w:val="auto"/>
                      <w:highlight w:val="none"/>
                    </w:rPr>
                  </w:pPr>
                  <w:r>
                    <w:rPr>
                      <w:color w:val="auto"/>
                      <w:highlight w:val="none"/>
                    </w:rPr>
                    <w:t>达标</w:t>
                  </w:r>
                </w:p>
              </w:tc>
              <w:tc>
                <w:tcPr>
                  <w:tcW w:w="564" w:type="pct"/>
                  <w:tcBorders>
                    <w:top w:val="single" w:color="auto" w:sz="6" w:space="0"/>
                    <w:left w:val="single" w:color="auto" w:sz="6" w:space="0"/>
                    <w:bottom w:val="single" w:color="auto" w:sz="12" w:space="0"/>
                    <w:right w:val="nil"/>
                  </w:tcBorders>
                  <w:noWrap/>
                  <w:vAlign w:val="center"/>
                </w:tcPr>
                <w:p w14:paraId="0C47262E">
                  <w:pPr>
                    <w:pStyle w:val="34"/>
                    <w:bidi w:val="0"/>
                    <w:rPr>
                      <w:rFonts w:hint="default" w:eastAsia="宋体"/>
                      <w:color w:val="auto"/>
                      <w:highlight w:val="none"/>
                      <w:lang w:val="en-US" w:eastAsia="zh-CN"/>
                    </w:rPr>
                  </w:pPr>
                  <w:r>
                    <w:rPr>
                      <w:rFonts w:hint="eastAsia"/>
                      <w:color w:val="auto"/>
                      <w:highlight w:val="none"/>
                      <w:lang w:val="en-US" w:eastAsia="zh-CN"/>
                    </w:rPr>
                    <w:t>160</w:t>
                  </w:r>
                </w:p>
              </w:tc>
              <w:tc>
                <w:tcPr>
                  <w:tcW w:w="852" w:type="dxa"/>
                  <w:tcBorders>
                    <w:top w:val="single" w:color="auto" w:sz="6" w:space="0"/>
                    <w:left w:val="single" w:color="auto" w:sz="6" w:space="0"/>
                    <w:bottom w:val="single" w:color="auto" w:sz="12" w:space="0"/>
                    <w:right w:val="nil"/>
                  </w:tcBorders>
                  <w:noWrap/>
                  <w:vAlign w:val="center"/>
                </w:tcPr>
                <w:p w14:paraId="2F435111">
                  <w:pPr>
                    <w:pStyle w:val="34"/>
                    <w:bidi w:val="0"/>
                    <w:ind w:firstLine="0" w:firstLineChars="0"/>
                    <w:rPr>
                      <w:color w:val="auto"/>
                      <w:highlight w:val="none"/>
                    </w:rPr>
                  </w:pPr>
                  <w:r>
                    <w:rPr>
                      <w:rFonts w:hint="eastAsia"/>
                      <w:color w:val="auto"/>
                      <w:highlight w:val="none"/>
                      <w:lang w:val="en-US" w:eastAsia="zh-CN"/>
                    </w:rPr>
                    <w:t>65.62</w:t>
                  </w:r>
                </w:p>
              </w:tc>
              <w:tc>
                <w:tcPr>
                  <w:tcW w:w="855" w:type="dxa"/>
                  <w:tcBorders>
                    <w:top w:val="single" w:color="auto" w:sz="6" w:space="0"/>
                    <w:left w:val="single" w:color="auto" w:sz="6" w:space="0"/>
                    <w:bottom w:val="single" w:color="auto" w:sz="12" w:space="0"/>
                    <w:right w:val="nil"/>
                  </w:tcBorders>
                  <w:noWrap/>
                  <w:vAlign w:val="center"/>
                </w:tcPr>
                <w:p w14:paraId="2A6A3FE9">
                  <w:pPr>
                    <w:pStyle w:val="34"/>
                    <w:bidi w:val="0"/>
                    <w:ind w:firstLine="0" w:firstLineChars="0"/>
                    <w:rPr>
                      <w:color w:val="auto"/>
                      <w:highlight w:val="none"/>
                    </w:rPr>
                  </w:pPr>
                  <w:r>
                    <w:rPr>
                      <w:color w:val="auto"/>
                      <w:highlight w:val="none"/>
                    </w:rPr>
                    <w:t>达标</w:t>
                  </w:r>
                </w:p>
              </w:tc>
            </w:tr>
          </w:tbl>
          <w:p w14:paraId="72C9CCE1">
            <w:pPr>
              <w:pStyle w:val="30"/>
              <w:bidi w:val="0"/>
              <w:rPr>
                <w:rFonts w:hint="default"/>
                <w:color w:val="auto"/>
                <w:highlight w:val="none"/>
              </w:rPr>
            </w:pPr>
            <w:r>
              <w:rPr>
                <w:rFonts w:hint="default"/>
                <w:color w:val="auto"/>
                <w:highlight w:val="none"/>
              </w:rPr>
              <w:t>结合上表可知</w:t>
            </w:r>
            <w:r>
              <w:rPr>
                <w:rFonts w:hint="default"/>
                <w:color w:val="auto"/>
                <w:highlight w:val="none"/>
                <w:lang w:eastAsia="zh-CN"/>
              </w:rPr>
              <w:t>，双鸭山</w:t>
            </w:r>
            <w:r>
              <w:rPr>
                <w:rFonts w:hint="default"/>
                <w:color w:val="auto"/>
                <w:highlight w:val="none"/>
              </w:rPr>
              <w:t>市202</w:t>
            </w:r>
            <w:r>
              <w:rPr>
                <w:rFonts w:hint="default"/>
                <w:color w:val="auto"/>
                <w:highlight w:val="none"/>
                <w:lang w:val="en-US" w:eastAsia="zh-CN"/>
              </w:rPr>
              <w:t>4</w:t>
            </w:r>
            <w:r>
              <w:rPr>
                <w:rFonts w:hint="default"/>
                <w:color w:val="auto"/>
                <w:highlight w:val="none"/>
              </w:rPr>
              <w:t>年环境空气质量</w:t>
            </w:r>
            <w:r>
              <w:rPr>
                <w:rFonts w:hint="default"/>
                <w:color w:val="auto"/>
                <w:highlight w:val="none"/>
                <w:lang w:eastAsia="zh-CN"/>
              </w:rPr>
              <w:t>PM</w:t>
            </w:r>
            <w:r>
              <w:rPr>
                <w:rFonts w:hint="default"/>
                <w:color w:val="auto"/>
                <w:highlight w:val="none"/>
                <w:vertAlign w:val="subscript"/>
                <w:lang w:eastAsia="zh-CN"/>
              </w:rPr>
              <w:t>2.5</w:t>
            </w:r>
            <w:r>
              <w:rPr>
                <w:rFonts w:hint="default"/>
                <w:color w:val="auto"/>
                <w:highlight w:val="none"/>
                <w:lang w:eastAsia="zh-CN"/>
              </w:rPr>
              <w:t>、</w:t>
            </w:r>
            <w:r>
              <w:rPr>
                <w:rFonts w:hint="default"/>
                <w:color w:val="auto"/>
                <w:highlight w:val="none"/>
              </w:rPr>
              <w:t>PM</w:t>
            </w:r>
            <w:r>
              <w:rPr>
                <w:rFonts w:hint="default"/>
                <w:color w:val="auto"/>
                <w:highlight w:val="none"/>
                <w:vertAlign w:val="subscript"/>
              </w:rPr>
              <w:t>10</w:t>
            </w:r>
            <w:r>
              <w:rPr>
                <w:rFonts w:hint="default"/>
                <w:color w:val="auto"/>
                <w:highlight w:val="none"/>
              </w:rPr>
              <w:t>年平均质量浓度、NO</w:t>
            </w:r>
            <w:r>
              <w:rPr>
                <w:rFonts w:hint="default"/>
                <w:color w:val="auto"/>
                <w:highlight w:val="none"/>
                <w:vertAlign w:val="subscript"/>
              </w:rPr>
              <w:t>2</w:t>
            </w:r>
            <w:r>
              <w:rPr>
                <w:rFonts w:hint="default"/>
                <w:color w:val="auto"/>
                <w:highlight w:val="none"/>
              </w:rPr>
              <w:t>年平均质量浓度、SO</w:t>
            </w:r>
            <w:r>
              <w:rPr>
                <w:rFonts w:hint="default"/>
                <w:color w:val="auto"/>
                <w:highlight w:val="none"/>
                <w:vertAlign w:val="subscript"/>
              </w:rPr>
              <w:t>2</w:t>
            </w:r>
            <w:r>
              <w:rPr>
                <w:rFonts w:hint="default"/>
                <w:color w:val="auto"/>
                <w:highlight w:val="none"/>
              </w:rPr>
              <w:t>年平均质量浓度、CO日平均第95百分位数、O</w:t>
            </w:r>
            <w:r>
              <w:rPr>
                <w:rFonts w:hint="default"/>
                <w:color w:val="auto"/>
                <w:highlight w:val="none"/>
                <w:vertAlign w:val="subscript"/>
              </w:rPr>
              <w:t>3</w:t>
            </w:r>
            <w:r>
              <w:rPr>
                <w:rFonts w:hint="default"/>
                <w:color w:val="auto"/>
                <w:highlight w:val="none"/>
              </w:rPr>
              <w:t>日最大8小时平均第90百分位数均满足《环境空气质量标准》（GB3095-20</w:t>
            </w:r>
            <w:r>
              <w:rPr>
                <w:rFonts w:hint="eastAsia"/>
                <w:color w:val="auto"/>
                <w:highlight w:val="none"/>
                <w:lang w:val="en-US" w:eastAsia="zh-CN"/>
              </w:rPr>
              <w:t>26</w:t>
            </w:r>
            <w:r>
              <w:rPr>
                <w:rFonts w:hint="default"/>
                <w:color w:val="auto"/>
                <w:highlight w:val="none"/>
              </w:rPr>
              <w:t>）</w:t>
            </w:r>
            <w:r>
              <w:rPr>
                <w:rFonts w:hint="eastAsia"/>
                <w:color w:val="auto"/>
                <w:highlight w:val="none"/>
                <w:lang w:val="en-US" w:eastAsia="zh-CN"/>
              </w:rPr>
              <w:t>过渡值</w:t>
            </w:r>
            <w:r>
              <w:rPr>
                <w:rFonts w:hint="default"/>
                <w:color w:val="auto"/>
                <w:highlight w:val="none"/>
              </w:rPr>
              <w:t>二级标准的要求</w:t>
            </w:r>
            <w:r>
              <w:rPr>
                <w:rFonts w:hint="eastAsia"/>
                <w:color w:val="auto"/>
                <w:highlight w:val="none"/>
                <w:lang w:eastAsia="zh-CN"/>
              </w:rPr>
              <w:t>，</w:t>
            </w:r>
            <w:r>
              <w:rPr>
                <w:rFonts w:hint="default"/>
                <w:color w:val="auto"/>
                <w:highlight w:val="none"/>
                <w:lang w:val="en-US" w:eastAsia="zh-CN"/>
              </w:rPr>
              <w:t>因此项目所在区域为达标区。</w:t>
            </w:r>
          </w:p>
          <w:p w14:paraId="7FC7A4BA">
            <w:pPr>
              <w:pStyle w:val="76"/>
              <w:spacing w:line="360" w:lineRule="auto"/>
              <w:ind w:firstLine="480"/>
              <w:rPr>
                <w:rFonts w:hint="eastAsia" w:cs="Times New Roman"/>
                <w:bCs w:val="0"/>
                <w:color w:val="auto"/>
                <w:sz w:val="24"/>
                <w:szCs w:val="24"/>
                <w:highlight w:val="none"/>
              </w:rPr>
            </w:pPr>
            <w:r>
              <w:rPr>
                <w:rFonts w:hint="eastAsia" w:cs="Times New Roman"/>
                <w:bCs w:val="0"/>
                <w:color w:val="auto"/>
                <w:sz w:val="24"/>
                <w:szCs w:val="24"/>
                <w:highlight w:val="none"/>
              </w:rPr>
              <w:t>（2）其它污染物环境质量现状</w:t>
            </w:r>
          </w:p>
          <w:p w14:paraId="6EE98AAB">
            <w:pPr>
              <w:pStyle w:val="31"/>
              <w:bidi w:val="0"/>
              <w:rPr>
                <w:color w:val="auto"/>
                <w:highlight w:val="none"/>
              </w:rPr>
            </w:pPr>
            <w:r>
              <w:rPr>
                <w:rFonts w:hint="eastAsia"/>
                <w:color w:val="auto"/>
                <w:highlight w:val="none"/>
              </w:rPr>
              <w:t>根据《环境影响评价技术导则 大气环境》（HJ2.2-2018）的规定，</w:t>
            </w:r>
            <w:r>
              <w:rPr>
                <w:rFonts w:hint="eastAsia"/>
                <w:color w:val="auto"/>
                <w:highlight w:val="none"/>
                <w:lang w:val="en-US" w:eastAsia="zh-CN"/>
              </w:rPr>
              <w:t>本项目应</w:t>
            </w:r>
            <w:r>
              <w:rPr>
                <w:color w:val="auto"/>
                <w:highlight w:val="none"/>
              </w:rPr>
              <w:t>对建设项目排放的其他大气污染物</w:t>
            </w:r>
            <w:r>
              <w:rPr>
                <w:rFonts w:hint="eastAsia"/>
                <w:color w:val="auto"/>
                <w:highlight w:val="none"/>
              </w:rPr>
              <w:t>（</w:t>
            </w:r>
            <w:r>
              <w:rPr>
                <w:color w:val="auto"/>
                <w:highlight w:val="none"/>
                <w:lang w:val="en-GB"/>
              </w:rPr>
              <w:t>TSP</w:t>
            </w:r>
            <w:r>
              <w:rPr>
                <w:rFonts w:hint="eastAsia"/>
                <w:color w:val="auto"/>
                <w:highlight w:val="none"/>
              </w:rPr>
              <w:t>）进行补充监测。</w:t>
            </w:r>
          </w:p>
          <w:p w14:paraId="0E918FBB">
            <w:pPr>
              <w:pStyle w:val="31"/>
              <w:bidi w:val="0"/>
              <w:rPr>
                <w:rFonts w:hint="eastAsia"/>
                <w:color w:val="auto"/>
                <w:highlight w:val="none"/>
              </w:rPr>
            </w:pPr>
            <w:r>
              <w:rPr>
                <w:rFonts w:hint="default"/>
                <w:color w:val="auto"/>
                <w:highlight w:val="none"/>
                <w:lang w:val="en-US" w:eastAsia="zh-CN"/>
              </w:rPr>
              <w:t>本项目</w:t>
            </w:r>
            <w:r>
              <w:rPr>
                <w:rFonts w:hint="eastAsia"/>
                <w:color w:val="auto"/>
                <w:highlight w:val="none"/>
                <w:lang w:val="en-US" w:eastAsia="zh-CN"/>
              </w:rPr>
              <w:t>委托黑龙江省科阳检测技术有限公司进行现状监测工作，黑龙江省科阳检测技术有限公司</w:t>
            </w:r>
            <w:r>
              <w:rPr>
                <w:rFonts w:cs="Times New Roman"/>
                <w:bCs w:val="0"/>
                <w:color w:val="auto"/>
                <w:sz w:val="24"/>
                <w:szCs w:val="24"/>
                <w:highlight w:val="none"/>
              </w:rPr>
              <w:t>于202</w:t>
            </w:r>
            <w:r>
              <w:rPr>
                <w:rFonts w:hint="eastAsia" w:cs="Times New Roman"/>
                <w:bCs w:val="0"/>
                <w:color w:val="auto"/>
                <w:sz w:val="24"/>
                <w:szCs w:val="24"/>
                <w:highlight w:val="none"/>
                <w:lang w:val="en-US" w:eastAsia="zh-CN"/>
              </w:rPr>
              <w:t>6</w:t>
            </w:r>
            <w:r>
              <w:rPr>
                <w:rFonts w:cs="Times New Roman"/>
                <w:bCs w:val="0"/>
                <w:color w:val="auto"/>
                <w:sz w:val="24"/>
                <w:szCs w:val="24"/>
                <w:highlight w:val="none"/>
              </w:rPr>
              <w:t>年</w:t>
            </w:r>
            <w:r>
              <w:rPr>
                <w:rFonts w:hint="eastAsia" w:cs="Times New Roman"/>
                <w:bCs w:val="0"/>
                <w:color w:val="auto"/>
                <w:sz w:val="24"/>
                <w:szCs w:val="24"/>
                <w:highlight w:val="none"/>
                <w:lang w:val="en-US" w:eastAsia="zh-CN"/>
              </w:rPr>
              <w:t>4</w:t>
            </w:r>
            <w:r>
              <w:rPr>
                <w:rFonts w:cs="Times New Roman"/>
                <w:bCs w:val="0"/>
                <w:color w:val="auto"/>
                <w:sz w:val="24"/>
                <w:szCs w:val="24"/>
                <w:highlight w:val="none"/>
              </w:rPr>
              <w:t>月</w:t>
            </w:r>
            <w:r>
              <w:rPr>
                <w:rFonts w:hint="eastAsia" w:cs="Times New Roman"/>
                <w:bCs w:val="0"/>
                <w:color w:val="auto"/>
                <w:sz w:val="24"/>
                <w:szCs w:val="24"/>
                <w:highlight w:val="none"/>
                <w:lang w:val="en-US" w:eastAsia="zh-CN"/>
              </w:rPr>
              <w:t>13</w:t>
            </w:r>
            <w:r>
              <w:rPr>
                <w:rFonts w:cs="Times New Roman"/>
                <w:bCs w:val="0"/>
                <w:color w:val="auto"/>
                <w:sz w:val="24"/>
                <w:szCs w:val="24"/>
                <w:highlight w:val="none"/>
              </w:rPr>
              <w:t>日至</w:t>
            </w:r>
            <w:r>
              <w:rPr>
                <w:rFonts w:hint="eastAsia" w:cs="Times New Roman"/>
                <w:bCs w:val="0"/>
                <w:color w:val="auto"/>
                <w:sz w:val="24"/>
                <w:szCs w:val="24"/>
                <w:highlight w:val="none"/>
                <w:lang w:val="en-US" w:eastAsia="zh-CN"/>
              </w:rPr>
              <w:t>4</w:t>
            </w:r>
            <w:r>
              <w:rPr>
                <w:rFonts w:cs="Times New Roman"/>
                <w:bCs w:val="0"/>
                <w:color w:val="auto"/>
                <w:sz w:val="24"/>
                <w:szCs w:val="24"/>
                <w:highlight w:val="none"/>
              </w:rPr>
              <w:t>月</w:t>
            </w:r>
            <w:r>
              <w:rPr>
                <w:rFonts w:hint="eastAsia" w:cs="Times New Roman"/>
                <w:bCs w:val="0"/>
                <w:color w:val="auto"/>
                <w:sz w:val="24"/>
                <w:szCs w:val="24"/>
                <w:highlight w:val="none"/>
                <w:lang w:val="en-US" w:eastAsia="zh-CN"/>
              </w:rPr>
              <w:t>16</w:t>
            </w:r>
            <w:r>
              <w:rPr>
                <w:rFonts w:cs="Times New Roman"/>
                <w:bCs w:val="0"/>
                <w:color w:val="auto"/>
                <w:sz w:val="24"/>
                <w:szCs w:val="24"/>
                <w:highlight w:val="none"/>
              </w:rPr>
              <w:t>日</w:t>
            </w:r>
            <w:r>
              <w:rPr>
                <w:rFonts w:hint="eastAsia" w:cs="Times New Roman"/>
                <w:bCs w:val="0"/>
                <w:color w:val="auto"/>
                <w:sz w:val="24"/>
                <w:szCs w:val="24"/>
                <w:highlight w:val="none"/>
                <w:lang w:eastAsia="zh-CN"/>
              </w:rPr>
              <w:t>（</w:t>
            </w:r>
            <w:r>
              <w:rPr>
                <w:rFonts w:hint="eastAsia" w:cs="Times New Roman"/>
                <w:bCs w:val="0"/>
                <w:color w:val="auto"/>
                <w:sz w:val="24"/>
                <w:szCs w:val="24"/>
                <w:highlight w:val="none"/>
                <w:lang w:val="en-US" w:eastAsia="zh-CN"/>
              </w:rPr>
              <w:t>3天</w:t>
            </w:r>
            <w:r>
              <w:rPr>
                <w:rFonts w:hint="eastAsia" w:cs="Times New Roman"/>
                <w:bCs w:val="0"/>
                <w:color w:val="auto"/>
                <w:sz w:val="24"/>
                <w:szCs w:val="24"/>
                <w:highlight w:val="none"/>
                <w:lang w:eastAsia="zh-CN"/>
              </w:rPr>
              <w:t>）</w:t>
            </w:r>
            <w:r>
              <w:rPr>
                <w:rFonts w:hint="eastAsia" w:cs="Times New Roman"/>
                <w:bCs w:val="0"/>
                <w:color w:val="auto"/>
                <w:sz w:val="24"/>
                <w:szCs w:val="24"/>
                <w:highlight w:val="none"/>
                <w:lang w:val="en-US" w:eastAsia="zh-CN"/>
              </w:rPr>
              <w:t>对</w:t>
            </w:r>
            <w:r>
              <w:rPr>
                <w:rFonts w:hint="eastAsia"/>
                <w:color w:val="auto"/>
                <w:highlight w:val="none"/>
                <w:lang w:val="en-US" w:eastAsia="zh-CN"/>
              </w:rPr>
              <w:t>项目</w:t>
            </w:r>
            <w:r>
              <w:rPr>
                <w:rFonts w:hint="default"/>
                <w:color w:val="auto"/>
                <w:highlight w:val="none"/>
              </w:rPr>
              <w:t>厂址下风向</w:t>
            </w:r>
            <w:r>
              <w:rPr>
                <w:rFonts w:hint="eastAsia"/>
                <w:color w:val="auto"/>
                <w:highlight w:val="none"/>
                <w:lang w:val="en-US" w:eastAsia="zh-CN"/>
              </w:rPr>
              <w:t>1#</w:t>
            </w:r>
            <w:r>
              <w:rPr>
                <w:rFonts w:hint="default"/>
                <w:color w:val="auto"/>
                <w:highlight w:val="none"/>
              </w:rPr>
              <w:t>处的TSP进行现状监测</w:t>
            </w:r>
            <w:r>
              <w:rPr>
                <w:rFonts w:hint="eastAsia"/>
                <w:color w:val="auto"/>
                <w:highlight w:val="none"/>
                <w:lang w:val="en-US" w:eastAsia="zh-CN"/>
              </w:rPr>
              <w:t>，</w:t>
            </w:r>
            <w:r>
              <w:rPr>
                <w:color w:val="auto"/>
                <w:highlight w:val="none"/>
              </w:rPr>
              <w:t>具体监测点位</w:t>
            </w:r>
            <w:r>
              <w:rPr>
                <w:rFonts w:hint="eastAsia"/>
                <w:color w:val="auto"/>
                <w:highlight w:val="none"/>
              </w:rPr>
              <w:t>情况见下</w:t>
            </w:r>
            <w:r>
              <w:rPr>
                <w:color w:val="auto"/>
                <w:highlight w:val="none"/>
              </w:rPr>
              <w:t>表。</w:t>
            </w:r>
            <w:r>
              <w:rPr>
                <w:rFonts w:hint="eastAsia"/>
                <w:color w:val="auto"/>
                <w:highlight w:val="none"/>
              </w:rPr>
              <w:t>监测点位置见下图。</w:t>
            </w:r>
          </w:p>
          <w:p w14:paraId="22E3173D">
            <w:pPr>
              <w:pStyle w:val="36"/>
              <w:bidi w:val="0"/>
              <w:rPr>
                <w:rFonts w:hint="eastAsia"/>
                <w:color w:val="auto"/>
                <w:highlight w:val="none"/>
                <w:vertAlign w:val="superscript"/>
                <w:lang w:val="en-US" w:eastAsia="zh-CN"/>
              </w:rPr>
            </w:pPr>
            <w:r>
              <w:rPr>
                <w:rFonts w:hint="eastAsia"/>
                <w:color w:val="auto"/>
                <w:highlight w:val="none"/>
                <w:lang w:val="en-US" w:eastAsia="zh-CN"/>
              </w:rPr>
              <w:t>表3-2污染物环境质量现状（监测结果）评价结果表  单位：mg/m</w:t>
            </w:r>
            <w:r>
              <w:rPr>
                <w:rFonts w:hint="eastAsia"/>
                <w:color w:val="auto"/>
                <w:highlight w:val="none"/>
                <w:vertAlign w:val="superscript"/>
                <w:lang w:val="en-US" w:eastAsia="zh-CN"/>
              </w:rPr>
              <w:t>3</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787"/>
              <w:gridCol w:w="1323"/>
              <w:gridCol w:w="1218"/>
              <w:gridCol w:w="548"/>
              <w:gridCol w:w="551"/>
              <w:gridCol w:w="453"/>
              <w:gridCol w:w="984"/>
              <w:gridCol w:w="625"/>
              <w:gridCol w:w="625"/>
              <w:gridCol w:w="429"/>
            </w:tblGrid>
            <w:tr w14:paraId="5EB8B7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21" w:type="pct"/>
                  <w:vMerge w:val="restart"/>
                  <w:noWrap w:val="0"/>
                  <w:vAlign w:val="center"/>
                </w:tcPr>
                <w:p w14:paraId="1F8056DF">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r>
                    <w:rPr>
                      <w:color w:val="auto"/>
                      <w:sz w:val="21"/>
                      <w:szCs w:val="21"/>
                      <w:highlight w:val="none"/>
                      <w:lang w:val="en-US" w:eastAsia="zh-CN"/>
                    </w:rPr>
                    <w:t>名称</w:t>
                  </w:r>
                </w:p>
              </w:tc>
              <w:tc>
                <w:tcPr>
                  <w:tcW w:w="1684" w:type="pct"/>
                  <w:gridSpan w:val="2"/>
                  <w:noWrap w:val="0"/>
                  <w:vAlign w:val="center"/>
                </w:tcPr>
                <w:p w14:paraId="0B491840">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r>
                    <w:rPr>
                      <w:color w:val="auto"/>
                      <w:sz w:val="21"/>
                      <w:szCs w:val="21"/>
                      <w:highlight w:val="none"/>
                      <w:lang w:val="en-US" w:eastAsia="zh-CN"/>
                    </w:rPr>
                    <w:t>坐标/m</w:t>
                  </w:r>
                </w:p>
              </w:tc>
              <w:tc>
                <w:tcPr>
                  <w:tcW w:w="363" w:type="pct"/>
                  <w:vMerge w:val="restart"/>
                  <w:noWrap w:val="0"/>
                  <w:vAlign w:val="center"/>
                </w:tcPr>
                <w:p w14:paraId="5E0EFC9E">
                  <w:pPr>
                    <w:widowControl w:val="0"/>
                    <w:wordWrap w:val="0"/>
                    <w:topLinePunct/>
                    <w:autoSpaceDE/>
                    <w:autoSpaceDN/>
                    <w:bidi w:val="0"/>
                    <w:adjustRightInd/>
                    <w:spacing w:line="240" w:lineRule="auto"/>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污染物</w:t>
                  </w:r>
                </w:p>
              </w:tc>
              <w:tc>
                <w:tcPr>
                  <w:tcW w:w="365" w:type="pct"/>
                  <w:vMerge w:val="restart"/>
                  <w:noWrap w:val="0"/>
                  <w:vAlign w:val="center"/>
                </w:tcPr>
                <w:p w14:paraId="0A85FD7E">
                  <w:pPr>
                    <w:widowControl w:val="0"/>
                    <w:wordWrap w:val="0"/>
                    <w:topLinePunct/>
                    <w:autoSpaceDE/>
                    <w:autoSpaceDN/>
                    <w:bidi w:val="0"/>
                    <w:adjustRightInd/>
                    <w:spacing w:line="240" w:lineRule="auto"/>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平均时间</w:t>
                  </w:r>
                </w:p>
              </w:tc>
              <w:tc>
                <w:tcPr>
                  <w:tcW w:w="300" w:type="pct"/>
                  <w:vMerge w:val="restart"/>
                  <w:noWrap w:val="0"/>
                  <w:vAlign w:val="center"/>
                </w:tcPr>
                <w:p w14:paraId="4DAA878D">
                  <w:pPr>
                    <w:widowControl w:val="0"/>
                    <w:wordWrap w:val="0"/>
                    <w:topLinePunct/>
                    <w:autoSpaceDE/>
                    <w:autoSpaceDN/>
                    <w:bidi w:val="0"/>
                    <w:adjustRightInd/>
                    <w:spacing w:line="240" w:lineRule="auto"/>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评价标准</w:t>
                  </w:r>
                </w:p>
              </w:tc>
              <w:tc>
                <w:tcPr>
                  <w:tcW w:w="652" w:type="pct"/>
                  <w:vMerge w:val="restart"/>
                  <w:noWrap w:val="0"/>
                  <w:vAlign w:val="center"/>
                </w:tcPr>
                <w:p w14:paraId="09C2D15B">
                  <w:pPr>
                    <w:widowControl w:val="0"/>
                    <w:wordWrap w:val="0"/>
                    <w:topLinePunct/>
                    <w:autoSpaceDE/>
                    <w:autoSpaceDN/>
                    <w:bidi w:val="0"/>
                    <w:adjustRightInd/>
                    <w:spacing w:line="240" w:lineRule="auto"/>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监测浓度范围</w:t>
                  </w:r>
                </w:p>
              </w:tc>
              <w:tc>
                <w:tcPr>
                  <w:tcW w:w="414" w:type="pct"/>
                  <w:vMerge w:val="restart"/>
                  <w:noWrap w:val="0"/>
                  <w:vAlign w:val="center"/>
                </w:tcPr>
                <w:p w14:paraId="1FF53078">
                  <w:pPr>
                    <w:widowControl w:val="0"/>
                    <w:wordWrap w:val="0"/>
                    <w:topLinePunct/>
                    <w:autoSpaceDE/>
                    <w:autoSpaceDN/>
                    <w:bidi w:val="0"/>
                    <w:adjustRightInd/>
                    <w:spacing w:line="240" w:lineRule="auto"/>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最大浓度占标率（%）</w:t>
                  </w:r>
                </w:p>
              </w:tc>
              <w:tc>
                <w:tcPr>
                  <w:tcW w:w="414" w:type="pct"/>
                  <w:vMerge w:val="restart"/>
                  <w:noWrap w:val="0"/>
                  <w:vAlign w:val="center"/>
                </w:tcPr>
                <w:p w14:paraId="14E1D037">
                  <w:pPr>
                    <w:widowControl w:val="0"/>
                    <w:wordWrap w:val="0"/>
                    <w:topLinePunct/>
                    <w:autoSpaceDE/>
                    <w:autoSpaceDN/>
                    <w:bidi w:val="0"/>
                    <w:adjustRightInd/>
                    <w:spacing w:line="240" w:lineRule="auto"/>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超标率（%）</w:t>
                  </w:r>
                </w:p>
              </w:tc>
              <w:tc>
                <w:tcPr>
                  <w:tcW w:w="284" w:type="pct"/>
                  <w:vMerge w:val="restart"/>
                  <w:noWrap w:val="0"/>
                  <w:vAlign w:val="center"/>
                </w:tcPr>
                <w:p w14:paraId="040FFA54">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r>
                    <w:rPr>
                      <w:rFonts w:hint="eastAsia"/>
                      <w:color w:val="auto"/>
                      <w:sz w:val="21"/>
                      <w:szCs w:val="21"/>
                      <w:highlight w:val="none"/>
                      <w:lang w:val="en-US" w:eastAsia="zh-CN"/>
                    </w:rPr>
                    <w:t>达标情况</w:t>
                  </w:r>
                </w:p>
              </w:tc>
            </w:tr>
            <w:tr w14:paraId="34DC28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27" w:hRule="atLeast"/>
                <w:jc w:val="center"/>
              </w:trPr>
              <w:tc>
                <w:tcPr>
                  <w:tcW w:w="521" w:type="pct"/>
                  <w:vMerge w:val="continue"/>
                  <w:noWrap w:val="0"/>
                  <w:vAlign w:val="center"/>
                </w:tcPr>
                <w:p w14:paraId="098B2FE4">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p>
              </w:tc>
              <w:tc>
                <w:tcPr>
                  <w:tcW w:w="876" w:type="pct"/>
                  <w:noWrap w:val="0"/>
                  <w:vAlign w:val="center"/>
                </w:tcPr>
                <w:p w14:paraId="4B61E85A">
                  <w:pPr>
                    <w:widowControl w:val="0"/>
                    <w:wordWrap w:val="0"/>
                    <w:topLinePunct/>
                    <w:autoSpaceDE/>
                    <w:autoSpaceDN/>
                    <w:bidi w:val="0"/>
                    <w:adjustRightInd/>
                    <w:spacing w:line="240" w:lineRule="auto"/>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经度</w:t>
                  </w:r>
                </w:p>
              </w:tc>
              <w:tc>
                <w:tcPr>
                  <w:tcW w:w="807" w:type="pct"/>
                  <w:noWrap w:val="0"/>
                  <w:vAlign w:val="center"/>
                </w:tcPr>
                <w:p w14:paraId="141FE9C4">
                  <w:pPr>
                    <w:widowControl w:val="0"/>
                    <w:wordWrap w:val="0"/>
                    <w:topLinePunct/>
                    <w:autoSpaceDE/>
                    <w:autoSpaceDN/>
                    <w:bidi w:val="0"/>
                    <w:adjustRightInd/>
                    <w:spacing w:line="240" w:lineRule="auto"/>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纬度</w:t>
                  </w:r>
                </w:p>
              </w:tc>
              <w:tc>
                <w:tcPr>
                  <w:tcW w:w="363" w:type="pct"/>
                  <w:vMerge w:val="continue"/>
                  <w:noWrap w:val="0"/>
                  <w:vAlign w:val="center"/>
                </w:tcPr>
                <w:p w14:paraId="48C6FDB2">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p>
              </w:tc>
              <w:tc>
                <w:tcPr>
                  <w:tcW w:w="365" w:type="pct"/>
                  <w:vMerge w:val="continue"/>
                  <w:noWrap w:val="0"/>
                  <w:vAlign w:val="center"/>
                </w:tcPr>
                <w:p w14:paraId="37156521">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p>
              </w:tc>
              <w:tc>
                <w:tcPr>
                  <w:tcW w:w="300" w:type="pct"/>
                  <w:vMerge w:val="continue"/>
                  <w:noWrap w:val="0"/>
                  <w:vAlign w:val="center"/>
                </w:tcPr>
                <w:p w14:paraId="3F7CD751">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p>
              </w:tc>
              <w:tc>
                <w:tcPr>
                  <w:tcW w:w="652" w:type="pct"/>
                  <w:vMerge w:val="continue"/>
                  <w:noWrap w:val="0"/>
                  <w:vAlign w:val="center"/>
                </w:tcPr>
                <w:p w14:paraId="74D0FAF3">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p>
              </w:tc>
              <w:tc>
                <w:tcPr>
                  <w:tcW w:w="414" w:type="pct"/>
                  <w:vMerge w:val="continue"/>
                  <w:noWrap w:val="0"/>
                  <w:vAlign w:val="center"/>
                </w:tcPr>
                <w:p w14:paraId="58E58BC1">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p>
              </w:tc>
              <w:tc>
                <w:tcPr>
                  <w:tcW w:w="414" w:type="pct"/>
                  <w:vMerge w:val="continue"/>
                  <w:noWrap w:val="0"/>
                  <w:vAlign w:val="center"/>
                </w:tcPr>
                <w:p w14:paraId="727CF099">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p>
              </w:tc>
              <w:tc>
                <w:tcPr>
                  <w:tcW w:w="284" w:type="pct"/>
                  <w:vMerge w:val="continue"/>
                  <w:noWrap w:val="0"/>
                  <w:vAlign w:val="center"/>
                </w:tcPr>
                <w:p w14:paraId="5C333760">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p>
              </w:tc>
            </w:tr>
            <w:tr w14:paraId="601B31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21" w:type="pct"/>
                  <w:noWrap w:val="0"/>
                  <w:vAlign w:val="center"/>
                </w:tcPr>
                <w:p w14:paraId="0BC85002">
                  <w:pPr>
                    <w:pStyle w:val="34"/>
                    <w:bidi w:val="0"/>
                    <w:rPr>
                      <w:color w:val="auto"/>
                      <w:highlight w:val="none"/>
                      <w:lang w:val="en-US" w:eastAsia="zh-CN"/>
                    </w:rPr>
                  </w:pPr>
                  <w:r>
                    <w:rPr>
                      <w:color w:val="auto"/>
                      <w:highlight w:val="none"/>
                    </w:rPr>
                    <w:t>1#厂区下风向</w:t>
                  </w:r>
                </w:p>
              </w:tc>
              <w:tc>
                <w:tcPr>
                  <w:tcW w:w="876" w:type="pct"/>
                  <w:noWrap w:val="0"/>
                  <w:vAlign w:val="center"/>
                </w:tcPr>
                <w:p w14:paraId="7846EA0E">
                  <w:pPr>
                    <w:pStyle w:val="34"/>
                    <w:bidi w:val="0"/>
                    <w:rPr>
                      <w:color w:val="auto"/>
                      <w:highlight w:val="none"/>
                      <w:lang w:val="en-US" w:eastAsia="zh-CN"/>
                    </w:rPr>
                  </w:pPr>
                  <w:r>
                    <w:rPr>
                      <w:rFonts w:hint="eastAsia"/>
                      <w:color w:val="auto"/>
                      <w:highlight w:val="none"/>
                    </w:rPr>
                    <w:t>131.169589</w:t>
                  </w:r>
                </w:p>
              </w:tc>
              <w:tc>
                <w:tcPr>
                  <w:tcW w:w="807" w:type="pct"/>
                  <w:noWrap w:val="0"/>
                  <w:vAlign w:val="center"/>
                </w:tcPr>
                <w:p w14:paraId="00992F79">
                  <w:pPr>
                    <w:pStyle w:val="34"/>
                    <w:bidi w:val="0"/>
                    <w:rPr>
                      <w:color w:val="auto"/>
                      <w:highlight w:val="none"/>
                      <w:lang w:val="en-US" w:eastAsia="zh-CN"/>
                    </w:rPr>
                  </w:pPr>
                  <w:r>
                    <w:rPr>
                      <w:rFonts w:hint="eastAsia"/>
                      <w:color w:val="auto"/>
                      <w:highlight w:val="none"/>
                    </w:rPr>
                    <w:t>46.729611</w:t>
                  </w:r>
                </w:p>
              </w:tc>
              <w:tc>
                <w:tcPr>
                  <w:tcW w:w="363" w:type="pct"/>
                  <w:noWrap w:val="0"/>
                  <w:vAlign w:val="center"/>
                </w:tcPr>
                <w:p w14:paraId="551E36CF">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r>
                    <w:rPr>
                      <w:color w:val="auto"/>
                      <w:sz w:val="21"/>
                      <w:szCs w:val="21"/>
                      <w:highlight w:val="none"/>
                      <w:lang w:val="en-US" w:eastAsia="zh-CN"/>
                    </w:rPr>
                    <w:t>TSP</w:t>
                  </w:r>
                </w:p>
              </w:tc>
              <w:tc>
                <w:tcPr>
                  <w:tcW w:w="365" w:type="pct"/>
                  <w:noWrap w:val="0"/>
                  <w:vAlign w:val="center"/>
                </w:tcPr>
                <w:p w14:paraId="538D14FD">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r>
                    <w:rPr>
                      <w:rFonts w:hint="eastAsia"/>
                      <w:color w:val="auto"/>
                      <w:sz w:val="21"/>
                      <w:szCs w:val="21"/>
                      <w:highlight w:val="none"/>
                      <w:lang w:val="en-US" w:eastAsia="zh-CN"/>
                    </w:rPr>
                    <w:t>24小时均</w:t>
                  </w:r>
                </w:p>
              </w:tc>
              <w:tc>
                <w:tcPr>
                  <w:tcW w:w="300" w:type="pct"/>
                  <w:noWrap w:val="0"/>
                  <w:vAlign w:val="center"/>
                </w:tcPr>
                <w:p w14:paraId="18759175">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r>
                    <w:rPr>
                      <w:rFonts w:hint="eastAsia"/>
                      <w:color w:val="auto"/>
                      <w:sz w:val="21"/>
                      <w:szCs w:val="21"/>
                      <w:highlight w:val="none"/>
                      <w:lang w:val="en-US" w:eastAsia="zh-CN"/>
                    </w:rPr>
                    <w:t>0.3</w:t>
                  </w:r>
                </w:p>
              </w:tc>
              <w:tc>
                <w:tcPr>
                  <w:tcW w:w="652" w:type="pct"/>
                  <w:noWrap w:val="0"/>
                  <w:vAlign w:val="center"/>
                </w:tcPr>
                <w:p w14:paraId="5D81DC1A">
                  <w:pPr>
                    <w:widowControl w:val="0"/>
                    <w:wordWrap w:val="0"/>
                    <w:topLinePunct/>
                    <w:autoSpaceDE/>
                    <w:autoSpaceDN/>
                    <w:bidi w:val="0"/>
                    <w:adjustRightInd/>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0.096~0.189</w:t>
                  </w:r>
                </w:p>
              </w:tc>
              <w:tc>
                <w:tcPr>
                  <w:tcW w:w="414" w:type="pct"/>
                  <w:noWrap w:val="0"/>
                  <w:vAlign w:val="center"/>
                </w:tcPr>
                <w:p w14:paraId="225943DC">
                  <w:pPr>
                    <w:widowControl w:val="0"/>
                    <w:wordWrap w:val="0"/>
                    <w:topLinePunct/>
                    <w:autoSpaceDE/>
                    <w:autoSpaceDN/>
                    <w:bidi w:val="0"/>
                    <w:adjustRightInd/>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63</w:t>
                  </w:r>
                </w:p>
              </w:tc>
              <w:tc>
                <w:tcPr>
                  <w:tcW w:w="414" w:type="pct"/>
                  <w:noWrap w:val="0"/>
                  <w:vAlign w:val="center"/>
                </w:tcPr>
                <w:p w14:paraId="3EA290C3">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r>
                    <w:rPr>
                      <w:rFonts w:hint="eastAsia"/>
                      <w:color w:val="auto"/>
                      <w:sz w:val="21"/>
                      <w:szCs w:val="21"/>
                      <w:highlight w:val="none"/>
                      <w:lang w:val="en-US" w:eastAsia="zh-CN"/>
                    </w:rPr>
                    <w:t>0</w:t>
                  </w:r>
                </w:p>
              </w:tc>
              <w:tc>
                <w:tcPr>
                  <w:tcW w:w="284" w:type="pct"/>
                  <w:noWrap w:val="0"/>
                  <w:vAlign w:val="center"/>
                </w:tcPr>
                <w:p w14:paraId="64BC0809">
                  <w:pPr>
                    <w:widowControl w:val="0"/>
                    <w:wordWrap w:val="0"/>
                    <w:topLinePunct/>
                    <w:autoSpaceDE/>
                    <w:autoSpaceDN/>
                    <w:bidi w:val="0"/>
                    <w:adjustRightInd/>
                    <w:spacing w:line="240" w:lineRule="auto"/>
                    <w:ind w:firstLine="0" w:firstLineChars="0"/>
                    <w:jc w:val="center"/>
                    <w:rPr>
                      <w:color w:val="auto"/>
                      <w:sz w:val="21"/>
                      <w:szCs w:val="21"/>
                      <w:highlight w:val="none"/>
                      <w:lang w:val="en-US" w:eastAsia="zh-CN"/>
                    </w:rPr>
                  </w:pPr>
                  <w:r>
                    <w:rPr>
                      <w:rFonts w:hint="eastAsia"/>
                      <w:color w:val="auto"/>
                      <w:sz w:val="21"/>
                      <w:szCs w:val="21"/>
                      <w:highlight w:val="none"/>
                      <w:lang w:val="en-US" w:eastAsia="zh-CN"/>
                    </w:rPr>
                    <w:t>达标</w:t>
                  </w:r>
                </w:p>
              </w:tc>
            </w:tr>
          </w:tbl>
          <w:p w14:paraId="1A6F71C0">
            <w:pPr>
              <w:pStyle w:val="36"/>
              <w:bidi w:val="0"/>
              <w:rPr>
                <w:rFonts w:hint="eastAsia"/>
              </w:rPr>
            </w:pPr>
            <w:r>
              <w:drawing>
                <wp:inline distT="0" distB="0" distL="114300" distR="114300">
                  <wp:extent cx="4679950" cy="3904615"/>
                  <wp:effectExtent l="0" t="0" r="6350" b="6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3"/>
                          <a:stretch>
                            <a:fillRect/>
                          </a:stretch>
                        </pic:blipFill>
                        <pic:spPr>
                          <a:xfrm>
                            <a:off x="0" y="0"/>
                            <a:ext cx="4679950" cy="3904615"/>
                          </a:xfrm>
                          <a:prstGeom prst="rect">
                            <a:avLst/>
                          </a:prstGeom>
                          <a:noFill/>
                          <a:ln>
                            <a:noFill/>
                          </a:ln>
                        </pic:spPr>
                      </pic:pic>
                    </a:graphicData>
                  </a:graphic>
                </wp:inline>
              </w:drawing>
            </w:r>
          </w:p>
          <w:p w14:paraId="5D058FBB">
            <w:pPr>
              <w:pStyle w:val="36"/>
              <w:bidi w:val="0"/>
              <w:rPr>
                <w:rFonts w:hint="eastAsia"/>
                <w:color w:val="auto"/>
                <w:highlight w:val="none"/>
                <w:lang w:val="en-US" w:eastAsia="zh-CN"/>
              </w:rPr>
            </w:pPr>
            <w:r>
              <w:rPr>
                <w:rFonts w:hint="eastAsia"/>
                <w:color w:val="auto"/>
                <w:highlight w:val="none"/>
                <w:lang w:val="en-US" w:eastAsia="zh-CN"/>
              </w:rPr>
              <w:t>图3-1监测点位图示</w:t>
            </w:r>
          </w:p>
          <w:p w14:paraId="77222038">
            <w:pPr>
              <w:pStyle w:val="30"/>
              <w:bidi w:val="0"/>
              <w:rPr>
                <w:color w:val="auto"/>
                <w:highlight w:val="none"/>
              </w:rPr>
            </w:pPr>
            <w:r>
              <w:rPr>
                <w:rFonts w:hint="eastAsia"/>
                <w:color w:val="auto"/>
                <w:highlight w:val="none"/>
                <w:lang w:val="en-US" w:eastAsia="zh-CN"/>
              </w:rPr>
              <w:t>监测</w:t>
            </w:r>
            <w:r>
              <w:rPr>
                <w:color w:val="auto"/>
                <w:highlight w:val="none"/>
              </w:rPr>
              <w:t>结果表明，监测期间，TSP24小时平均浓度满足</w:t>
            </w:r>
            <w:r>
              <w:rPr>
                <w:rFonts w:hint="eastAsia"/>
                <w:color w:val="auto"/>
                <w:highlight w:val="none"/>
              </w:rPr>
              <w:t>《环境空气质量标准》（GB3095-2026）中二级标准要求</w:t>
            </w:r>
            <w:r>
              <w:rPr>
                <w:color w:val="auto"/>
                <w:highlight w:val="none"/>
              </w:rPr>
              <w:t>，评价区环境空气质量较好。</w:t>
            </w:r>
          </w:p>
          <w:p w14:paraId="1EC18DBD">
            <w:pPr>
              <w:pStyle w:val="33"/>
              <w:bidi w:val="0"/>
              <w:rPr>
                <w:color w:val="auto"/>
                <w:highlight w:val="none"/>
              </w:rPr>
            </w:pPr>
            <w:r>
              <w:rPr>
                <w:rFonts w:hint="eastAsia"/>
                <w:color w:val="auto"/>
                <w:highlight w:val="none"/>
                <w:lang w:val="en-US" w:eastAsia="zh-CN"/>
              </w:rPr>
              <w:t>2</w:t>
            </w:r>
            <w:r>
              <w:rPr>
                <w:color w:val="auto"/>
                <w:highlight w:val="none"/>
              </w:rPr>
              <w:t>、地表水环境</w:t>
            </w:r>
          </w:p>
          <w:p w14:paraId="75E72112">
            <w:pPr>
              <w:pStyle w:val="31"/>
              <w:bidi w:val="0"/>
              <w:rPr>
                <w:color w:val="auto"/>
                <w:highlight w:val="none"/>
              </w:rPr>
            </w:pPr>
            <w:r>
              <w:rPr>
                <w:rFonts w:hint="eastAsia"/>
                <w:color w:val="auto"/>
                <w:highlight w:val="none"/>
                <w:lang w:val="en-US" w:eastAsia="zh-CN"/>
              </w:rPr>
              <w:t>本项目所在地区地表水体为安邦河，根据《全国重要江河湖泊水功能区划（2011-2030年）》，本项目所在安邦河水功能区范围为安邦河双鸭山市排污控制区，排污控制区水质标准应按其出流断面的水质状况达到相邻水功能区的水质控制标准确定，福富大桥以下断面水质目标为IV类，因此本项目所在安邦河水功能区，参考IV类水体功能区执行。参考《2022年黑龙江省生态环境状况公报》中的全省河流总体水质状况可知，安邦河水体水质满足Ⅳ类水体标准。</w:t>
            </w:r>
          </w:p>
          <w:p w14:paraId="6274082A">
            <w:pPr>
              <w:pStyle w:val="33"/>
              <w:bidi w:val="0"/>
              <w:rPr>
                <w:color w:val="auto"/>
                <w:highlight w:val="none"/>
              </w:rPr>
            </w:pPr>
            <w:r>
              <w:rPr>
                <w:rFonts w:hint="eastAsia"/>
                <w:color w:val="auto"/>
                <w:highlight w:val="none"/>
                <w:lang w:val="en-US" w:eastAsia="zh-CN"/>
              </w:rPr>
              <w:t>3</w:t>
            </w:r>
            <w:r>
              <w:rPr>
                <w:rFonts w:hint="eastAsia"/>
                <w:color w:val="auto"/>
                <w:highlight w:val="none"/>
              </w:rPr>
              <w:t>、</w:t>
            </w:r>
            <w:r>
              <w:rPr>
                <w:color w:val="auto"/>
                <w:highlight w:val="none"/>
              </w:rPr>
              <w:t>声环境质量</w:t>
            </w:r>
          </w:p>
          <w:p w14:paraId="719D3E8A">
            <w:pPr>
              <w:pStyle w:val="31"/>
              <w:bidi w:val="0"/>
              <w:rPr>
                <w:color w:val="auto"/>
                <w:highlight w:val="none"/>
              </w:rPr>
            </w:pPr>
            <w:r>
              <w:rPr>
                <w:color w:val="auto"/>
                <w:highlight w:val="none"/>
                <w:lang w:val="en-US" w:eastAsia="zh-CN"/>
              </w:rPr>
              <w:t>根据《</w:t>
            </w:r>
            <w:r>
              <w:rPr>
                <w:rFonts w:hint="default"/>
                <w:color w:val="auto"/>
                <w:highlight w:val="none"/>
                <w:lang w:val="en-US" w:eastAsia="zh-CN"/>
              </w:rPr>
              <w:t>202</w:t>
            </w:r>
            <w:r>
              <w:rPr>
                <w:rFonts w:hint="eastAsia"/>
                <w:color w:val="auto"/>
                <w:highlight w:val="none"/>
                <w:lang w:val="en-US" w:eastAsia="zh-CN"/>
              </w:rPr>
              <w:t>4年黑龙江省生态环境质量状况》，</w:t>
            </w:r>
            <w:r>
              <w:rPr>
                <w:rFonts w:hint="eastAsia"/>
                <w:color w:val="auto"/>
                <w:highlight w:val="none"/>
              </w:rPr>
              <w:t>双鸭山市区域昼间声环境质量为二级，等效声级为54.4dB</w:t>
            </w:r>
            <w:r>
              <w:rPr>
                <w:rFonts w:hint="eastAsia"/>
                <w:color w:val="auto"/>
                <w:highlight w:val="none"/>
                <w:lang w:eastAsia="zh-CN"/>
              </w:rPr>
              <w:t>（</w:t>
            </w:r>
            <w:r>
              <w:rPr>
                <w:rFonts w:hint="eastAsia"/>
                <w:color w:val="auto"/>
                <w:highlight w:val="none"/>
              </w:rPr>
              <w:t>A</w:t>
            </w:r>
            <w:r>
              <w:rPr>
                <w:rFonts w:hint="eastAsia"/>
                <w:color w:val="auto"/>
                <w:highlight w:val="none"/>
                <w:lang w:eastAsia="zh-CN"/>
              </w:rPr>
              <w:t>）；</w:t>
            </w:r>
            <w:r>
              <w:rPr>
                <w:rFonts w:hint="eastAsia"/>
                <w:color w:val="auto"/>
                <w:highlight w:val="none"/>
              </w:rPr>
              <w:t>道路交通昼间声环境质量为一级，等效声级为67.6dB</w:t>
            </w:r>
            <w:r>
              <w:rPr>
                <w:rFonts w:hint="eastAsia"/>
                <w:color w:val="auto"/>
                <w:highlight w:val="none"/>
                <w:lang w:eastAsia="zh-CN"/>
              </w:rPr>
              <w:t>（</w:t>
            </w:r>
            <w:r>
              <w:rPr>
                <w:rFonts w:hint="eastAsia"/>
                <w:color w:val="auto"/>
                <w:highlight w:val="none"/>
              </w:rPr>
              <w:t>A</w:t>
            </w:r>
            <w:r>
              <w:rPr>
                <w:rFonts w:hint="eastAsia"/>
                <w:color w:val="auto"/>
                <w:highlight w:val="none"/>
                <w:lang w:eastAsia="zh-CN"/>
              </w:rPr>
              <w:t>）；</w:t>
            </w:r>
            <w:r>
              <w:rPr>
                <w:rFonts w:hint="eastAsia"/>
                <w:color w:val="auto"/>
                <w:highlight w:val="none"/>
              </w:rPr>
              <w:t>功能区昼间达标率100%，功能区夜间达标率93.8%。</w:t>
            </w:r>
          </w:p>
          <w:p w14:paraId="3FE1E31A">
            <w:pPr>
              <w:pStyle w:val="31"/>
              <w:bidi w:val="0"/>
              <w:rPr>
                <w:rFonts w:hint="eastAsia"/>
                <w:color w:val="auto"/>
                <w:highlight w:val="none"/>
                <w:lang w:val="en-US" w:eastAsia="zh-CN"/>
              </w:rPr>
            </w:pPr>
            <w:r>
              <w:rPr>
                <w:rFonts w:hint="eastAsia"/>
                <w:color w:val="auto"/>
                <w:highlight w:val="none"/>
                <w:lang w:val="en-US" w:eastAsia="zh-CN"/>
              </w:rPr>
              <w:t>根据</w:t>
            </w:r>
            <w:r>
              <w:rPr>
                <w:color w:val="auto"/>
                <w:highlight w:val="none"/>
              </w:rPr>
              <w:t>《</w:t>
            </w:r>
            <w:r>
              <w:rPr>
                <w:rFonts w:hint="eastAsia"/>
                <w:color w:val="auto"/>
                <w:highlight w:val="none"/>
              </w:rPr>
              <w:fldChar w:fldCharType="begin"/>
            </w:r>
            <w:r>
              <w:rPr>
                <w:rFonts w:hint="eastAsia"/>
                <w:color w:val="auto"/>
                <w:highlight w:val="none"/>
              </w:rPr>
              <w:instrText xml:space="preserve"> HYPERLINK "https://www.mee.gov.cn/xxgk2018/xxgk/xxgk05/202101/W020210104371003931528.pdf" </w:instrText>
            </w:r>
            <w:r>
              <w:rPr>
                <w:rFonts w:hint="eastAsia"/>
                <w:color w:val="auto"/>
                <w:highlight w:val="none"/>
              </w:rPr>
              <w:fldChar w:fldCharType="separate"/>
            </w:r>
            <w:r>
              <w:rPr>
                <w:rFonts w:hint="eastAsia"/>
                <w:color w:val="auto"/>
                <w:highlight w:val="none"/>
              </w:rPr>
              <w:t>建设项目环境影响报告表编制技术指南（污染影响类）（试行）</w:t>
            </w:r>
            <w:r>
              <w:rPr>
                <w:rFonts w:hint="eastAsia"/>
                <w:color w:val="auto"/>
                <w:highlight w:val="none"/>
              </w:rPr>
              <w:fldChar w:fldCharType="end"/>
            </w:r>
            <w:r>
              <w:rPr>
                <w:rFonts w:hint="eastAsia"/>
                <w:color w:val="auto"/>
                <w:highlight w:val="none"/>
              </w:rPr>
              <w:t>》</w:t>
            </w:r>
            <w:r>
              <w:rPr>
                <w:rFonts w:hint="eastAsia"/>
                <w:color w:val="auto"/>
                <w:highlight w:val="none"/>
                <w:lang w:val="en-US" w:eastAsia="zh-CN"/>
              </w:rPr>
              <w:t>中“厂界外周边</w:t>
            </w:r>
            <w:r>
              <w:rPr>
                <w:rFonts w:hint="default"/>
                <w:color w:val="auto"/>
                <w:highlight w:val="none"/>
                <w:lang w:val="en-US" w:eastAsia="zh-CN"/>
              </w:rPr>
              <w:t>50</w:t>
            </w:r>
            <w:r>
              <w:rPr>
                <w:rFonts w:hint="eastAsia"/>
                <w:color w:val="auto"/>
                <w:highlight w:val="none"/>
                <w:lang w:val="en-US" w:eastAsia="zh-CN"/>
              </w:rPr>
              <w:t>米范围内存在声环境保护目标的建设项目，应监测保护目标声环境质量现状并评价达标情况”的相关要求，本项目</w:t>
            </w:r>
            <w:r>
              <w:rPr>
                <w:color w:val="auto"/>
                <w:highlight w:val="none"/>
              </w:rPr>
              <w:t>厂界外周边50米范围内</w:t>
            </w:r>
            <w:r>
              <w:rPr>
                <w:rFonts w:hint="eastAsia"/>
                <w:color w:val="auto"/>
                <w:highlight w:val="none"/>
                <w:lang w:val="en-US" w:eastAsia="zh-CN"/>
              </w:rPr>
              <w:t>无</w:t>
            </w:r>
            <w:r>
              <w:rPr>
                <w:color w:val="auto"/>
                <w:highlight w:val="none"/>
              </w:rPr>
              <w:t>声环境保护目标</w:t>
            </w:r>
            <w:r>
              <w:rPr>
                <w:rFonts w:hint="eastAsia"/>
                <w:color w:val="auto"/>
                <w:highlight w:val="none"/>
                <w:lang w:val="en-US" w:eastAsia="zh-CN"/>
              </w:rPr>
              <w:t>，故本项目不进行现状检测。</w:t>
            </w:r>
          </w:p>
          <w:p w14:paraId="006CD0D4">
            <w:pPr>
              <w:keepNext w:val="0"/>
              <w:keepLines w:val="0"/>
              <w:pageBreakBefore w:val="0"/>
              <w:widowControl w:val="0"/>
              <w:kinsoku/>
              <w:wordWrap w:val="0"/>
              <w:overflowPunct/>
              <w:topLinePunct/>
              <w:autoSpaceDE/>
              <w:autoSpaceDN/>
              <w:bidi w:val="0"/>
              <w:adjustRightInd/>
              <w:snapToGrid/>
              <w:spacing w:after="0" w:line="360" w:lineRule="auto"/>
              <w:ind w:left="0" w:firstLine="480" w:firstLineChars="200"/>
              <w:jc w:val="left"/>
              <w:textAlignment w:val="center"/>
              <w:rPr>
                <w:color w:val="auto"/>
                <w:highlight w:val="none"/>
                <w:lang w:val="en-US" w:eastAsia="zh-CN"/>
              </w:rPr>
            </w:pPr>
            <w:r>
              <w:rPr>
                <w:rFonts w:hint="eastAsia"/>
                <w:color w:val="auto"/>
                <w:highlight w:val="none"/>
                <w:lang w:val="en-US" w:eastAsia="zh-CN"/>
              </w:rPr>
              <w:t>4</w:t>
            </w:r>
            <w:r>
              <w:rPr>
                <w:color w:val="auto"/>
                <w:highlight w:val="none"/>
                <w:lang w:val="en-US" w:eastAsia="zh-CN"/>
              </w:rPr>
              <w:t>、生态环境现状</w:t>
            </w:r>
          </w:p>
          <w:p w14:paraId="663D6A5B">
            <w:pPr>
              <w:pStyle w:val="31"/>
              <w:bidi w:val="0"/>
              <w:rPr>
                <w:color w:val="auto"/>
                <w:highlight w:val="none"/>
              </w:rPr>
            </w:pPr>
            <w:r>
              <w:rPr>
                <w:color w:val="auto"/>
                <w:highlight w:val="none"/>
              </w:rPr>
              <w:t>本项目厂址区域内无国家、省、市级自然保护区、风景名胜区、世界文化和自然遗产地、海洋特别保护区、基本农田保护区、基本草原、森林公园、地质公园、重要湿地、天然林、野生动物重要栖息地、重点保护野生植物生长繁殖地、重要水生生物的自然产卵场、索饵场、越冬场和洄游通道、天然渔场、沙化土地封禁保护区、封闭及半封闭海域等环境敏感区。</w:t>
            </w:r>
          </w:p>
          <w:p w14:paraId="045E072C">
            <w:pPr>
              <w:pStyle w:val="31"/>
              <w:bidi w:val="0"/>
              <w:rPr>
                <w:color w:val="auto"/>
                <w:highlight w:val="none"/>
              </w:rPr>
            </w:pPr>
            <w:r>
              <w:rPr>
                <w:rFonts w:hint="eastAsia"/>
                <w:color w:val="auto"/>
                <w:highlight w:val="none"/>
                <w:lang w:val="en-US" w:eastAsia="zh-CN"/>
              </w:rPr>
              <w:t>5、</w:t>
            </w:r>
            <w:r>
              <w:rPr>
                <w:color w:val="auto"/>
                <w:highlight w:val="none"/>
              </w:rPr>
              <w:t>地下水、土壤环境</w:t>
            </w:r>
          </w:p>
          <w:p w14:paraId="65410B5F">
            <w:pPr>
              <w:snapToGrid w:val="0"/>
              <w:spacing w:line="360" w:lineRule="auto"/>
              <w:ind w:firstLine="480" w:firstLineChars="200"/>
              <w:jc w:val="left"/>
              <w:rPr>
                <w:rFonts w:hint="eastAsia"/>
                <w:color w:val="auto"/>
                <w:highlight w:val="none"/>
                <w:lang w:val="en-US" w:eastAsia="zh-CN"/>
              </w:rPr>
            </w:pPr>
            <w:r>
              <w:rPr>
                <w:color w:val="auto"/>
                <w:highlight w:val="none"/>
              </w:rPr>
              <w:t>根据《建设项目环境影响报告表编制技术指南</w:t>
            </w:r>
            <w:r>
              <w:rPr>
                <w:rFonts w:hint="eastAsia"/>
                <w:color w:val="auto"/>
                <w:highlight w:val="none"/>
                <w:lang w:eastAsia="zh-CN"/>
              </w:rPr>
              <w:t>（</w:t>
            </w:r>
            <w:r>
              <w:rPr>
                <w:color w:val="auto"/>
                <w:highlight w:val="none"/>
              </w:rPr>
              <w:t>污染影响类</w:t>
            </w:r>
            <w:r>
              <w:rPr>
                <w:rFonts w:hint="eastAsia"/>
                <w:color w:val="auto"/>
                <w:highlight w:val="none"/>
                <w:lang w:eastAsia="zh-CN"/>
              </w:rPr>
              <w:t>）（</w:t>
            </w:r>
            <w:r>
              <w:rPr>
                <w:color w:val="auto"/>
                <w:highlight w:val="none"/>
              </w:rPr>
              <w:t>试行</w:t>
            </w:r>
            <w:r>
              <w:rPr>
                <w:rFonts w:hint="eastAsia"/>
                <w:color w:val="auto"/>
                <w:highlight w:val="none"/>
                <w:lang w:eastAsia="zh-CN"/>
              </w:rPr>
              <w:t>）</w:t>
            </w:r>
            <w:r>
              <w:rPr>
                <w:color w:val="auto"/>
                <w:highlight w:val="none"/>
              </w:rPr>
              <w:t>》，原则上不开展地下水和土壤环境质量现状调查，本项目厂界500米范围内无地下水集中式饮用水水源和热水、矿泉水、温泉等特殊地下水资源，项目用地范围内进行了硬底化，不存在土壤、地下水污染途径，不开展地下水和土壤环境质量现状调查。</w:t>
            </w:r>
          </w:p>
        </w:tc>
      </w:tr>
      <w:tr w14:paraId="0AAD89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448" w:type="pct"/>
            <w:noWrap w:val="0"/>
            <w:vAlign w:val="center"/>
          </w:tcPr>
          <w:p w14:paraId="75A2EB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环境</w:t>
            </w:r>
          </w:p>
          <w:p w14:paraId="6BAA22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保护</w:t>
            </w:r>
          </w:p>
          <w:p w14:paraId="043823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目标</w:t>
            </w:r>
          </w:p>
        </w:tc>
        <w:tc>
          <w:tcPr>
            <w:tcW w:w="4551" w:type="pct"/>
            <w:noWrap w:val="0"/>
            <w:vAlign w:val="center"/>
          </w:tcPr>
          <w:p w14:paraId="05809387">
            <w:pPr>
              <w:pStyle w:val="31"/>
              <w:keepNext w:val="0"/>
              <w:keepLines w:val="0"/>
              <w:pageBreakBefore w:val="0"/>
              <w:widowControl w:val="0"/>
              <w:kinsoku/>
              <w:wordWrap w:val="0"/>
              <w:overflowPunct/>
              <w:topLinePunct/>
              <w:autoSpaceDE/>
              <w:autoSpaceDN/>
              <w:bidi w:val="0"/>
              <w:adjustRightInd/>
              <w:snapToGrid/>
              <w:spacing w:before="157" w:beforeLines="50"/>
              <w:textAlignment w:val="auto"/>
              <w:rPr>
                <w:color w:val="auto"/>
                <w:highlight w:val="none"/>
              </w:rPr>
            </w:pPr>
            <w:r>
              <w:rPr>
                <w:color w:val="auto"/>
                <w:highlight w:val="none"/>
              </w:rPr>
              <w:t>环境保护目标</w:t>
            </w:r>
            <w:r>
              <w:rPr>
                <w:rFonts w:hint="eastAsia"/>
                <w:color w:val="auto"/>
                <w:highlight w:val="none"/>
                <w:lang w:val="en-US" w:eastAsia="zh-CN"/>
              </w:rPr>
              <w:t>分布图见附图3，根</w:t>
            </w:r>
            <w:r>
              <w:rPr>
                <w:color w:val="auto"/>
                <w:highlight w:val="none"/>
              </w:rPr>
              <w:t>据现场踏勘可知：</w:t>
            </w:r>
          </w:p>
          <w:p w14:paraId="764979FA">
            <w:pPr>
              <w:pStyle w:val="31"/>
              <w:bidi w:val="0"/>
              <w:rPr>
                <w:rFonts w:hint="default"/>
                <w:color w:val="auto"/>
                <w:highlight w:val="none"/>
                <w:lang w:val="en-US" w:eastAsia="zh-CN"/>
              </w:rPr>
            </w:pPr>
            <w:r>
              <w:rPr>
                <w:color w:val="auto"/>
                <w:highlight w:val="none"/>
                <w:lang w:val="en-US" w:eastAsia="zh-CN"/>
              </w:rPr>
              <w:t>（1）</w:t>
            </w:r>
            <w:r>
              <w:rPr>
                <w:rFonts w:hint="eastAsia"/>
                <w:color w:val="auto"/>
                <w:highlight w:val="none"/>
                <w:lang w:val="en-US" w:eastAsia="zh-CN"/>
              </w:rPr>
              <w:t>大气环境</w:t>
            </w:r>
          </w:p>
          <w:p w14:paraId="1FA35CB8">
            <w:pPr>
              <w:pStyle w:val="31"/>
              <w:bidi w:val="0"/>
              <w:rPr>
                <w:color w:val="auto"/>
                <w:highlight w:val="none"/>
                <w:lang w:val="en-US" w:eastAsia="zh-CN"/>
              </w:rPr>
            </w:pPr>
            <w:r>
              <w:rPr>
                <w:color w:val="auto"/>
                <w:highlight w:val="none"/>
                <w:lang w:val="en-US" w:eastAsia="zh-CN"/>
              </w:rPr>
              <w:t>本项目</w:t>
            </w:r>
            <w:r>
              <w:rPr>
                <w:rFonts w:hint="eastAsia"/>
                <w:color w:val="auto"/>
                <w:highlight w:val="none"/>
                <w:lang w:val="en-US" w:eastAsia="zh-CN"/>
              </w:rPr>
              <w:t>厂界外500m范围内</w:t>
            </w:r>
            <w:r>
              <w:rPr>
                <w:color w:val="auto"/>
                <w:highlight w:val="none"/>
                <w:lang w:val="en-US" w:eastAsia="zh-CN"/>
              </w:rPr>
              <w:t>无自然保护区、风景名胜区等保护目标，根据项目特点及周边环境状况，确定大气环境保护目标，详见表3-</w:t>
            </w:r>
            <w:r>
              <w:rPr>
                <w:rFonts w:hint="eastAsia"/>
                <w:color w:val="auto"/>
                <w:highlight w:val="none"/>
                <w:lang w:val="en-US" w:eastAsia="zh-CN"/>
              </w:rPr>
              <w:t>3</w:t>
            </w:r>
            <w:r>
              <w:rPr>
                <w:color w:val="auto"/>
                <w:highlight w:val="none"/>
                <w:lang w:val="en-US" w:eastAsia="zh-CN"/>
              </w:rPr>
              <w:t>。</w:t>
            </w:r>
          </w:p>
          <w:p w14:paraId="4517BF75">
            <w:pPr>
              <w:pStyle w:val="45"/>
              <w:bidi w:val="0"/>
              <w:rPr>
                <w:color w:val="auto"/>
                <w:highlight w:val="none"/>
                <w:lang w:val="en-US" w:eastAsia="zh-CN"/>
              </w:rPr>
            </w:pPr>
            <w:r>
              <w:rPr>
                <w:color w:val="auto"/>
                <w:highlight w:val="none"/>
                <w:lang w:val="en-US" w:eastAsia="zh-CN"/>
              </w:rPr>
              <w:t>表3-</w:t>
            </w:r>
            <w:r>
              <w:rPr>
                <w:rFonts w:hint="eastAsia"/>
                <w:color w:val="auto"/>
                <w:highlight w:val="none"/>
                <w:lang w:val="en-US" w:eastAsia="zh-CN"/>
              </w:rPr>
              <w:t>3</w:t>
            </w:r>
            <w:r>
              <w:rPr>
                <w:color w:val="auto"/>
                <w:highlight w:val="none"/>
                <w:lang w:val="en-US" w:eastAsia="zh-CN"/>
              </w:rPr>
              <w:t>大气环境保护目标一览表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35"/>
              <w:gridCol w:w="688"/>
              <w:gridCol w:w="1306"/>
              <w:gridCol w:w="1306"/>
              <w:gridCol w:w="881"/>
              <w:gridCol w:w="792"/>
              <w:gridCol w:w="792"/>
              <w:gridCol w:w="534"/>
              <w:gridCol w:w="606"/>
            </w:tblGrid>
            <w:tr w14:paraId="2AB305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pct"/>
                  <w:vMerge w:val="restart"/>
                  <w:tcBorders>
                    <w:tl2br w:val="nil"/>
                    <w:tr2bl w:val="nil"/>
                  </w:tcBorders>
                  <w:noWrap w:val="0"/>
                  <w:vAlign w:val="center"/>
                </w:tcPr>
                <w:p w14:paraId="0126B8C7">
                  <w:pPr>
                    <w:pStyle w:val="34"/>
                    <w:bidi w:val="0"/>
                    <w:rPr>
                      <w:rFonts w:hint="default"/>
                      <w:color w:val="auto"/>
                      <w:highlight w:val="none"/>
                    </w:rPr>
                  </w:pPr>
                  <w:r>
                    <w:rPr>
                      <w:rFonts w:hint="default"/>
                      <w:color w:val="auto"/>
                      <w:highlight w:val="none"/>
                    </w:rPr>
                    <w:t>环境</w:t>
                  </w:r>
                </w:p>
                <w:p w14:paraId="4095026A">
                  <w:pPr>
                    <w:pStyle w:val="34"/>
                    <w:bidi w:val="0"/>
                    <w:rPr>
                      <w:rFonts w:hint="default"/>
                      <w:color w:val="auto"/>
                      <w:highlight w:val="none"/>
                    </w:rPr>
                  </w:pPr>
                  <w:r>
                    <w:rPr>
                      <w:rFonts w:hint="default"/>
                      <w:color w:val="auto"/>
                      <w:highlight w:val="none"/>
                    </w:rPr>
                    <w:t>要素</w:t>
                  </w:r>
                </w:p>
              </w:tc>
              <w:tc>
                <w:tcPr>
                  <w:tcW w:w="456" w:type="pct"/>
                  <w:vMerge w:val="restart"/>
                  <w:tcBorders>
                    <w:tl2br w:val="nil"/>
                    <w:tr2bl w:val="nil"/>
                  </w:tcBorders>
                  <w:noWrap w:val="0"/>
                  <w:vAlign w:val="center"/>
                </w:tcPr>
                <w:p w14:paraId="369413AB">
                  <w:pPr>
                    <w:pStyle w:val="34"/>
                    <w:bidi w:val="0"/>
                    <w:rPr>
                      <w:rFonts w:hint="default"/>
                      <w:color w:val="auto"/>
                      <w:highlight w:val="none"/>
                    </w:rPr>
                  </w:pPr>
                  <w:r>
                    <w:rPr>
                      <w:rFonts w:hint="default"/>
                      <w:color w:val="auto"/>
                      <w:highlight w:val="none"/>
                    </w:rPr>
                    <w:t>名称</w:t>
                  </w:r>
                </w:p>
              </w:tc>
              <w:tc>
                <w:tcPr>
                  <w:tcW w:w="1732" w:type="pct"/>
                  <w:gridSpan w:val="2"/>
                  <w:tcBorders>
                    <w:tl2br w:val="nil"/>
                    <w:tr2bl w:val="nil"/>
                  </w:tcBorders>
                  <w:noWrap w:val="0"/>
                  <w:vAlign w:val="center"/>
                </w:tcPr>
                <w:p w14:paraId="5ED94B9C">
                  <w:pPr>
                    <w:pStyle w:val="34"/>
                    <w:bidi w:val="0"/>
                    <w:rPr>
                      <w:rFonts w:hint="default"/>
                      <w:color w:val="auto"/>
                      <w:highlight w:val="none"/>
                    </w:rPr>
                  </w:pPr>
                  <w:r>
                    <w:rPr>
                      <w:rFonts w:hint="default"/>
                      <w:color w:val="auto"/>
                      <w:highlight w:val="none"/>
                    </w:rPr>
                    <w:t>坐标</w:t>
                  </w:r>
                </w:p>
              </w:tc>
              <w:tc>
                <w:tcPr>
                  <w:tcW w:w="584" w:type="pct"/>
                  <w:vMerge w:val="restart"/>
                  <w:tcBorders>
                    <w:tl2br w:val="nil"/>
                    <w:tr2bl w:val="nil"/>
                  </w:tcBorders>
                  <w:noWrap w:val="0"/>
                  <w:vAlign w:val="center"/>
                </w:tcPr>
                <w:p w14:paraId="574E3739">
                  <w:pPr>
                    <w:pStyle w:val="34"/>
                    <w:bidi w:val="0"/>
                    <w:rPr>
                      <w:rFonts w:hint="default"/>
                      <w:color w:val="auto"/>
                      <w:highlight w:val="none"/>
                    </w:rPr>
                  </w:pPr>
                  <w:r>
                    <w:rPr>
                      <w:rFonts w:hint="default"/>
                      <w:color w:val="auto"/>
                      <w:highlight w:val="none"/>
                    </w:rPr>
                    <w:t>保护对象</w:t>
                  </w:r>
                </w:p>
              </w:tc>
              <w:tc>
                <w:tcPr>
                  <w:tcW w:w="525" w:type="pct"/>
                  <w:vMerge w:val="restart"/>
                  <w:tcBorders>
                    <w:tl2br w:val="nil"/>
                    <w:tr2bl w:val="nil"/>
                  </w:tcBorders>
                  <w:noWrap w:val="0"/>
                  <w:vAlign w:val="center"/>
                </w:tcPr>
                <w:p w14:paraId="72F957FE">
                  <w:pPr>
                    <w:pStyle w:val="34"/>
                    <w:bidi w:val="0"/>
                    <w:rPr>
                      <w:rFonts w:hint="default"/>
                      <w:color w:val="auto"/>
                      <w:highlight w:val="none"/>
                    </w:rPr>
                  </w:pPr>
                  <w:r>
                    <w:rPr>
                      <w:rFonts w:hint="default"/>
                      <w:color w:val="auto"/>
                      <w:highlight w:val="none"/>
                    </w:rPr>
                    <w:t>相对厂址方位</w:t>
                  </w:r>
                </w:p>
              </w:tc>
              <w:tc>
                <w:tcPr>
                  <w:tcW w:w="525" w:type="pct"/>
                  <w:vMerge w:val="restart"/>
                  <w:tcBorders>
                    <w:tl2br w:val="nil"/>
                    <w:tr2bl w:val="nil"/>
                  </w:tcBorders>
                  <w:noWrap w:val="0"/>
                  <w:vAlign w:val="center"/>
                </w:tcPr>
                <w:p w14:paraId="0F54C1C4">
                  <w:pPr>
                    <w:pStyle w:val="34"/>
                    <w:bidi w:val="0"/>
                    <w:rPr>
                      <w:rFonts w:hint="default"/>
                      <w:color w:val="auto"/>
                      <w:highlight w:val="none"/>
                    </w:rPr>
                  </w:pPr>
                  <w:r>
                    <w:rPr>
                      <w:rFonts w:hint="default"/>
                      <w:color w:val="auto"/>
                      <w:highlight w:val="none"/>
                    </w:rPr>
                    <w:t>相对厂界距离（m）</w:t>
                  </w:r>
                </w:p>
              </w:tc>
              <w:tc>
                <w:tcPr>
                  <w:tcW w:w="354" w:type="pct"/>
                  <w:vMerge w:val="restart"/>
                  <w:tcBorders>
                    <w:tl2br w:val="nil"/>
                    <w:tr2bl w:val="nil"/>
                  </w:tcBorders>
                  <w:noWrap w:val="0"/>
                  <w:vAlign w:val="center"/>
                </w:tcPr>
                <w:p w14:paraId="15BC245C">
                  <w:pPr>
                    <w:pStyle w:val="34"/>
                    <w:bidi w:val="0"/>
                    <w:rPr>
                      <w:rFonts w:hint="default"/>
                      <w:color w:val="auto"/>
                      <w:highlight w:val="none"/>
                    </w:rPr>
                  </w:pPr>
                  <w:r>
                    <w:rPr>
                      <w:rFonts w:hint="default"/>
                      <w:color w:val="auto"/>
                      <w:highlight w:val="none"/>
                    </w:rPr>
                    <w:t>保护内容</w:t>
                  </w:r>
                </w:p>
              </w:tc>
              <w:tc>
                <w:tcPr>
                  <w:tcW w:w="401" w:type="pct"/>
                  <w:vMerge w:val="restart"/>
                  <w:tcBorders>
                    <w:tl2br w:val="nil"/>
                    <w:tr2bl w:val="nil"/>
                  </w:tcBorders>
                  <w:noWrap w:val="0"/>
                  <w:vAlign w:val="center"/>
                </w:tcPr>
                <w:p w14:paraId="7C8C991B">
                  <w:pPr>
                    <w:pStyle w:val="34"/>
                    <w:bidi w:val="0"/>
                    <w:rPr>
                      <w:rFonts w:hint="default"/>
                      <w:color w:val="auto"/>
                      <w:highlight w:val="none"/>
                    </w:rPr>
                  </w:pPr>
                  <w:r>
                    <w:rPr>
                      <w:rFonts w:hint="default"/>
                      <w:color w:val="auto"/>
                      <w:highlight w:val="none"/>
                    </w:rPr>
                    <w:t>环境功能区</w:t>
                  </w:r>
                </w:p>
              </w:tc>
            </w:tr>
            <w:tr w14:paraId="2C9B64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21" w:type="pct"/>
                  <w:vMerge w:val="continue"/>
                  <w:tcBorders>
                    <w:tl2br w:val="nil"/>
                    <w:tr2bl w:val="nil"/>
                  </w:tcBorders>
                  <w:noWrap w:val="0"/>
                  <w:vAlign w:val="center"/>
                </w:tcPr>
                <w:p w14:paraId="0ECD8525">
                  <w:pPr>
                    <w:pStyle w:val="34"/>
                    <w:bidi w:val="0"/>
                    <w:rPr>
                      <w:rFonts w:hint="default"/>
                      <w:color w:val="auto"/>
                      <w:highlight w:val="none"/>
                    </w:rPr>
                  </w:pPr>
                </w:p>
              </w:tc>
              <w:tc>
                <w:tcPr>
                  <w:tcW w:w="456" w:type="pct"/>
                  <w:vMerge w:val="continue"/>
                  <w:tcBorders>
                    <w:tl2br w:val="nil"/>
                    <w:tr2bl w:val="nil"/>
                  </w:tcBorders>
                  <w:noWrap w:val="0"/>
                  <w:vAlign w:val="center"/>
                </w:tcPr>
                <w:p w14:paraId="544EED88">
                  <w:pPr>
                    <w:pStyle w:val="34"/>
                    <w:bidi w:val="0"/>
                    <w:rPr>
                      <w:rFonts w:hint="default"/>
                      <w:color w:val="auto"/>
                      <w:highlight w:val="none"/>
                    </w:rPr>
                  </w:pPr>
                </w:p>
              </w:tc>
              <w:tc>
                <w:tcPr>
                  <w:tcW w:w="866" w:type="pct"/>
                  <w:tcBorders>
                    <w:tl2br w:val="nil"/>
                    <w:tr2bl w:val="nil"/>
                  </w:tcBorders>
                  <w:noWrap w:val="0"/>
                  <w:vAlign w:val="center"/>
                </w:tcPr>
                <w:p w14:paraId="2E739E2D">
                  <w:pPr>
                    <w:pStyle w:val="34"/>
                    <w:bidi w:val="0"/>
                    <w:rPr>
                      <w:rFonts w:hint="default"/>
                      <w:color w:val="auto"/>
                      <w:highlight w:val="none"/>
                    </w:rPr>
                  </w:pPr>
                  <w:r>
                    <w:rPr>
                      <w:rFonts w:hint="default"/>
                      <w:color w:val="auto"/>
                      <w:highlight w:val="none"/>
                    </w:rPr>
                    <w:t>东经</w:t>
                  </w:r>
                </w:p>
              </w:tc>
              <w:tc>
                <w:tcPr>
                  <w:tcW w:w="866" w:type="pct"/>
                  <w:tcBorders>
                    <w:tl2br w:val="nil"/>
                    <w:tr2bl w:val="nil"/>
                  </w:tcBorders>
                  <w:noWrap w:val="0"/>
                  <w:vAlign w:val="center"/>
                </w:tcPr>
                <w:p w14:paraId="0B1183E6">
                  <w:pPr>
                    <w:pStyle w:val="34"/>
                    <w:bidi w:val="0"/>
                    <w:rPr>
                      <w:rFonts w:hint="default"/>
                      <w:color w:val="auto"/>
                      <w:highlight w:val="none"/>
                    </w:rPr>
                  </w:pPr>
                  <w:r>
                    <w:rPr>
                      <w:rFonts w:hint="default"/>
                      <w:color w:val="auto"/>
                      <w:highlight w:val="none"/>
                    </w:rPr>
                    <w:t>北纬</w:t>
                  </w:r>
                </w:p>
              </w:tc>
              <w:tc>
                <w:tcPr>
                  <w:tcW w:w="584" w:type="pct"/>
                  <w:vMerge w:val="continue"/>
                  <w:tcBorders>
                    <w:tl2br w:val="nil"/>
                    <w:tr2bl w:val="nil"/>
                  </w:tcBorders>
                  <w:noWrap w:val="0"/>
                  <w:vAlign w:val="center"/>
                </w:tcPr>
                <w:p w14:paraId="2602F6E1">
                  <w:pPr>
                    <w:pStyle w:val="34"/>
                    <w:bidi w:val="0"/>
                    <w:rPr>
                      <w:rFonts w:hint="default"/>
                      <w:color w:val="auto"/>
                      <w:highlight w:val="none"/>
                    </w:rPr>
                  </w:pPr>
                </w:p>
              </w:tc>
              <w:tc>
                <w:tcPr>
                  <w:tcW w:w="525" w:type="pct"/>
                  <w:vMerge w:val="continue"/>
                  <w:tcBorders>
                    <w:tl2br w:val="nil"/>
                    <w:tr2bl w:val="nil"/>
                  </w:tcBorders>
                  <w:noWrap w:val="0"/>
                  <w:vAlign w:val="center"/>
                </w:tcPr>
                <w:p w14:paraId="0C8CCD4F">
                  <w:pPr>
                    <w:pStyle w:val="34"/>
                    <w:bidi w:val="0"/>
                    <w:rPr>
                      <w:rFonts w:hint="default"/>
                      <w:color w:val="auto"/>
                      <w:highlight w:val="none"/>
                    </w:rPr>
                  </w:pPr>
                </w:p>
              </w:tc>
              <w:tc>
                <w:tcPr>
                  <w:tcW w:w="525" w:type="pct"/>
                  <w:vMerge w:val="continue"/>
                  <w:tcBorders>
                    <w:tl2br w:val="nil"/>
                    <w:tr2bl w:val="nil"/>
                  </w:tcBorders>
                  <w:noWrap w:val="0"/>
                  <w:vAlign w:val="center"/>
                </w:tcPr>
                <w:p w14:paraId="0564DFED">
                  <w:pPr>
                    <w:pStyle w:val="34"/>
                    <w:bidi w:val="0"/>
                    <w:rPr>
                      <w:rFonts w:hint="default"/>
                      <w:color w:val="auto"/>
                      <w:highlight w:val="none"/>
                    </w:rPr>
                  </w:pPr>
                </w:p>
              </w:tc>
              <w:tc>
                <w:tcPr>
                  <w:tcW w:w="354" w:type="pct"/>
                  <w:vMerge w:val="continue"/>
                  <w:tcBorders>
                    <w:tl2br w:val="nil"/>
                    <w:tr2bl w:val="nil"/>
                  </w:tcBorders>
                  <w:noWrap w:val="0"/>
                  <w:vAlign w:val="center"/>
                </w:tcPr>
                <w:p w14:paraId="1D5D3A7B">
                  <w:pPr>
                    <w:pStyle w:val="34"/>
                    <w:bidi w:val="0"/>
                    <w:rPr>
                      <w:rFonts w:hint="default"/>
                      <w:color w:val="auto"/>
                      <w:highlight w:val="none"/>
                    </w:rPr>
                  </w:pPr>
                </w:p>
              </w:tc>
              <w:tc>
                <w:tcPr>
                  <w:tcW w:w="401" w:type="pct"/>
                  <w:vMerge w:val="continue"/>
                  <w:tcBorders>
                    <w:tl2br w:val="nil"/>
                    <w:tr2bl w:val="nil"/>
                  </w:tcBorders>
                  <w:noWrap w:val="0"/>
                  <w:vAlign w:val="center"/>
                </w:tcPr>
                <w:p w14:paraId="3BB79046">
                  <w:pPr>
                    <w:pStyle w:val="34"/>
                    <w:bidi w:val="0"/>
                    <w:rPr>
                      <w:rFonts w:hint="default"/>
                      <w:color w:val="auto"/>
                      <w:highlight w:val="none"/>
                    </w:rPr>
                  </w:pPr>
                </w:p>
              </w:tc>
            </w:tr>
            <w:tr w14:paraId="6BC172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421" w:type="pct"/>
                  <w:tcBorders>
                    <w:tl2br w:val="nil"/>
                    <w:tr2bl w:val="nil"/>
                  </w:tcBorders>
                  <w:noWrap w:val="0"/>
                  <w:vAlign w:val="center"/>
                </w:tcPr>
                <w:p w14:paraId="17FEB134">
                  <w:pPr>
                    <w:pStyle w:val="34"/>
                    <w:bidi w:val="0"/>
                    <w:rPr>
                      <w:rFonts w:hint="default"/>
                      <w:color w:val="auto"/>
                      <w:highlight w:val="none"/>
                    </w:rPr>
                  </w:pPr>
                  <w:r>
                    <w:rPr>
                      <w:rFonts w:hint="default"/>
                      <w:color w:val="auto"/>
                      <w:highlight w:val="none"/>
                    </w:rPr>
                    <w:t>大气环境</w:t>
                  </w:r>
                </w:p>
              </w:tc>
              <w:tc>
                <w:tcPr>
                  <w:tcW w:w="456" w:type="pct"/>
                  <w:tcBorders>
                    <w:tl2br w:val="nil"/>
                    <w:tr2bl w:val="nil"/>
                  </w:tcBorders>
                  <w:noWrap w:val="0"/>
                  <w:vAlign w:val="center"/>
                </w:tcPr>
                <w:p w14:paraId="799F0E3C">
                  <w:pPr>
                    <w:pStyle w:val="34"/>
                    <w:bidi w:val="0"/>
                    <w:rPr>
                      <w:rFonts w:hint="default"/>
                      <w:color w:val="auto"/>
                      <w:highlight w:val="none"/>
                      <w:lang w:val="en-US" w:eastAsia="zh-CN"/>
                    </w:rPr>
                  </w:pPr>
                  <w:r>
                    <w:rPr>
                      <w:rFonts w:hint="eastAsia"/>
                      <w:color w:val="auto"/>
                      <w:highlight w:val="none"/>
                      <w:lang w:val="en-US" w:eastAsia="zh-CN"/>
                    </w:rPr>
                    <w:t>沙岗乡</w:t>
                  </w:r>
                </w:p>
              </w:tc>
              <w:tc>
                <w:tcPr>
                  <w:tcW w:w="866" w:type="pct"/>
                  <w:tcBorders>
                    <w:tl2br w:val="nil"/>
                    <w:tr2bl w:val="nil"/>
                  </w:tcBorders>
                  <w:noWrap w:val="0"/>
                  <w:vAlign w:val="center"/>
                </w:tcPr>
                <w:p w14:paraId="681D4DBE">
                  <w:pPr>
                    <w:pStyle w:val="34"/>
                    <w:bidi w:val="0"/>
                    <w:rPr>
                      <w:rFonts w:hint="default"/>
                      <w:color w:val="auto"/>
                      <w:highlight w:val="none"/>
                    </w:rPr>
                  </w:pPr>
                  <w:r>
                    <w:rPr>
                      <w:rFonts w:hint="eastAsia"/>
                      <w:color w:val="auto"/>
                      <w:highlight w:val="none"/>
                    </w:rPr>
                    <w:t>131.175850</w:t>
                  </w:r>
                </w:p>
              </w:tc>
              <w:tc>
                <w:tcPr>
                  <w:tcW w:w="866" w:type="pct"/>
                  <w:tcBorders>
                    <w:tl2br w:val="nil"/>
                    <w:tr2bl w:val="nil"/>
                  </w:tcBorders>
                  <w:noWrap w:val="0"/>
                  <w:vAlign w:val="center"/>
                </w:tcPr>
                <w:p w14:paraId="7C2F6FC5">
                  <w:pPr>
                    <w:pStyle w:val="34"/>
                    <w:bidi w:val="0"/>
                    <w:rPr>
                      <w:rFonts w:hint="default"/>
                      <w:color w:val="auto"/>
                      <w:highlight w:val="none"/>
                    </w:rPr>
                  </w:pPr>
                  <w:r>
                    <w:rPr>
                      <w:rFonts w:hint="eastAsia"/>
                      <w:color w:val="auto"/>
                      <w:highlight w:val="none"/>
                    </w:rPr>
                    <w:t>46.726377</w:t>
                  </w:r>
                </w:p>
              </w:tc>
              <w:tc>
                <w:tcPr>
                  <w:tcW w:w="584" w:type="pct"/>
                  <w:tcBorders>
                    <w:tl2br w:val="nil"/>
                    <w:tr2bl w:val="nil"/>
                  </w:tcBorders>
                  <w:noWrap w:val="0"/>
                  <w:vAlign w:val="center"/>
                </w:tcPr>
                <w:p w14:paraId="6FAFD57A">
                  <w:pPr>
                    <w:pStyle w:val="34"/>
                    <w:bidi w:val="0"/>
                    <w:rPr>
                      <w:rFonts w:hint="default"/>
                      <w:color w:val="auto"/>
                      <w:highlight w:val="none"/>
                      <w:lang w:val="en-US" w:eastAsia="zh-CN"/>
                    </w:rPr>
                  </w:pPr>
                  <w:r>
                    <w:rPr>
                      <w:rFonts w:hint="default"/>
                      <w:color w:val="auto"/>
                      <w:highlight w:val="none"/>
                    </w:rPr>
                    <w:t>农村地区中人群较集中区</w:t>
                  </w:r>
                </w:p>
              </w:tc>
              <w:tc>
                <w:tcPr>
                  <w:tcW w:w="525" w:type="pct"/>
                  <w:tcBorders>
                    <w:tl2br w:val="nil"/>
                    <w:tr2bl w:val="nil"/>
                  </w:tcBorders>
                  <w:noWrap w:val="0"/>
                  <w:vAlign w:val="center"/>
                </w:tcPr>
                <w:p w14:paraId="41BAD35E">
                  <w:pPr>
                    <w:pStyle w:val="34"/>
                    <w:bidi w:val="0"/>
                    <w:rPr>
                      <w:rFonts w:hint="eastAsia" w:eastAsia="宋体"/>
                      <w:color w:val="auto"/>
                      <w:highlight w:val="none"/>
                      <w:lang w:val="en-US" w:eastAsia="zh-CN"/>
                    </w:rPr>
                  </w:pPr>
                  <w:r>
                    <w:rPr>
                      <w:rFonts w:hint="eastAsia"/>
                      <w:color w:val="auto"/>
                      <w:highlight w:val="none"/>
                      <w:lang w:val="en-US" w:eastAsia="zh-CN"/>
                    </w:rPr>
                    <w:t>东南</w:t>
                  </w:r>
                </w:p>
              </w:tc>
              <w:tc>
                <w:tcPr>
                  <w:tcW w:w="525" w:type="pct"/>
                  <w:tcBorders>
                    <w:tl2br w:val="nil"/>
                    <w:tr2bl w:val="nil"/>
                  </w:tcBorders>
                  <w:noWrap w:val="0"/>
                  <w:vAlign w:val="center"/>
                </w:tcPr>
                <w:p w14:paraId="454AC3BA">
                  <w:pPr>
                    <w:pStyle w:val="34"/>
                    <w:bidi w:val="0"/>
                    <w:rPr>
                      <w:rFonts w:hint="default"/>
                      <w:color w:val="auto"/>
                      <w:highlight w:val="none"/>
                      <w:lang w:val="en-US" w:eastAsia="zh-CN"/>
                    </w:rPr>
                  </w:pPr>
                  <w:r>
                    <w:rPr>
                      <w:rFonts w:hint="eastAsia"/>
                      <w:color w:val="auto"/>
                      <w:highlight w:val="none"/>
                      <w:lang w:val="en-US" w:eastAsia="zh-CN"/>
                    </w:rPr>
                    <w:t>353</w:t>
                  </w:r>
                </w:p>
              </w:tc>
              <w:tc>
                <w:tcPr>
                  <w:tcW w:w="354" w:type="pct"/>
                  <w:tcBorders>
                    <w:tl2br w:val="nil"/>
                    <w:tr2bl w:val="nil"/>
                  </w:tcBorders>
                  <w:noWrap w:val="0"/>
                  <w:vAlign w:val="center"/>
                </w:tcPr>
                <w:p w14:paraId="4DACEAF6">
                  <w:pPr>
                    <w:pStyle w:val="34"/>
                    <w:bidi w:val="0"/>
                    <w:rPr>
                      <w:rFonts w:hint="default"/>
                      <w:color w:val="auto"/>
                      <w:highlight w:val="none"/>
                      <w:lang w:val="en-US" w:eastAsia="zh-CN"/>
                    </w:rPr>
                  </w:pPr>
                  <w:r>
                    <w:rPr>
                      <w:rFonts w:hint="default"/>
                      <w:color w:val="auto"/>
                      <w:highlight w:val="none"/>
                    </w:rPr>
                    <w:t>人群</w:t>
                  </w:r>
                </w:p>
              </w:tc>
              <w:tc>
                <w:tcPr>
                  <w:tcW w:w="401" w:type="pct"/>
                  <w:tcBorders>
                    <w:tl2br w:val="nil"/>
                    <w:tr2bl w:val="nil"/>
                  </w:tcBorders>
                  <w:noWrap w:val="0"/>
                  <w:vAlign w:val="center"/>
                </w:tcPr>
                <w:p w14:paraId="74C25314">
                  <w:pPr>
                    <w:pStyle w:val="34"/>
                    <w:bidi w:val="0"/>
                    <w:rPr>
                      <w:rFonts w:hint="default"/>
                      <w:color w:val="auto"/>
                      <w:highlight w:val="none"/>
                      <w:lang w:val="en-US" w:eastAsia="zh-CN"/>
                    </w:rPr>
                  </w:pPr>
                  <w:r>
                    <w:rPr>
                      <w:rFonts w:hint="default"/>
                      <w:color w:val="auto"/>
                      <w:highlight w:val="none"/>
                    </w:rPr>
                    <w:t>二类区</w:t>
                  </w:r>
                </w:p>
              </w:tc>
            </w:tr>
          </w:tbl>
          <w:p w14:paraId="636CF094">
            <w:pPr>
              <w:pStyle w:val="30"/>
              <w:bidi w:val="0"/>
              <w:rPr>
                <w:color w:val="auto"/>
                <w:highlight w:val="none"/>
              </w:rPr>
            </w:pPr>
            <w:r>
              <w:rPr>
                <w:color w:val="auto"/>
                <w:highlight w:val="none"/>
              </w:rPr>
              <w:t>（2）声环境</w:t>
            </w:r>
          </w:p>
          <w:p w14:paraId="79897275">
            <w:pPr>
              <w:pStyle w:val="31"/>
              <w:bidi w:val="0"/>
              <w:rPr>
                <w:color w:val="auto"/>
                <w:highlight w:val="none"/>
              </w:rPr>
            </w:pPr>
            <w:r>
              <w:rPr>
                <w:color w:val="auto"/>
                <w:highlight w:val="none"/>
              </w:rPr>
              <w:t>本项目声环境保护目标为厂界外50米范围内</w:t>
            </w:r>
            <w:r>
              <w:rPr>
                <w:rFonts w:hint="eastAsia"/>
                <w:color w:val="auto"/>
                <w:highlight w:val="none"/>
                <w:lang w:val="en-US" w:eastAsia="zh-CN"/>
              </w:rPr>
              <w:t>无声环境保护目标。</w:t>
            </w:r>
          </w:p>
          <w:p w14:paraId="26BA92FD">
            <w:pPr>
              <w:pStyle w:val="31"/>
              <w:bidi w:val="0"/>
              <w:rPr>
                <w:color w:val="auto"/>
                <w:highlight w:val="none"/>
                <w:lang w:val="en-US" w:eastAsia="zh-CN"/>
              </w:rPr>
            </w:pPr>
            <w:r>
              <w:rPr>
                <w:color w:val="auto"/>
                <w:highlight w:val="none"/>
                <w:lang w:val="en-US" w:eastAsia="zh-CN"/>
              </w:rPr>
              <w:t>（3）地下水环境</w:t>
            </w:r>
          </w:p>
          <w:p w14:paraId="0C8FD900">
            <w:pPr>
              <w:pStyle w:val="31"/>
              <w:bidi w:val="0"/>
              <w:rPr>
                <w:color w:val="auto"/>
                <w:highlight w:val="none"/>
                <w:lang w:val="en-US" w:eastAsia="zh-CN"/>
              </w:rPr>
            </w:pPr>
            <w:r>
              <w:rPr>
                <w:rFonts w:hint="default"/>
                <w:color w:val="auto"/>
                <w:highlight w:val="none"/>
                <w:lang w:val="en-US" w:eastAsia="zh-CN"/>
              </w:rPr>
              <w:t>据现场踏勘可知，</w:t>
            </w:r>
            <w:r>
              <w:rPr>
                <w:rFonts w:hint="eastAsia"/>
                <w:color w:val="auto"/>
                <w:highlight w:val="none"/>
                <w:lang w:val="en-US" w:eastAsia="zh-CN"/>
              </w:rPr>
              <w:t>本项目用水来自厂区现有水井，</w:t>
            </w:r>
            <w:r>
              <w:rPr>
                <w:rFonts w:hint="default"/>
                <w:color w:val="auto"/>
                <w:highlight w:val="none"/>
                <w:lang w:val="en-US" w:eastAsia="zh-CN"/>
              </w:rPr>
              <w:t>本项目厂界外500米范围内无地下水集中式饮用水水源和热水、矿泉水、温泉等特殊地下水资源，因此本项目无需考虑地下水环境保护目标</w:t>
            </w:r>
            <w:r>
              <w:rPr>
                <w:color w:val="auto"/>
                <w:highlight w:val="none"/>
                <w:lang w:val="en-US" w:eastAsia="zh-CN"/>
              </w:rPr>
              <w:t>。</w:t>
            </w:r>
          </w:p>
          <w:p w14:paraId="2787C257">
            <w:pPr>
              <w:pStyle w:val="31"/>
              <w:bidi w:val="0"/>
              <w:rPr>
                <w:color w:val="auto"/>
                <w:highlight w:val="none"/>
              </w:rPr>
            </w:pPr>
            <w:r>
              <w:rPr>
                <w:color w:val="auto"/>
                <w:highlight w:val="none"/>
              </w:rPr>
              <w:t>（4）生态环境</w:t>
            </w:r>
          </w:p>
          <w:p w14:paraId="4606DFFF">
            <w:pPr>
              <w:pStyle w:val="31"/>
              <w:bidi w:val="0"/>
              <w:rPr>
                <w:color w:val="auto"/>
                <w:highlight w:val="none"/>
              </w:rPr>
            </w:pPr>
            <w:r>
              <w:rPr>
                <w:color w:val="auto"/>
                <w:highlight w:val="none"/>
              </w:rPr>
              <w:t>本项目无生态环境保护目标。本项目占地范围内无特殊生态敏感区及重要生态敏感区等生态环境保护目标</w:t>
            </w:r>
            <w:r>
              <w:rPr>
                <w:rFonts w:hint="eastAsia"/>
                <w:color w:val="auto"/>
                <w:highlight w:val="none"/>
              </w:rPr>
              <w:t>，</w:t>
            </w:r>
            <w:r>
              <w:rPr>
                <w:color w:val="auto"/>
                <w:highlight w:val="none"/>
              </w:rPr>
              <w:t>项目所在地无国家级、省、市级自然保护区、风景名胜区、文物保护对象。</w:t>
            </w:r>
          </w:p>
        </w:tc>
      </w:tr>
      <w:tr w14:paraId="67120B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7" w:hRule="atLeast"/>
          <w:jc w:val="center"/>
        </w:trPr>
        <w:tc>
          <w:tcPr>
            <w:tcW w:w="448" w:type="pct"/>
            <w:noWrap w:val="0"/>
            <w:tcMar>
              <w:left w:w="28" w:type="dxa"/>
              <w:right w:w="28" w:type="dxa"/>
            </w:tcMar>
            <w:vAlign w:val="center"/>
          </w:tcPr>
          <w:p w14:paraId="18328E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污染</w:t>
            </w:r>
          </w:p>
          <w:p w14:paraId="413492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物排</w:t>
            </w:r>
          </w:p>
          <w:p w14:paraId="341C9F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放控</w:t>
            </w:r>
          </w:p>
          <w:p w14:paraId="09ECF9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制标</w:t>
            </w:r>
          </w:p>
          <w:p w14:paraId="3FC5E8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准</w:t>
            </w:r>
          </w:p>
        </w:tc>
        <w:tc>
          <w:tcPr>
            <w:tcW w:w="4551" w:type="pct"/>
            <w:noWrap w:val="0"/>
            <w:vAlign w:val="center"/>
          </w:tcPr>
          <w:p w14:paraId="4876E67E">
            <w:pPr>
              <w:pStyle w:val="30"/>
              <w:bidi w:val="0"/>
              <w:rPr>
                <w:rFonts w:hint="default" w:eastAsia="宋体"/>
                <w:color w:val="auto"/>
                <w:highlight w:val="none"/>
                <w:lang w:val="en-US" w:eastAsia="zh-CN"/>
              </w:rPr>
            </w:pPr>
            <w:r>
              <w:rPr>
                <w:rFonts w:hint="eastAsia"/>
                <w:color w:val="auto"/>
                <w:highlight w:val="none"/>
                <w:lang w:val="en-US" w:eastAsia="zh-CN"/>
              </w:rPr>
              <w:t>本项目施工期已结束，不对施工期</w:t>
            </w:r>
            <w:r>
              <w:rPr>
                <w:rFonts w:hint="eastAsia"/>
                <w:color w:val="auto"/>
                <w:highlight w:val="none"/>
              </w:rPr>
              <w:t>污染物排放控制标准</w:t>
            </w:r>
            <w:r>
              <w:rPr>
                <w:rFonts w:hint="eastAsia"/>
                <w:color w:val="auto"/>
                <w:highlight w:val="none"/>
                <w:lang w:val="en-US" w:eastAsia="zh-CN"/>
              </w:rPr>
              <w:t>进行分析。</w:t>
            </w:r>
          </w:p>
          <w:p w14:paraId="0568B39B">
            <w:pPr>
              <w:pStyle w:val="33"/>
              <w:keepNext w:val="0"/>
              <w:keepLines w:val="0"/>
              <w:pageBreakBefore w:val="0"/>
              <w:widowControl w:val="0"/>
              <w:kinsoku/>
              <w:wordWrap w:val="0"/>
              <w:overflowPunct/>
              <w:topLinePunct/>
              <w:autoSpaceDE/>
              <w:autoSpaceDN/>
              <w:bidi w:val="0"/>
              <w:adjustRightInd/>
              <w:snapToGrid/>
              <w:spacing w:before="157" w:beforeLines="50"/>
              <w:textAlignment w:val="auto"/>
              <w:rPr>
                <w:b/>
                <w:bCs/>
                <w:color w:val="auto"/>
                <w:highlight w:val="none"/>
              </w:rPr>
            </w:pPr>
            <w:r>
              <w:rPr>
                <w:rFonts w:hint="eastAsia"/>
                <w:b/>
                <w:bCs/>
                <w:color w:val="auto"/>
                <w:highlight w:val="none"/>
              </w:rPr>
              <w:t>1、</w:t>
            </w:r>
            <w:r>
              <w:rPr>
                <w:b/>
                <w:bCs/>
                <w:color w:val="auto"/>
                <w:highlight w:val="none"/>
              </w:rPr>
              <w:t>大气污染物排放标准</w:t>
            </w:r>
          </w:p>
          <w:p w14:paraId="73E7EFFC">
            <w:pPr>
              <w:pStyle w:val="31"/>
              <w:bidi w:val="0"/>
              <w:rPr>
                <w:rFonts w:hint="default" w:eastAsia="宋体"/>
                <w:color w:val="auto"/>
                <w:kern w:val="0"/>
                <w:sz w:val="24"/>
                <w:highlight w:val="none"/>
                <w:lang w:val="en-US" w:eastAsia="zh-CN"/>
              </w:rPr>
            </w:pPr>
            <w:r>
              <w:rPr>
                <w:rFonts w:hint="eastAsia"/>
                <w:color w:val="auto"/>
                <w:highlight w:val="none"/>
                <w:lang w:val="en-US" w:eastAsia="zh-CN"/>
              </w:rPr>
              <w:t>本项目运营期厂界颗粒物排放标准执行</w:t>
            </w:r>
            <w:r>
              <w:rPr>
                <w:rFonts w:hint="eastAsia"/>
                <w:color w:val="auto"/>
                <w:kern w:val="0"/>
                <w:sz w:val="24"/>
                <w:highlight w:val="none"/>
              </w:rPr>
              <w:t>《水泥工业大气污染物排放标准》（GB4915-2013）</w:t>
            </w:r>
            <w:r>
              <w:rPr>
                <w:rFonts w:hint="eastAsia" w:ascii="Times New Roman" w:hAnsi="Times New Roman" w:eastAsia="宋体"/>
                <w:color w:val="auto"/>
                <w:highlight w:val="none"/>
                <w:lang w:val="en-US" w:eastAsia="zh-CN"/>
              </w:rPr>
              <w:t>表3颗粒物无组织监控浓度限值0.5mg/</w:t>
            </w:r>
            <w:r>
              <w:rPr>
                <w:rFonts w:hint="eastAsia"/>
                <w:color w:val="auto"/>
                <w:highlight w:val="none"/>
                <w:lang w:val="en-US" w:eastAsia="zh-CN"/>
              </w:rPr>
              <w:t>m</w:t>
            </w:r>
            <w:r>
              <w:rPr>
                <w:rFonts w:hint="eastAsia"/>
                <w:color w:val="auto"/>
                <w:highlight w:val="none"/>
                <w:vertAlign w:val="superscript"/>
                <w:lang w:val="en-US" w:eastAsia="zh-CN"/>
              </w:rPr>
              <w:t>3</w:t>
            </w:r>
            <w:r>
              <w:rPr>
                <w:rFonts w:hint="eastAsia"/>
                <w:color w:val="auto"/>
                <w:highlight w:val="none"/>
                <w:vertAlign w:val="baseline"/>
                <w:lang w:val="en-US" w:eastAsia="zh-CN"/>
              </w:rPr>
              <w:t>要求</w:t>
            </w:r>
            <w:r>
              <w:rPr>
                <w:rFonts w:hint="eastAsia"/>
                <w:color w:val="auto"/>
                <w:kern w:val="0"/>
                <w:sz w:val="24"/>
                <w:highlight w:val="none"/>
                <w:lang w:eastAsia="zh-CN"/>
              </w:rPr>
              <w:t>。</w:t>
            </w:r>
            <w:r>
              <w:rPr>
                <w:rFonts w:hint="eastAsia"/>
                <w:color w:val="auto"/>
                <w:kern w:val="0"/>
                <w:sz w:val="24"/>
                <w:highlight w:val="none"/>
                <w:lang w:val="en-US" w:eastAsia="zh-CN"/>
              </w:rPr>
              <w:t>执行见下表：</w:t>
            </w:r>
          </w:p>
          <w:p w14:paraId="2D5F616D">
            <w:pPr>
              <w:pStyle w:val="36"/>
              <w:bidi w:val="0"/>
              <w:rPr>
                <w:rFonts w:hint="eastAsia"/>
                <w:color w:val="auto"/>
                <w:highlight w:val="none"/>
              </w:rPr>
            </w:pPr>
            <w:r>
              <w:rPr>
                <w:color w:val="auto"/>
                <w:highlight w:val="none"/>
              </w:rPr>
              <w:t>表</w:t>
            </w:r>
            <w:r>
              <w:rPr>
                <w:rFonts w:hint="eastAsia"/>
                <w:color w:val="auto"/>
                <w:highlight w:val="none"/>
              </w:rPr>
              <w:t>3-</w:t>
            </w:r>
            <w:r>
              <w:rPr>
                <w:rFonts w:hint="eastAsia"/>
                <w:color w:val="auto"/>
                <w:highlight w:val="none"/>
                <w:lang w:val="en-US" w:eastAsia="zh-CN"/>
              </w:rPr>
              <w:t>4水泥工业大气污染物</w:t>
            </w:r>
            <w:r>
              <w:rPr>
                <w:rFonts w:hint="eastAsia"/>
                <w:color w:val="auto"/>
                <w:highlight w:val="none"/>
              </w:rPr>
              <w:t>排放标准</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69"/>
              <w:gridCol w:w="1088"/>
              <w:gridCol w:w="2286"/>
              <w:gridCol w:w="2500"/>
            </w:tblGrid>
            <w:tr w14:paraId="4C57F3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69" w:type="dxa"/>
                  <w:noWrap w:val="0"/>
                  <w:vAlign w:val="center"/>
                </w:tcPr>
                <w:p w14:paraId="63E6D696">
                  <w:pPr>
                    <w:widowControl w:val="0"/>
                    <w:wordWrap w:val="0"/>
                    <w:topLinePunct/>
                    <w:autoSpaceDE/>
                    <w:autoSpaceDN/>
                    <w:bidi w:val="0"/>
                    <w:adjustRightInd/>
                    <w:spacing w:line="240" w:lineRule="auto"/>
                    <w:ind w:firstLine="0" w:firstLineChars="0"/>
                    <w:jc w:val="center"/>
                    <w:rPr>
                      <w:rFonts w:hint="default" w:ascii="Times New Roman" w:hAnsi="Times New Roman" w:eastAsia="宋体" w:cs="宋体"/>
                      <w:color w:val="auto"/>
                      <w:kern w:val="2"/>
                      <w:sz w:val="21"/>
                      <w:szCs w:val="21"/>
                      <w:highlight w:val="none"/>
                      <w:lang w:val="en-US" w:eastAsia="zh-CN" w:bidi="ar-SA"/>
                    </w:rPr>
                  </w:pPr>
                  <w:r>
                    <w:rPr>
                      <w:rFonts w:hint="default" w:ascii="Times New Roman" w:hAnsi="Times New Roman" w:eastAsia="宋体" w:cs="宋体"/>
                      <w:color w:val="auto"/>
                      <w:kern w:val="2"/>
                      <w:sz w:val="21"/>
                      <w:szCs w:val="21"/>
                      <w:highlight w:val="none"/>
                      <w:lang w:val="en-US" w:eastAsia="zh-CN" w:bidi="ar-SA"/>
                    </w:rPr>
                    <w:t>项目</w:t>
                  </w:r>
                </w:p>
              </w:tc>
              <w:tc>
                <w:tcPr>
                  <w:tcW w:w="1088" w:type="dxa"/>
                  <w:noWrap w:val="0"/>
                  <w:vAlign w:val="center"/>
                </w:tcPr>
                <w:p w14:paraId="0ABFD4F5">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1"/>
                      <w:szCs w:val="21"/>
                      <w:highlight w:val="none"/>
                      <w:lang w:val="en-US" w:eastAsia="zh-CN" w:bidi="ar-SA"/>
                    </w:rPr>
                  </w:pPr>
                  <w:r>
                    <w:rPr>
                      <w:rFonts w:hint="eastAsia" w:cs="宋体"/>
                      <w:color w:val="auto"/>
                      <w:kern w:val="2"/>
                      <w:sz w:val="21"/>
                      <w:szCs w:val="21"/>
                      <w:highlight w:val="none"/>
                      <w:lang w:val="en-US" w:eastAsia="zh-CN" w:bidi="ar-SA"/>
                    </w:rPr>
                    <w:t>颗粒物排放</w:t>
                  </w:r>
                  <w:r>
                    <w:rPr>
                      <w:rFonts w:hint="eastAsia" w:ascii="Times New Roman" w:hAnsi="Times New Roman" w:eastAsia="宋体" w:cs="宋体"/>
                      <w:color w:val="auto"/>
                      <w:kern w:val="2"/>
                      <w:sz w:val="21"/>
                      <w:szCs w:val="21"/>
                      <w:highlight w:val="none"/>
                      <w:lang w:val="en-US" w:eastAsia="zh-CN" w:bidi="ar-SA"/>
                    </w:rPr>
                    <w:t>限值</w:t>
                  </w:r>
                </w:p>
              </w:tc>
              <w:tc>
                <w:tcPr>
                  <w:tcW w:w="2286" w:type="dxa"/>
                  <w:noWrap w:val="0"/>
                  <w:vAlign w:val="center"/>
                </w:tcPr>
                <w:p w14:paraId="21C3D10E">
                  <w:pPr>
                    <w:widowControl w:val="0"/>
                    <w:wordWrap w:val="0"/>
                    <w:topLinePunct/>
                    <w:autoSpaceDE/>
                    <w:autoSpaceDN/>
                    <w:bidi w:val="0"/>
                    <w:adjustRightInd/>
                    <w:spacing w:line="240" w:lineRule="auto"/>
                    <w:ind w:firstLine="0" w:firstLineChars="0"/>
                    <w:jc w:val="center"/>
                    <w:rPr>
                      <w:rFonts w:hint="default" w:ascii="Times New Roman" w:hAnsi="Times New Roman" w:eastAsia="宋体" w:cs="宋体"/>
                      <w:color w:val="auto"/>
                      <w:kern w:val="2"/>
                      <w:sz w:val="21"/>
                      <w:szCs w:val="21"/>
                      <w:highlight w:val="none"/>
                      <w:lang w:val="en-US" w:eastAsia="zh-CN" w:bidi="ar-SA"/>
                    </w:rPr>
                  </w:pPr>
                  <w:r>
                    <w:rPr>
                      <w:rFonts w:hint="eastAsia" w:ascii="Times New Roman" w:hAnsi="Times New Roman" w:eastAsia="宋体" w:cs="宋体"/>
                      <w:color w:val="auto"/>
                      <w:kern w:val="2"/>
                      <w:sz w:val="21"/>
                      <w:szCs w:val="21"/>
                      <w:highlight w:val="none"/>
                      <w:lang w:val="en-US" w:eastAsia="zh-CN" w:bidi="ar-SA"/>
                    </w:rPr>
                    <w:t>限值含义</w:t>
                  </w:r>
                </w:p>
              </w:tc>
              <w:tc>
                <w:tcPr>
                  <w:tcW w:w="2500" w:type="dxa"/>
                  <w:noWrap w:val="0"/>
                  <w:vAlign w:val="center"/>
                </w:tcPr>
                <w:p w14:paraId="791BAC07">
                  <w:pPr>
                    <w:widowControl w:val="0"/>
                    <w:wordWrap w:val="0"/>
                    <w:topLinePunct/>
                    <w:autoSpaceDE/>
                    <w:autoSpaceDN/>
                    <w:bidi w:val="0"/>
                    <w:adjustRightInd/>
                    <w:spacing w:line="240" w:lineRule="auto"/>
                    <w:ind w:firstLine="0" w:firstLineChars="0"/>
                    <w:jc w:val="center"/>
                    <w:rPr>
                      <w:rFonts w:hint="default" w:ascii="Times New Roman" w:hAnsi="Times New Roman" w:eastAsia="宋体" w:cs="宋体"/>
                      <w:color w:val="auto"/>
                      <w:kern w:val="2"/>
                      <w:sz w:val="21"/>
                      <w:szCs w:val="21"/>
                      <w:highlight w:val="none"/>
                      <w:lang w:val="en-US" w:eastAsia="zh-CN" w:bidi="ar-SA"/>
                    </w:rPr>
                  </w:pPr>
                  <w:r>
                    <w:rPr>
                      <w:rFonts w:hint="eastAsia" w:ascii="Times New Roman" w:hAnsi="Times New Roman" w:eastAsia="宋体" w:cs="宋体"/>
                      <w:color w:val="auto"/>
                      <w:kern w:val="2"/>
                      <w:sz w:val="21"/>
                      <w:szCs w:val="21"/>
                      <w:highlight w:val="none"/>
                      <w:lang w:val="en-US" w:eastAsia="zh-CN" w:bidi="ar-SA"/>
                    </w:rPr>
                    <w:t>无组织排放监控位置</w:t>
                  </w:r>
                </w:p>
              </w:tc>
            </w:tr>
            <w:tr w14:paraId="59B37E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69" w:type="dxa"/>
                  <w:noWrap w:val="0"/>
                  <w:vAlign w:val="center"/>
                </w:tcPr>
                <w:p w14:paraId="73677B87">
                  <w:pPr>
                    <w:widowControl w:val="0"/>
                    <w:wordWrap w:val="0"/>
                    <w:topLinePunct/>
                    <w:autoSpaceDE/>
                    <w:autoSpaceDN/>
                    <w:bidi w:val="0"/>
                    <w:adjustRightInd/>
                    <w:spacing w:line="240" w:lineRule="auto"/>
                    <w:ind w:firstLine="0" w:firstLineChars="0"/>
                    <w:jc w:val="center"/>
                    <w:rPr>
                      <w:rFonts w:hint="default" w:ascii="Times New Roman" w:hAnsi="Times New Roman" w:eastAsia="宋体" w:cs="宋体"/>
                      <w:color w:val="auto"/>
                      <w:kern w:val="2"/>
                      <w:sz w:val="21"/>
                      <w:szCs w:val="21"/>
                      <w:highlight w:val="none"/>
                      <w:lang w:val="en-US" w:eastAsia="zh-CN" w:bidi="ar-SA"/>
                    </w:rPr>
                  </w:pPr>
                  <w:r>
                    <w:rPr>
                      <w:rFonts w:hint="eastAsia" w:cs="宋体"/>
                      <w:color w:val="auto"/>
                      <w:kern w:val="2"/>
                      <w:sz w:val="21"/>
                      <w:szCs w:val="21"/>
                      <w:highlight w:val="none"/>
                      <w:lang w:val="en-US" w:eastAsia="zh-CN" w:bidi="ar-SA"/>
                    </w:rPr>
                    <w:t>无组织排放</w:t>
                  </w:r>
                </w:p>
              </w:tc>
              <w:tc>
                <w:tcPr>
                  <w:tcW w:w="1088" w:type="dxa"/>
                  <w:noWrap w:val="0"/>
                  <w:vAlign w:val="center"/>
                </w:tcPr>
                <w:p w14:paraId="3E5CFC73">
                  <w:pPr>
                    <w:widowControl w:val="0"/>
                    <w:wordWrap w:val="0"/>
                    <w:topLinePunct/>
                    <w:autoSpaceDE/>
                    <w:autoSpaceDN/>
                    <w:bidi w:val="0"/>
                    <w:adjustRightInd/>
                    <w:spacing w:line="240" w:lineRule="auto"/>
                    <w:ind w:firstLine="0" w:firstLineChars="0"/>
                    <w:jc w:val="center"/>
                    <w:rPr>
                      <w:rFonts w:hint="default" w:ascii="Times New Roman" w:hAnsi="Times New Roman" w:eastAsia="宋体" w:cs="宋体"/>
                      <w:color w:val="auto"/>
                      <w:kern w:val="2"/>
                      <w:sz w:val="21"/>
                      <w:szCs w:val="21"/>
                      <w:highlight w:val="none"/>
                      <w:lang w:val="en-US" w:eastAsia="zh-CN" w:bidi="ar-SA"/>
                    </w:rPr>
                  </w:pPr>
                  <w:r>
                    <w:rPr>
                      <w:rFonts w:hint="eastAsia" w:ascii="Times New Roman" w:hAnsi="Times New Roman" w:eastAsia="宋体" w:cs="宋体"/>
                      <w:color w:val="auto"/>
                      <w:kern w:val="2"/>
                      <w:sz w:val="21"/>
                      <w:szCs w:val="21"/>
                      <w:highlight w:val="none"/>
                      <w:lang w:val="en-US" w:eastAsia="zh-CN" w:bidi="ar-SA"/>
                    </w:rPr>
                    <w:t>0.5</w:t>
                  </w:r>
                  <w:r>
                    <w:rPr>
                      <w:rFonts w:hint="default" w:ascii="Times New Roman" w:hAnsi="Times New Roman" w:eastAsia="宋体" w:cs="宋体"/>
                      <w:color w:val="auto"/>
                      <w:kern w:val="2"/>
                      <w:sz w:val="21"/>
                      <w:szCs w:val="21"/>
                      <w:highlight w:val="none"/>
                      <w:lang w:val="en-US" w:eastAsia="zh-CN" w:bidi="ar-SA"/>
                    </w:rPr>
                    <w:t>mg/</w:t>
                  </w:r>
                  <w:r>
                    <w:rPr>
                      <w:rFonts w:hint="eastAsia" w:cs="宋体"/>
                      <w:color w:val="auto"/>
                      <w:kern w:val="2"/>
                      <w:sz w:val="21"/>
                      <w:szCs w:val="21"/>
                      <w:highlight w:val="none"/>
                      <w:lang w:val="en-US" w:eastAsia="zh-CN" w:bidi="ar-SA"/>
                    </w:rPr>
                    <w:t>m</w:t>
                  </w:r>
                  <w:r>
                    <w:rPr>
                      <w:rFonts w:hint="eastAsia" w:cs="宋体"/>
                      <w:color w:val="auto"/>
                      <w:kern w:val="2"/>
                      <w:sz w:val="21"/>
                      <w:szCs w:val="21"/>
                      <w:highlight w:val="none"/>
                      <w:vertAlign w:val="superscript"/>
                      <w:lang w:val="en-US" w:eastAsia="zh-CN" w:bidi="ar-SA"/>
                    </w:rPr>
                    <w:t>3</w:t>
                  </w:r>
                </w:p>
              </w:tc>
              <w:tc>
                <w:tcPr>
                  <w:tcW w:w="2286" w:type="dxa"/>
                  <w:noWrap w:val="0"/>
                  <w:vAlign w:val="center"/>
                </w:tcPr>
                <w:p w14:paraId="79ECE5EB">
                  <w:pPr>
                    <w:widowControl w:val="0"/>
                    <w:wordWrap w:val="0"/>
                    <w:topLinePunct/>
                    <w:autoSpaceDE/>
                    <w:autoSpaceDN/>
                    <w:bidi w:val="0"/>
                    <w:adjustRightInd/>
                    <w:spacing w:line="240" w:lineRule="auto"/>
                    <w:ind w:firstLine="0" w:firstLineChars="0"/>
                    <w:jc w:val="center"/>
                    <w:rPr>
                      <w:rFonts w:hint="default" w:ascii="Times New Roman" w:hAnsi="Times New Roman" w:eastAsia="宋体" w:cs="宋体"/>
                      <w:color w:val="auto"/>
                      <w:kern w:val="2"/>
                      <w:sz w:val="21"/>
                      <w:szCs w:val="21"/>
                      <w:highlight w:val="none"/>
                      <w:lang w:val="en-US" w:eastAsia="zh-CN" w:bidi="ar-SA"/>
                    </w:rPr>
                  </w:pPr>
                  <w:r>
                    <w:rPr>
                      <w:rFonts w:hint="eastAsia" w:ascii="Times New Roman" w:hAnsi="Times New Roman" w:eastAsia="宋体" w:cs="宋体"/>
                      <w:color w:val="auto"/>
                      <w:kern w:val="2"/>
                      <w:sz w:val="21"/>
                      <w:szCs w:val="21"/>
                      <w:highlight w:val="none"/>
                      <w:lang w:val="en-US" w:eastAsia="zh-CN" w:bidi="ar-SA"/>
                    </w:rPr>
                    <w:t>监控点与参照点总悬浮颗粒物（TSP）1小时浓度值的差值</w:t>
                  </w:r>
                </w:p>
              </w:tc>
              <w:tc>
                <w:tcPr>
                  <w:tcW w:w="2500" w:type="dxa"/>
                  <w:noWrap w:val="0"/>
                  <w:vAlign w:val="center"/>
                </w:tcPr>
                <w:p w14:paraId="5B097457">
                  <w:pPr>
                    <w:widowControl w:val="0"/>
                    <w:wordWrap w:val="0"/>
                    <w:topLinePunct/>
                    <w:autoSpaceDE/>
                    <w:autoSpaceDN/>
                    <w:bidi w:val="0"/>
                    <w:adjustRightInd/>
                    <w:spacing w:line="240" w:lineRule="auto"/>
                    <w:ind w:firstLine="0" w:firstLineChars="0"/>
                    <w:jc w:val="center"/>
                    <w:rPr>
                      <w:rFonts w:hint="default" w:ascii="Times New Roman" w:hAnsi="Times New Roman" w:eastAsia="宋体" w:cs="宋体"/>
                      <w:color w:val="auto"/>
                      <w:kern w:val="2"/>
                      <w:sz w:val="21"/>
                      <w:szCs w:val="21"/>
                      <w:highlight w:val="none"/>
                      <w:lang w:val="en-US" w:eastAsia="zh-CN" w:bidi="ar-SA"/>
                    </w:rPr>
                  </w:pPr>
                  <w:r>
                    <w:rPr>
                      <w:rFonts w:hint="eastAsia" w:ascii="Times New Roman" w:hAnsi="Times New Roman" w:eastAsia="宋体" w:cs="宋体"/>
                      <w:color w:val="auto"/>
                      <w:kern w:val="2"/>
                      <w:sz w:val="21"/>
                      <w:szCs w:val="21"/>
                      <w:highlight w:val="none"/>
                      <w:lang w:val="en-US" w:eastAsia="zh-CN" w:bidi="ar-SA"/>
                    </w:rPr>
                    <w:t>厂界外20m处上风向设参照点，下风向设监控点</w:t>
                  </w:r>
                </w:p>
              </w:tc>
            </w:tr>
          </w:tbl>
          <w:p w14:paraId="36813EED">
            <w:pPr>
              <w:pStyle w:val="30"/>
              <w:bidi w:val="0"/>
              <w:rPr>
                <w:b/>
                <w:bCs/>
                <w:color w:val="auto"/>
                <w:highlight w:val="none"/>
              </w:rPr>
            </w:pPr>
            <w:r>
              <w:rPr>
                <w:rFonts w:hint="eastAsia"/>
                <w:b/>
                <w:bCs/>
                <w:color w:val="auto"/>
                <w:highlight w:val="none"/>
                <w:lang w:val="en-US" w:eastAsia="zh-CN"/>
              </w:rPr>
              <w:t>2</w:t>
            </w:r>
            <w:r>
              <w:rPr>
                <w:b/>
                <w:bCs/>
                <w:color w:val="auto"/>
                <w:highlight w:val="none"/>
              </w:rPr>
              <w:t>、污水排放标准</w:t>
            </w:r>
          </w:p>
          <w:p w14:paraId="77CBD797">
            <w:pPr>
              <w:pStyle w:val="31"/>
              <w:bidi w:val="0"/>
              <w:rPr>
                <w:rFonts w:hint="eastAsia"/>
                <w:color w:val="auto"/>
                <w:highlight w:val="none"/>
                <w:lang w:val="en-US" w:eastAsia="zh-CN"/>
              </w:rPr>
            </w:pPr>
            <w:r>
              <w:rPr>
                <w:rFonts w:hint="eastAsia"/>
                <w:color w:val="auto"/>
                <w:highlight w:val="none"/>
                <w:lang w:val="en-US" w:eastAsia="zh-CN"/>
              </w:rPr>
              <w:t>本项目洒水抑尘用水全部自然蒸发消耗，设备冲洗水全部回用于生产，进入产品，车辆冲洗废水经沉淀池沉淀后回用于车辆冲洗后全部自然蒸发消耗，搅拌用水全部</w:t>
            </w:r>
            <w:r>
              <w:rPr>
                <w:color w:val="auto"/>
                <w:highlight w:val="none"/>
              </w:rPr>
              <w:t>进入产品</w:t>
            </w:r>
            <w:r>
              <w:rPr>
                <w:rFonts w:hint="eastAsia"/>
                <w:color w:val="auto"/>
                <w:highlight w:val="none"/>
                <w:lang w:eastAsia="zh-CN"/>
              </w:rPr>
              <w:t>，</w:t>
            </w:r>
            <w:r>
              <w:rPr>
                <w:rFonts w:hint="eastAsia"/>
                <w:color w:val="auto"/>
                <w:highlight w:val="none"/>
                <w:lang w:val="en-US" w:eastAsia="zh-CN"/>
              </w:rPr>
              <w:t>因此本项目无生产废水外排；</w:t>
            </w:r>
          </w:p>
          <w:p w14:paraId="73960F31">
            <w:pPr>
              <w:pStyle w:val="31"/>
              <w:bidi w:val="0"/>
              <w:rPr>
                <w:rFonts w:hint="eastAsia"/>
                <w:color w:val="auto"/>
                <w:highlight w:val="none"/>
                <w:lang w:val="en-US" w:eastAsia="zh-CN"/>
              </w:rPr>
            </w:pPr>
            <w:r>
              <w:rPr>
                <w:rFonts w:hint="eastAsia"/>
                <w:color w:val="auto"/>
                <w:highlight w:val="none"/>
                <w:lang w:val="en-US" w:eastAsia="zh-CN"/>
              </w:rPr>
              <w:t>生活污水排入防渗旱厕，定期清掏，外运堆肥；</w:t>
            </w:r>
          </w:p>
          <w:p w14:paraId="2E3E5CBC">
            <w:pPr>
              <w:pStyle w:val="31"/>
              <w:bidi w:val="0"/>
              <w:rPr>
                <w:color w:val="auto"/>
                <w:highlight w:val="none"/>
              </w:rPr>
            </w:pPr>
            <w:r>
              <w:rPr>
                <w:rFonts w:hint="eastAsia"/>
                <w:color w:val="auto"/>
                <w:highlight w:val="none"/>
                <w:lang w:val="en-US" w:eastAsia="zh-CN"/>
              </w:rPr>
              <w:t>初期雨水通过厂区地势自然流入沉淀池后用于厂区洒水降尘，全部自然蒸发，不外排。</w:t>
            </w:r>
          </w:p>
          <w:p w14:paraId="599586C8">
            <w:pPr>
              <w:pStyle w:val="31"/>
              <w:bidi w:val="0"/>
              <w:rPr>
                <w:b/>
                <w:bCs/>
                <w:color w:val="auto"/>
                <w:highlight w:val="none"/>
              </w:rPr>
            </w:pPr>
            <w:r>
              <w:rPr>
                <w:rFonts w:hint="eastAsia"/>
                <w:b/>
                <w:bCs/>
                <w:color w:val="auto"/>
                <w:highlight w:val="none"/>
                <w:lang w:val="en-US" w:eastAsia="zh-CN"/>
              </w:rPr>
              <w:t>3</w:t>
            </w:r>
            <w:r>
              <w:rPr>
                <w:b/>
                <w:bCs/>
                <w:color w:val="auto"/>
                <w:highlight w:val="none"/>
              </w:rPr>
              <w:t>、噪声</w:t>
            </w:r>
          </w:p>
          <w:p w14:paraId="32014912">
            <w:pPr>
              <w:pStyle w:val="31"/>
              <w:bidi w:val="0"/>
              <w:rPr>
                <w:color w:val="auto"/>
                <w:highlight w:val="none"/>
              </w:rPr>
            </w:pPr>
            <w:r>
              <w:rPr>
                <w:color w:val="auto"/>
                <w:highlight w:val="none"/>
              </w:rPr>
              <w:t>运营期厂界噪声执行《工业企业厂界环境噪声排放标准》（GB12348-2008）表1中2类。</w:t>
            </w:r>
          </w:p>
          <w:p w14:paraId="7F2073C7">
            <w:pPr>
              <w:pStyle w:val="31"/>
              <w:bidi w:val="0"/>
              <w:rPr>
                <w:color w:val="auto"/>
                <w:highlight w:val="none"/>
              </w:rPr>
            </w:pPr>
          </w:p>
          <w:p w14:paraId="33761430">
            <w:pPr>
              <w:pStyle w:val="36"/>
              <w:bidi w:val="0"/>
              <w:rPr>
                <w:color w:val="auto"/>
                <w:highlight w:val="none"/>
              </w:rPr>
            </w:pPr>
            <w:r>
              <w:rPr>
                <w:color w:val="auto"/>
                <w:highlight w:val="none"/>
              </w:rPr>
              <w:t>表3</w:t>
            </w:r>
            <w:r>
              <w:rPr>
                <w:rFonts w:hint="eastAsia"/>
                <w:color w:val="auto"/>
                <w:highlight w:val="none"/>
              </w:rPr>
              <w:t>-</w:t>
            </w:r>
            <w:r>
              <w:rPr>
                <w:rFonts w:hint="eastAsia"/>
                <w:color w:val="auto"/>
                <w:highlight w:val="none"/>
                <w:lang w:val="en-US" w:eastAsia="zh-CN"/>
              </w:rPr>
              <w:t>5</w:t>
            </w:r>
            <w:r>
              <w:rPr>
                <w:color w:val="auto"/>
                <w:highlight w:val="none"/>
              </w:rPr>
              <w:t>噪声排放标准</w:t>
            </w:r>
          </w:p>
          <w:tbl>
            <w:tblPr>
              <w:tblStyle w:val="2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6" w:type="dxa"/>
                <w:bottom w:w="0" w:type="dxa"/>
                <w:right w:w="56" w:type="dxa"/>
              </w:tblCellMar>
            </w:tblPr>
            <w:tblGrid>
              <w:gridCol w:w="3472"/>
              <w:gridCol w:w="1357"/>
              <w:gridCol w:w="1357"/>
              <w:gridCol w:w="1357"/>
            </w:tblGrid>
            <w:tr w14:paraId="192DCC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trHeight w:val="397" w:hRule="atLeast"/>
                <w:jc w:val="center"/>
              </w:trPr>
              <w:tc>
                <w:tcPr>
                  <w:tcW w:w="3472" w:type="dxa"/>
                  <w:tcBorders>
                    <w:tl2br w:val="nil"/>
                    <w:tr2bl w:val="nil"/>
                  </w:tcBorders>
                  <w:noWrap w:val="0"/>
                  <w:vAlign w:val="center"/>
                </w:tcPr>
                <w:p w14:paraId="4CA56986">
                  <w:pPr>
                    <w:pStyle w:val="34"/>
                    <w:bidi w:val="0"/>
                    <w:rPr>
                      <w:color w:val="auto"/>
                      <w:highlight w:val="none"/>
                    </w:rPr>
                  </w:pPr>
                  <w:r>
                    <w:rPr>
                      <w:color w:val="auto"/>
                      <w:highlight w:val="none"/>
                    </w:rPr>
                    <w:t>标准名称</w:t>
                  </w:r>
                </w:p>
              </w:tc>
              <w:tc>
                <w:tcPr>
                  <w:tcW w:w="1357" w:type="dxa"/>
                  <w:tcBorders>
                    <w:tl2br w:val="nil"/>
                    <w:tr2bl w:val="nil"/>
                  </w:tcBorders>
                  <w:noWrap w:val="0"/>
                  <w:vAlign w:val="center"/>
                </w:tcPr>
                <w:p w14:paraId="7FD7F3CA">
                  <w:pPr>
                    <w:pStyle w:val="34"/>
                    <w:bidi w:val="0"/>
                    <w:rPr>
                      <w:color w:val="auto"/>
                      <w:highlight w:val="none"/>
                    </w:rPr>
                  </w:pPr>
                  <w:r>
                    <w:rPr>
                      <w:color w:val="auto"/>
                      <w:highlight w:val="none"/>
                    </w:rPr>
                    <w:t>类别</w:t>
                  </w:r>
                </w:p>
              </w:tc>
              <w:tc>
                <w:tcPr>
                  <w:tcW w:w="1357" w:type="dxa"/>
                  <w:tcBorders>
                    <w:tl2br w:val="nil"/>
                    <w:tr2bl w:val="nil"/>
                  </w:tcBorders>
                  <w:noWrap w:val="0"/>
                  <w:vAlign w:val="center"/>
                </w:tcPr>
                <w:p w14:paraId="753428EF">
                  <w:pPr>
                    <w:pStyle w:val="34"/>
                    <w:bidi w:val="0"/>
                    <w:rPr>
                      <w:color w:val="auto"/>
                      <w:highlight w:val="none"/>
                    </w:rPr>
                  </w:pPr>
                  <w:r>
                    <w:rPr>
                      <w:color w:val="auto"/>
                      <w:highlight w:val="none"/>
                    </w:rPr>
                    <w:t>昼间</w:t>
                  </w:r>
                </w:p>
              </w:tc>
              <w:tc>
                <w:tcPr>
                  <w:tcW w:w="1357" w:type="dxa"/>
                  <w:tcBorders>
                    <w:tl2br w:val="nil"/>
                    <w:tr2bl w:val="nil"/>
                  </w:tcBorders>
                  <w:noWrap w:val="0"/>
                  <w:vAlign w:val="center"/>
                </w:tcPr>
                <w:p w14:paraId="31AE3B30">
                  <w:pPr>
                    <w:pStyle w:val="34"/>
                    <w:bidi w:val="0"/>
                    <w:rPr>
                      <w:color w:val="auto"/>
                      <w:highlight w:val="none"/>
                    </w:rPr>
                  </w:pPr>
                  <w:r>
                    <w:rPr>
                      <w:color w:val="auto"/>
                      <w:highlight w:val="none"/>
                    </w:rPr>
                    <w:t>夜间</w:t>
                  </w:r>
                </w:p>
              </w:tc>
            </w:tr>
            <w:tr w14:paraId="4D10E1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trHeight w:val="397" w:hRule="atLeast"/>
                <w:jc w:val="center"/>
              </w:trPr>
              <w:tc>
                <w:tcPr>
                  <w:tcW w:w="3472" w:type="dxa"/>
                  <w:tcBorders>
                    <w:tl2br w:val="nil"/>
                    <w:tr2bl w:val="nil"/>
                  </w:tcBorders>
                  <w:noWrap w:val="0"/>
                  <w:vAlign w:val="center"/>
                </w:tcPr>
                <w:p w14:paraId="03E4E4FE">
                  <w:pPr>
                    <w:pStyle w:val="34"/>
                    <w:bidi w:val="0"/>
                    <w:rPr>
                      <w:color w:val="auto"/>
                      <w:highlight w:val="none"/>
                    </w:rPr>
                  </w:pPr>
                  <w:r>
                    <w:rPr>
                      <w:color w:val="auto"/>
                      <w:highlight w:val="none"/>
                    </w:rPr>
                    <w:t>《工业企业厂界环境噪声排放标准》</w:t>
                  </w:r>
                </w:p>
                <w:p w14:paraId="0717444F">
                  <w:pPr>
                    <w:pStyle w:val="34"/>
                    <w:bidi w:val="0"/>
                    <w:ind w:firstLine="0" w:firstLineChars="0"/>
                    <w:rPr>
                      <w:rFonts w:ascii="Times New Roman" w:hAnsi="Times New Roman" w:eastAsia="宋体" w:cs="宋体"/>
                      <w:color w:val="auto"/>
                      <w:kern w:val="2"/>
                      <w:sz w:val="21"/>
                      <w:szCs w:val="21"/>
                      <w:highlight w:val="none"/>
                      <w:lang w:val="en-US" w:eastAsia="zh-CN" w:bidi="ar-SA"/>
                    </w:rPr>
                  </w:pPr>
                  <w:r>
                    <w:rPr>
                      <w:color w:val="auto"/>
                      <w:highlight w:val="none"/>
                    </w:rPr>
                    <w:t>（GB12348-2008）</w:t>
                  </w:r>
                </w:p>
              </w:tc>
              <w:tc>
                <w:tcPr>
                  <w:tcW w:w="1357" w:type="dxa"/>
                  <w:tcBorders>
                    <w:tl2br w:val="nil"/>
                    <w:tr2bl w:val="nil"/>
                  </w:tcBorders>
                  <w:noWrap w:val="0"/>
                  <w:vAlign w:val="center"/>
                </w:tcPr>
                <w:p w14:paraId="112BDCBF">
                  <w:pPr>
                    <w:pStyle w:val="34"/>
                    <w:bidi w:val="0"/>
                    <w:ind w:firstLine="0" w:firstLineChars="0"/>
                    <w:rPr>
                      <w:rFonts w:ascii="Times New Roman" w:hAnsi="Times New Roman" w:eastAsia="宋体" w:cs="宋体"/>
                      <w:color w:val="auto"/>
                      <w:kern w:val="2"/>
                      <w:sz w:val="21"/>
                      <w:szCs w:val="21"/>
                      <w:highlight w:val="none"/>
                      <w:lang w:val="en-US" w:eastAsia="zh-CN" w:bidi="ar-SA"/>
                    </w:rPr>
                  </w:pPr>
                  <w:r>
                    <w:rPr>
                      <w:color w:val="auto"/>
                      <w:highlight w:val="none"/>
                    </w:rPr>
                    <w:t>2类</w:t>
                  </w:r>
                </w:p>
              </w:tc>
              <w:tc>
                <w:tcPr>
                  <w:tcW w:w="1357" w:type="dxa"/>
                  <w:tcBorders>
                    <w:tl2br w:val="nil"/>
                    <w:tr2bl w:val="nil"/>
                  </w:tcBorders>
                  <w:noWrap w:val="0"/>
                  <w:vAlign w:val="center"/>
                </w:tcPr>
                <w:p w14:paraId="5586A601">
                  <w:pPr>
                    <w:pStyle w:val="34"/>
                    <w:bidi w:val="0"/>
                    <w:ind w:firstLine="0" w:firstLineChars="0"/>
                    <w:rPr>
                      <w:rFonts w:ascii="Times New Roman" w:hAnsi="Times New Roman" w:eastAsia="宋体" w:cs="宋体"/>
                      <w:color w:val="auto"/>
                      <w:kern w:val="2"/>
                      <w:sz w:val="21"/>
                      <w:szCs w:val="21"/>
                      <w:highlight w:val="none"/>
                      <w:lang w:val="en-US" w:eastAsia="zh-CN" w:bidi="ar-SA"/>
                    </w:rPr>
                  </w:pPr>
                  <w:r>
                    <w:rPr>
                      <w:color w:val="auto"/>
                      <w:highlight w:val="none"/>
                    </w:rPr>
                    <w:t>60dB（A）</w:t>
                  </w:r>
                </w:p>
              </w:tc>
              <w:tc>
                <w:tcPr>
                  <w:tcW w:w="1357" w:type="dxa"/>
                  <w:tcBorders>
                    <w:tl2br w:val="nil"/>
                    <w:tr2bl w:val="nil"/>
                  </w:tcBorders>
                  <w:noWrap w:val="0"/>
                  <w:vAlign w:val="center"/>
                </w:tcPr>
                <w:p w14:paraId="55A93A91">
                  <w:pPr>
                    <w:pStyle w:val="34"/>
                    <w:bidi w:val="0"/>
                    <w:ind w:firstLine="0" w:firstLineChars="0"/>
                    <w:rPr>
                      <w:rFonts w:ascii="Times New Roman" w:hAnsi="Times New Roman" w:eastAsia="宋体" w:cs="宋体"/>
                      <w:color w:val="auto"/>
                      <w:kern w:val="2"/>
                      <w:sz w:val="21"/>
                      <w:szCs w:val="21"/>
                      <w:highlight w:val="none"/>
                      <w:lang w:val="en-US" w:eastAsia="zh-CN" w:bidi="ar-SA"/>
                    </w:rPr>
                  </w:pPr>
                  <w:r>
                    <w:rPr>
                      <w:color w:val="auto"/>
                      <w:highlight w:val="none"/>
                    </w:rPr>
                    <w:t>50dB（A）</w:t>
                  </w:r>
                </w:p>
              </w:tc>
            </w:tr>
          </w:tbl>
          <w:p w14:paraId="55ED48D2">
            <w:pPr>
              <w:pStyle w:val="76"/>
              <w:spacing w:line="360" w:lineRule="auto"/>
              <w:ind w:firstLine="422"/>
              <w:rPr>
                <w:rFonts w:cs="Times New Roman"/>
                <w:b/>
                <w:bCs w:val="0"/>
                <w:color w:val="auto"/>
                <w:sz w:val="24"/>
                <w:szCs w:val="24"/>
                <w:highlight w:val="none"/>
              </w:rPr>
            </w:pPr>
            <w:r>
              <w:rPr>
                <w:rFonts w:hint="eastAsia" w:cs="Times New Roman"/>
                <w:b/>
                <w:bCs w:val="0"/>
                <w:color w:val="auto"/>
                <w:sz w:val="24"/>
                <w:szCs w:val="24"/>
                <w:highlight w:val="none"/>
                <w:lang w:val="en-US" w:eastAsia="zh-CN"/>
              </w:rPr>
              <w:t>4</w:t>
            </w:r>
            <w:r>
              <w:rPr>
                <w:rFonts w:cs="Times New Roman"/>
                <w:b/>
                <w:bCs w:val="0"/>
                <w:color w:val="auto"/>
                <w:sz w:val="24"/>
                <w:szCs w:val="24"/>
                <w:highlight w:val="none"/>
              </w:rPr>
              <w:t>、固体废物</w:t>
            </w:r>
          </w:p>
          <w:p w14:paraId="261A6DE4">
            <w:pPr>
              <w:pStyle w:val="31"/>
              <w:bidi w:val="0"/>
              <w:rPr>
                <w:rFonts w:ascii="Times New Roman" w:hAnsi="Times New Roman" w:eastAsia="宋体" w:cs="宋体"/>
                <w:color w:val="auto"/>
                <w:kern w:val="0"/>
                <w:szCs w:val="21"/>
                <w:highlight w:val="none"/>
              </w:rPr>
            </w:pPr>
            <w:r>
              <w:rPr>
                <w:color w:val="auto"/>
                <w:highlight w:val="none"/>
              </w:rPr>
              <w:t>一般固体废物执行《一般工业固体废物贮存和填埋污染控制标准》（GB18599-2020）及</w:t>
            </w:r>
            <w:r>
              <w:rPr>
                <w:rFonts w:hint="eastAsia"/>
                <w:color w:val="auto"/>
                <w:highlight w:val="none"/>
                <w:lang w:eastAsia="zh-CN"/>
              </w:rPr>
              <w:t>《固体废物分类与代码目录》（生态环境部公告2024年第4号）</w:t>
            </w:r>
            <w:r>
              <w:rPr>
                <w:color w:val="auto"/>
                <w:highlight w:val="none"/>
              </w:rPr>
              <w:t>的相关规定，危险废物执行《危险废物贮存污染控制标准》（GB18597-2023）的规定。</w:t>
            </w:r>
          </w:p>
        </w:tc>
      </w:tr>
      <w:tr w14:paraId="14F954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25" w:hRule="atLeast"/>
          <w:jc w:val="center"/>
        </w:trPr>
        <w:tc>
          <w:tcPr>
            <w:tcW w:w="448" w:type="pct"/>
            <w:noWrap w:val="0"/>
            <w:vAlign w:val="center"/>
          </w:tcPr>
          <w:p w14:paraId="7BFCA4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总量</w:t>
            </w:r>
          </w:p>
          <w:p w14:paraId="311DF9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控制</w:t>
            </w:r>
          </w:p>
          <w:p w14:paraId="4BE4D7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指标</w:t>
            </w:r>
          </w:p>
        </w:tc>
        <w:tc>
          <w:tcPr>
            <w:tcW w:w="4551" w:type="pct"/>
            <w:noWrap w:val="0"/>
            <w:vAlign w:val="center"/>
          </w:tcPr>
          <w:p w14:paraId="7D6533F6">
            <w:pPr>
              <w:pStyle w:val="31"/>
              <w:bidi w:val="0"/>
              <w:rPr>
                <w:rFonts w:hint="eastAsia" w:ascii="Times New Roman" w:hAnsi="Times New Roman" w:eastAsia="宋体" w:cs="宋体"/>
                <w:color w:val="auto"/>
                <w:kern w:val="0"/>
                <w:szCs w:val="21"/>
                <w:highlight w:val="none"/>
                <w:lang w:val="en-US" w:eastAsia="zh-CN"/>
              </w:rPr>
            </w:pPr>
            <w:r>
              <w:rPr>
                <w:color w:val="auto"/>
                <w:highlight w:val="none"/>
              </w:rPr>
              <w:t>本项目</w:t>
            </w:r>
            <w:r>
              <w:rPr>
                <w:rFonts w:hint="eastAsia"/>
                <w:color w:val="auto"/>
                <w:highlight w:val="none"/>
                <w:lang w:val="en-US" w:eastAsia="zh-CN"/>
              </w:rPr>
              <w:t>废气污染物均为无组织排放，无外排废水。</w:t>
            </w:r>
            <w:r>
              <w:rPr>
                <w:color w:val="auto"/>
                <w:highlight w:val="none"/>
              </w:rPr>
              <w:t>参考</w:t>
            </w:r>
            <w:r>
              <w:rPr>
                <w:rFonts w:hint="eastAsia"/>
                <w:color w:val="auto"/>
                <w:highlight w:val="none"/>
              </w:rPr>
              <w:t>《双鸭山市“十四五”生态环境保护规划》</w:t>
            </w:r>
            <w:r>
              <w:rPr>
                <w:rFonts w:hint="eastAsia"/>
                <w:color w:val="auto"/>
                <w:highlight w:val="none"/>
                <w:lang w:eastAsia="zh-CN"/>
              </w:rPr>
              <w:t>（</w:t>
            </w:r>
            <w:r>
              <w:rPr>
                <w:rFonts w:hint="eastAsia"/>
                <w:color w:val="auto"/>
                <w:highlight w:val="none"/>
              </w:rPr>
              <w:t>双政规〔2022〕9号</w:t>
            </w:r>
            <w:r>
              <w:rPr>
                <w:rFonts w:hint="eastAsia"/>
                <w:color w:val="auto"/>
                <w:highlight w:val="none"/>
                <w:lang w:eastAsia="zh-CN"/>
              </w:rPr>
              <w:t>）</w:t>
            </w:r>
            <w:r>
              <w:rPr>
                <w:rFonts w:hint="eastAsia"/>
                <w:color w:val="auto"/>
                <w:highlight w:val="none"/>
              </w:rPr>
              <w:t>未把“粉尘”列为主要总量控制指标</w:t>
            </w:r>
            <w:r>
              <w:rPr>
                <w:rFonts w:hint="eastAsia"/>
                <w:color w:val="auto"/>
                <w:highlight w:val="none"/>
                <w:lang w:eastAsia="zh-CN"/>
              </w:rPr>
              <w:t>，</w:t>
            </w:r>
            <w:r>
              <w:rPr>
                <w:rFonts w:hint="eastAsia"/>
                <w:color w:val="auto"/>
                <w:highlight w:val="none"/>
                <w:lang w:val="en-US" w:eastAsia="zh-CN"/>
              </w:rPr>
              <w:t>故本项目无</w:t>
            </w:r>
            <w:r>
              <w:rPr>
                <w:color w:val="auto"/>
                <w:highlight w:val="none"/>
              </w:rPr>
              <w:t>总量指标。</w:t>
            </w:r>
          </w:p>
        </w:tc>
      </w:tr>
    </w:tbl>
    <w:p w14:paraId="48D07F44">
      <w:pPr>
        <w:spacing w:line="240" w:lineRule="auto"/>
        <w:rPr>
          <w:rFonts w:ascii="Times New Roman" w:hAnsi="Times New Roman" w:eastAsia="宋体" w:cs="宋体"/>
          <w:snapToGrid w:val="0"/>
          <w:color w:val="auto"/>
          <w:sz w:val="21"/>
          <w:szCs w:val="21"/>
          <w:highlight w:val="none"/>
        </w:rPr>
      </w:pPr>
      <w:r>
        <w:rPr>
          <w:rFonts w:ascii="Times New Roman" w:hAnsi="Times New Roman" w:eastAsia="宋体" w:cs="宋体"/>
          <w:snapToGrid w:val="0"/>
          <w:color w:val="auto"/>
          <w:sz w:val="21"/>
          <w:szCs w:val="21"/>
          <w:highlight w:val="none"/>
        </w:rPr>
        <w:br w:type="page"/>
      </w:r>
    </w:p>
    <w:p w14:paraId="2136FCD1">
      <w:pPr>
        <w:widowControl w:val="0"/>
        <w:wordWrap w:val="0"/>
        <w:topLinePunct/>
        <w:bidi w:val="0"/>
        <w:spacing w:line="360" w:lineRule="auto"/>
        <w:ind w:firstLine="0" w:firstLineChars="0"/>
        <w:jc w:val="center"/>
        <w:outlineLvl w:val="0"/>
        <w:rPr>
          <w:rFonts w:hint="default" w:ascii="Times New Roman" w:hAnsi="Times New Roman" w:eastAsia="宋体" w:cs="宋体"/>
          <w:b/>
          <w:snapToGrid w:val="0"/>
          <w:color w:val="auto"/>
          <w:kern w:val="2"/>
          <w:sz w:val="30"/>
          <w:szCs w:val="30"/>
          <w:highlight w:val="none"/>
          <w:lang w:val="en-US" w:eastAsia="zh-CN" w:bidi="ar-SA"/>
        </w:rPr>
      </w:pPr>
      <w:bookmarkStart w:id="9" w:name="_Toc2187"/>
      <w:r>
        <w:rPr>
          <w:rFonts w:hint="eastAsia" w:ascii="Times New Roman" w:hAnsi="Times New Roman" w:eastAsia="宋体" w:cs="宋体"/>
          <w:b/>
          <w:snapToGrid w:val="0"/>
          <w:color w:val="auto"/>
          <w:kern w:val="2"/>
          <w:sz w:val="30"/>
          <w:szCs w:val="30"/>
          <w:highlight w:val="none"/>
          <w:lang w:val="en-US" w:eastAsia="zh-CN" w:bidi="ar-SA"/>
        </w:rPr>
        <w:t>四、主要环境影响和保护措施</w:t>
      </w:r>
      <w:bookmarkEnd w:id="9"/>
    </w:p>
    <w:tbl>
      <w:tblPr>
        <w:tblStyle w:val="23"/>
        <w:tblW w:w="504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27"/>
        <w:gridCol w:w="7795"/>
      </w:tblGrid>
      <w:tr w14:paraId="685073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5" w:hRule="atLeast"/>
          <w:jc w:val="center"/>
        </w:trPr>
        <w:tc>
          <w:tcPr>
            <w:tcW w:w="426" w:type="pct"/>
            <w:noWrap w:val="0"/>
            <w:tcMar>
              <w:left w:w="28" w:type="dxa"/>
              <w:right w:w="28" w:type="dxa"/>
            </w:tcMar>
            <w:vAlign w:val="center"/>
          </w:tcPr>
          <w:p w14:paraId="3659900D">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rPr>
              <w:t>施工</w:t>
            </w:r>
          </w:p>
          <w:p w14:paraId="117B0056">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rPr>
              <w:t>期环</w:t>
            </w:r>
          </w:p>
          <w:p w14:paraId="47FED472">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rPr>
              <w:t>境保</w:t>
            </w:r>
          </w:p>
          <w:p w14:paraId="7ADB7FB2">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rPr>
              <w:t>护措</w:t>
            </w:r>
          </w:p>
          <w:p w14:paraId="6CCFCDD7">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color w:val="auto"/>
                <w:sz w:val="24"/>
                <w:szCs w:val="24"/>
                <w:highlight w:val="none"/>
              </w:rPr>
              <w:t>施</w:t>
            </w:r>
          </w:p>
        </w:tc>
        <w:tc>
          <w:tcPr>
            <w:tcW w:w="4573" w:type="pct"/>
            <w:noWrap w:val="0"/>
            <w:vAlign w:val="center"/>
          </w:tcPr>
          <w:p w14:paraId="11B950DF">
            <w:pPr>
              <w:pStyle w:val="30"/>
              <w:bidi w:val="0"/>
              <w:rPr>
                <w:color w:val="auto"/>
                <w:highlight w:val="none"/>
                <w:lang w:val="en-US" w:eastAsia="zh-CN"/>
              </w:rPr>
            </w:pPr>
            <w:r>
              <w:rPr>
                <w:color w:val="auto"/>
                <w:highlight w:val="none"/>
                <w:lang w:val="en-US" w:eastAsia="zh-CN"/>
              </w:rPr>
              <w:t>项目位于</w:t>
            </w:r>
            <w:r>
              <w:rPr>
                <w:rFonts w:hint="eastAsia"/>
                <w:color w:val="auto"/>
                <w:highlight w:val="none"/>
                <w:lang w:val="en-US" w:eastAsia="zh-CN"/>
              </w:rPr>
              <w:t>黑龙江省双鸭山市四方台区三江农资东侧，2024年8月建成，尚未投入使用，属于未批先建，已接受处罚，处罚文件及罚款缴纳材料见附件7、附件8。项目</w:t>
            </w:r>
            <w:r>
              <w:rPr>
                <w:color w:val="auto"/>
                <w:highlight w:val="none"/>
                <w:lang w:val="en-US" w:eastAsia="zh-CN"/>
              </w:rPr>
              <w:t>至今未办理相关环评</w:t>
            </w:r>
            <w:r>
              <w:rPr>
                <w:rFonts w:hint="eastAsia"/>
                <w:color w:val="auto"/>
                <w:highlight w:val="none"/>
                <w:lang w:val="en-US" w:eastAsia="zh-CN"/>
              </w:rPr>
              <w:t>、</w:t>
            </w:r>
            <w:r>
              <w:rPr>
                <w:color w:val="auto"/>
                <w:highlight w:val="none"/>
                <w:lang w:val="en-US" w:eastAsia="zh-CN"/>
              </w:rPr>
              <w:t>验收</w:t>
            </w:r>
            <w:r>
              <w:rPr>
                <w:rFonts w:hint="eastAsia"/>
                <w:color w:val="auto"/>
                <w:highlight w:val="none"/>
                <w:lang w:val="en-US" w:eastAsia="zh-CN"/>
              </w:rPr>
              <w:t>及排污许可证</w:t>
            </w:r>
            <w:r>
              <w:rPr>
                <w:color w:val="auto"/>
                <w:highlight w:val="none"/>
                <w:lang w:val="en-US" w:eastAsia="zh-CN"/>
              </w:rPr>
              <w:t>手续。按照《关于做好固定污染源排污许可清理整顿和2020年排污许可发证登记工作的通知》（环办环评函</w:t>
            </w:r>
            <w:r>
              <w:rPr>
                <w:rFonts w:hint="eastAsia"/>
                <w:color w:val="auto"/>
                <w:highlight w:val="none"/>
                <w:lang w:val="en-US" w:eastAsia="zh-CN"/>
              </w:rPr>
              <w:t>〔2019〕939号</w:t>
            </w:r>
            <w:r>
              <w:rPr>
                <w:color w:val="auto"/>
                <w:highlight w:val="none"/>
                <w:lang w:val="en-US" w:eastAsia="zh-CN"/>
              </w:rPr>
              <w:t>）、《关于固定污染源排污限期整改有关事项的通知》（环环评</w:t>
            </w:r>
            <w:r>
              <w:rPr>
                <w:rFonts w:hint="eastAsia"/>
                <w:color w:val="auto"/>
                <w:highlight w:val="none"/>
                <w:lang w:val="en-US" w:eastAsia="zh-CN"/>
              </w:rPr>
              <w:t>〔2020〕19号</w:t>
            </w:r>
            <w:r>
              <w:rPr>
                <w:color w:val="auto"/>
                <w:highlight w:val="none"/>
                <w:lang w:val="en-US" w:eastAsia="zh-CN"/>
              </w:rPr>
              <w:t>）的要求，需办理环境影响评价审批手续。</w:t>
            </w:r>
            <w:r>
              <w:rPr>
                <w:rFonts w:hint="eastAsia"/>
                <w:color w:val="auto"/>
                <w:highlight w:val="none"/>
                <w:lang w:val="en-US" w:eastAsia="zh-CN"/>
              </w:rPr>
              <w:t>企业现已停产，待相关手续及环保措施落实后再投产。</w:t>
            </w:r>
          </w:p>
          <w:p w14:paraId="65B59547">
            <w:pPr>
              <w:pStyle w:val="31"/>
              <w:bidi w:val="0"/>
              <w:rPr>
                <w:rFonts w:hint="default"/>
                <w:b/>
                <w:bCs/>
                <w:color w:val="auto"/>
                <w:highlight w:val="none"/>
                <w:lang w:val="en-US" w:eastAsia="zh-CN"/>
              </w:rPr>
            </w:pPr>
            <w:r>
              <w:rPr>
                <w:rFonts w:hint="eastAsia"/>
                <w:color w:val="auto"/>
                <w:highlight w:val="none"/>
                <w:lang w:val="en-US" w:eastAsia="zh-CN"/>
              </w:rPr>
              <w:t>故本项目施工期已结束，不涉及施工期环境保护措施。</w:t>
            </w:r>
          </w:p>
        </w:tc>
      </w:tr>
      <w:tr w14:paraId="33EC57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82" w:hRule="atLeast"/>
          <w:jc w:val="center"/>
        </w:trPr>
        <w:tc>
          <w:tcPr>
            <w:tcW w:w="426" w:type="pct"/>
            <w:noWrap w:val="0"/>
            <w:tcMar>
              <w:left w:w="28" w:type="dxa"/>
              <w:right w:w="28" w:type="dxa"/>
            </w:tcMar>
            <w:vAlign w:val="center"/>
          </w:tcPr>
          <w:p w14:paraId="595DEB86">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运营</w:t>
            </w:r>
          </w:p>
          <w:p w14:paraId="1AC133B5">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期环</w:t>
            </w:r>
          </w:p>
          <w:p w14:paraId="39C634A7">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境影</w:t>
            </w:r>
          </w:p>
          <w:p w14:paraId="3A84FA21">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响和</w:t>
            </w:r>
          </w:p>
          <w:p w14:paraId="666BE0E1">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保护</w:t>
            </w:r>
          </w:p>
          <w:p w14:paraId="407DF0FA">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措施</w:t>
            </w:r>
          </w:p>
        </w:tc>
        <w:tc>
          <w:tcPr>
            <w:tcW w:w="4573" w:type="pct"/>
            <w:noWrap w:val="0"/>
            <w:vAlign w:val="center"/>
          </w:tcPr>
          <w:p w14:paraId="649DB398">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contextualSpacing/>
              <w:jc w:val="left"/>
              <w:textAlignment w:val="auto"/>
              <w:rPr>
                <w:rFonts w:hint="eastAsia" w:hAnsi="宋体"/>
                <w:b/>
                <w:bCs w:val="0"/>
                <w:color w:val="auto"/>
                <w:sz w:val="24"/>
                <w:highlight w:val="none"/>
                <w:lang w:val="en-US" w:eastAsia="zh-CN"/>
              </w:rPr>
            </w:pPr>
            <w:r>
              <w:rPr>
                <w:rFonts w:hint="eastAsia" w:hAnsi="宋体"/>
                <w:b/>
                <w:bCs w:val="0"/>
                <w:color w:val="auto"/>
                <w:sz w:val="24"/>
                <w:highlight w:val="none"/>
                <w:lang w:val="en-US" w:eastAsia="zh-CN"/>
              </w:rPr>
              <w:t>一、废气</w:t>
            </w:r>
          </w:p>
          <w:p w14:paraId="7C42C393">
            <w:pPr>
              <w:pStyle w:val="31"/>
              <w:bidi w:val="0"/>
              <w:rPr>
                <w:b/>
                <w:bCs/>
                <w:color w:val="auto"/>
                <w:highlight w:val="none"/>
              </w:rPr>
            </w:pPr>
            <w:r>
              <w:rPr>
                <w:rFonts w:hint="eastAsia"/>
                <w:b/>
                <w:bCs/>
                <w:color w:val="auto"/>
                <w:highlight w:val="none"/>
                <w:lang w:val="en-US" w:eastAsia="zh-CN"/>
              </w:rPr>
              <w:t>1、</w:t>
            </w:r>
            <w:r>
              <w:rPr>
                <w:b/>
                <w:bCs/>
                <w:color w:val="auto"/>
                <w:highlight w:val="none"/>
              </w:rPr>
              <w:t>废气源强核算</w:t>
            </w:r>
          </w:p>
          <w:p w14:paraId="0B7E1B97">
            <w:pPr>
              <w:pStyle w:val="31"/>
              <w:bidi w:val="0"/>
              <w:rPr>
                <w:rFonts w:hint="eastAsia"/>
                <w:color w:val="auto"/>
                <w:highlight w:val="none"/>
                <w:lang w:val="en-US" w:eastAsia="zh-CN"/>
              </w:rPr>
            </w:pPr>
            <w:r>
              <w:rPr>
                <w:rFonts w:hint="eastAsia"/>
                <w:color w:val="auto"/>
                <w:highlight w:val="none"/>
                <w:lang w:val="en-US" w:eastAsia="zh-CN"/>
              </w:rPr>
              <w:t>本项目运营期大气污染物主要为石子和砂子卸料贮存粉尘、水泥</w:t>
            </w:r>
            <w:r>
              <w:rPr>
                <w:rFonts w:hint="eastAsia"/>
                <w:color w:val="auto"/>
                <w:highlight w:val="none"/>
                <w:lang w:val="en-US" w:eastAsia="zh-CN"/>
              </w:rPr>
              <w:t>筒仓</w:t>
            </w:r>
            <w:r>
              <w:rPr>
                <w:rFonts w:hint="eastAsia"/>
                <w:color w:val="auto"/>
                <w:highlight w:val="none"/>
                <w:lang w:val="en-US" w:eastAsia="zh-CN"/>
              </w:rPr>
              <w:t>粉尘、</w:t>
            </w:r>
            <w:r>
              <w:rPr>
                <w:rFonts w:hint="eastAsia"/>
                <w:color w:val="auto"/>
                <w:highlight w:val="none"/>
                <w:lang w:val="en-US" w:eastAsia="zh-CN"/>
              </w:rPr>
              <w:t>粉煤灰筒仓</w:t>
            </w:r>
            <w:r>
              <w:rPr>
                <w:rFonts w:hint="eastAsia"/>
                <w:color w:val="auto"/>
                <w:highlight w:val="none"/>
                <w:lang w:val="en-US" w:eastAsia="zh-CN"/>
              </w:rPr>
              <w:t>粉尘、</w:t>
            </w:r>
            <w:r>
              <w:rPr>
                <w:rFonts w:hint="eastAsia"/>
                <w:color w:val="auto"/>
                <w:highlight w:val="none"/>
                <w:lang w:val="en-US" w:eastAsia="zh-CN"/>
              </w:rPr>
              <w:t>外加剂罐粉尘</w:t>
            </w:r>
            <w:r>
              <w:rPr>
                <w:rFonts w:hint="eastAsia"/>
                <w:color w:val="auto"/>
                <w:highlight w:val="none"/>
                <w:lang w:val="en-US" w:eastAsia="zh-CN"/>
              </w:rPr>
              <w:t>、输送计量投料粉尘、物料混合搅拌粉尘。</w:t>
            </w:r>
          </w:p>
          <w:p w14:paraId="346F234A">
            <w:pPr>
              <w:pStyle w:val="31"/>
              <w:bidi w:val="0"/>
              <w:rPr>
                <w:rFonts w:hint="default"/>
                <w:color w:val="auto"/>
                <w:highlight w:val="none"/>
                <w:lang w:val="en-US" w:eastAsia="zh-CN"/>
              </w:rPr>
            </w:pPr>
            <w:r>
              <w:rPr>
                <w:rFonts w:hint="eastAsia"/>
                <w:color w:val="auto"/>
                <w:highlight w:val="none"/>
                <w:lang w:val="en-US" w:eastAsia="zh-CN"/>
              </w:rPr>
              <w:t>源强核算过程如下：</w:t>
            </w:r>
          </w:p>
          <w:p w14:paraId="2B1BB858">
            <w:pPr>
              <w:pStyle w:val="31"/>
              <w:bidi w:val="0"/>
              <w:rPr>
                <w:rFonts w:hint="eastAsia"/>
                <w:color w:val="auto"/>
                <w:highlight w:val="none"/>
                <w:lang w:val="en-US" w:eastAsia="zh-CN"/>
              </w:rPr>
            </w:pPr>
            <w:r>
              <w:rPr>
                <w:rFonts w:hint="eastAsia"/>
                <w:color w:val="auto"/>
                <w:highlight w:val="none"/>
                <w:lang w:val="en-US" w:eastAsia="zh-CN"/>
              </w:rPr>
              <w:t>①石子和砂子卸料及贮存粉尘</w:t>
            </w:r>
          </w:p>
          <w:p w14:paraId="6FB396C3">
            <w:pPr>
              <w:pStyle w:val="98"/>
              <w:keepNext w:val="0"/>
              <w:keepLines w:val="0"/>
              <w:pageBreakBefore w:val="0"/>
              <w:widowControl w:val="0"/>
              <w:kinsoku/>
              <w:wordWrap/>
              <w:overflowPunct/>
              <w:topLinePunct w:val="0"/>
              <w:autoSpaceDE w:val="0"/>
              <w:autoSpaceDN w:val="0"/>
              <w:bidi w:val="0"/>
              <w:adjustRightInd/>
              <w:snapToGrid/>
              <w:spacing w:before="0" w:after="0" w:line="360" w:lineRule="auto"/>
              <w:ind w:left="0" w:firstLine="480" w:firstLineChars="200"/>
              <w:textAlignment w:val="auto"/>
              <w:rPr>
                <w:rStyle w:val="100"/>
                <w:rFonts w:hint="default"/>
                <w:color w:val="auto"/>
                <w:kern w:val="0"/>
                <w:sz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原料</w:t>
            </w:r>
            <w:r>
              <w:rPr>
                <w:rFonts w:hint="eastAsia" w:ascii="Times New Roman" w:hAnsi="Times New Roman" w:eastAsia="宋体" w:cs="Times New Roman"/>
                <w:color w:val="auto"/>
                <w:kern w:val="0"/>
                <w:sz w:val="24"/>
                <w:szCs w:val="24"/>
                <w:highlight w:val="none"/>
                <w:lang w:val="en-US" w:eastAsia="zh-CN" w:bidi="ar-SA"/>
              </w:rPr>
              <w:t>堆存及装卸扬尘</w:t>
            </w:r>
            <w:r>
              <w:rPr>
                <w:rFonts w:hint="default" w:ascii="Times New Roman" w:hAnsi="Times New Roman" w:eastAsia="宋体" w:cs="Times New Roman"/>
                <w:color w:val="auto"/>
                <w:kern w:val="0"/>
                <w:sz w:val="24"/>
                <w:szCs w:val="24"/>
                <w:highlight w:val="none"/>
                <w:lang w:val="en-US" w:eastAsia="zh-CN" w:bidi="ar-SA"/>
              </w:rPr>
              <w:t>产生量参照《排放源统计调查产排污核算方法和系数手册》附表</w:t>
            </w:r>
            <w:r>
              <w:rPr>
                <w:rFonts w:hint="default" w:ascii="Times New Roman" w:hAnsi="Times New Roman" w:cs="Times New Roman"/>
                <w:color w:val="auto"/>
                <w:kern w:val="0"/>
                <w:sz w:val="24"/>
                <w:szCs w:val="24"/>
                <w:highlight w:val="none"/>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固体物料堆存颗粒物产排污核算系数手册，工业企业固体物料堆存颗粒物产生量核算公</w:t>
            </w:r>
            <w:r>
              <w:rPr>
                <w:rStyle w:val="100"/>
                <w:rFonts w:hint="default"/>
                <w:color w:val="auto"/>
                <w:kern w:val="0"/>
                <w:sz w:val="24"/>
                <w:highlight w:val="none"/>
                <w:lang w:val="en-US" w:eastAsia="zh-CN"/>
              </w:rPr>
              <w:t>式如下：</w:t>
            </w:r>
          </w:p>
          <w:p w14:paraId="21D32393">
            <w:pPr>
              <w:keepNext w:val="0"/>
              <w:keepLines w:val="0"/>
              <w:pageBreakBefore w:val="0"/>
              <w:widowControl w:val="0"/>
              <w:kinsoku/>
              <w:wordWrap/>
              <w:overflowPunct/>
              <w:topLinePunct w:val="0"/>
              <w:bidi w:val="0"/>
              <w:snapToGrid/>
              <w:spacing w:line="360" w:lineRule="auto"/>
              <w:jc w:val="center"/>
              <w:textAlignment w:val="auto"/>
              <w:rPr>
                <w:color w:val="auto"/>
                <w:highlight w:val="none"/>
              </w:rPr>
            </w:pPr>
            <w:r>
              <w:rPr>
                <w:color w:val="auto"/>
                <w:highlight w:val="none"/>
              </w:rPr>
              <w:drawing>
                <wp:inline distT="0" distB="0" distL="114300" distR="114300">
                  <wp:extent cx="4107180" cy="360045"/>
                  <wp:effectExtent l="0" t="0" r="0" b="0"/>
                  <wp:docPr id="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1"/>
                          <pic:cNvPicPr>
                            <a:picLocks noChangeAspect="1"/>
                          </pic:cNvPicPr>
                        </pic:nvPicPr>
                        <pic:blipFill>
                          <a:blip r:embed="rId24">
                            <a:clrChange>
                              <a:clrFrom>
                                <a:srgbClr val="FFFFFF"/>
                              </a:clrFrom>
                              <a:clrTo>
                                <a:srgbClr val="FFFFFF">
                                  <a:alpha val="0"/>
                                </a:srgbClr>
                              </a:clrTo>
                            </a:clrChange>
                          </a:blip>
                          <a:stretch>
                            <a:fillRect/>
                          </a:stretch>
                        </pic:blipFill>
                        <pic:spPr>
                          <a:xfrm>
                            <a:off x="0" y="0"/>
                            <a:ext cx="4107180" cy="360045"/>
                          </a:xfrm>
                          <a:prstGeom prst="rect">
                            <a:avLst/>
                          </a:prstGeom>
                          <a:noFill/>
                          <a:ln>
                            <a:noFill/>
                          </a:ln>
                        </pic:spPr>
                      </pic:pic>
                    </a:graphicData>
                  </a:graphic>
                </wp:inline>
              </w:drawing>
            </w:r>
          </w:p>
          <w:p w14:paraId="1D665F5B">
            <w:pPr>
              <w:pStyle w:val="31"/>
              <w:bidi w:val="0"/>
              <w:rPr>
                <w:rFonts w:hint="eastAsia"/>
                <w:color w:val="auto"/>
                <w:highlight w:val="none"/>
                <w:lang w:eastAsia="zh-CN"/>
              </w:rPr>
            </w:pPr>
            <w:r>
              <w:rPr>
                <w:rFonts w:hint="eastAsia"/>
                <w:color w:val="auto"/>
                <w:highlight w:val="none"/>
                <w:lang w:eastAsia="zh-CN"/>
              </w:rPr>
              <w:t>式中：</w:t>
            </w:r>
          </w:p>
          <w:p w14:paraId="0FEF5E20">
            <w:pPr>
              <w:pStyle w:val="31"/>
              <w:bidi w:val="0"/>
              <w:rPr>
                <w:rFonts w:hint="eastAsia"/>
                <w:color w:val="auto"/>
                <w:highlight w:val="none"/>
                <w:lang w:eastAsia="zh-CN"/>
              </w:rPr>
            </w:pPr>
            <w:r>
              <w:rPr>
                <w:rFonts w:hint="default"/>
                <w:color w:val="auto"/>
                <w:highlight w:val="none"/>
                <w:lang w:eastAsia="zh-CN"/>
              </w:rPr>
              <w:t>P</w:t>
            </w:r>
            <w:r>
              <w:rPr>
                <w:rFonts w:hint="eastAsia"/>
                <w:color w:val="auto"/>
                <w:highlight w:val="none"/>
                <w:lang w:eastAsia="zh-CN"/>
              </w:rPr>
              <w:t>指颗粒物产生量（单位：吨）；</w:t>
            </w:r>
          </w:p>
          <w:p w14:paraId="2694CEB7">
            <w:pPr>
              <w:pStyle w:val="31"/>
              <w:bidi w:val="0"/>
              <w:rPr>
                <w:rFonts w:hint="eastAsia"/>
                <w:color w:val="auto"/>
                <w:highlight w:val="none"/>
                <w:lang w:eastAsia="zh-CN"/>
              </w:rPr>
            </w:pPr>
            <w:r>
              <w:rPr>
                <w:rFonts w:hint="default"/>
                <w:color w:val="auto"/>
                <w:highlight w:val="none"/>
                <w:lang w:eastAsia="zh-CN"/>
              </w:rPr>
              <w:t>ZCy</w:t>
            </w:r>
            <w:r>
              <w:rPr>
                <w:rFonts w:hint="eastAsia"/>
                <w:color w:val="auto"/>
                <w:highlight w:val="none"/>
                <w:lang w:eastAsia="zh-CN"/>
              </w:rPr>
              <w:t>指装卸扬尘产生量（单位：吨）；</w:t>
            </w:r>
          </w:p>
          <w:p w14:paraId="20378AA4">
            <w:pPr>
              <w:pStyle w:val="31"/>
              <w:bidi w:val="0"/>
              <w:rPr>
                <w:rFonts w:hint="eastAsia"/>
                <w:color w:val="auto"/>
                <w:highlight w:val="none"/>
                <w:lang w:eastAsia="zh-CN"/>
              </w:rPr>
            </w:pPr>
            <w:r>
              <w:rPr>
                <w:rFonts w:hint="default"/>
                <w:color w:val="auto"/>
                <w:highlight w:val="none"/>
                <w:lang w:eastAsia="zh-CN"/>
              </w:rPr>
              <w:t>FCy</w:t>
            </w:r>
            <w:r>
              <w:rPr>
                <w:rFonts w:hint="eastAsia"/>
                <w:color w:val="auto"/>
                <w:highlight w:val="none"/>
                <w:lang w:eastAsia="zh-CN"/>
              </w:rPr>
              <w:t>指风蚀扬尘产生量（单位：吨）；</w:t>
            </w:r>
          </w:p>
          <w:p w14:paraId="60B611D7">
            <w:pPr>
              <w:pStyle w:val="31"/>
              <w:bidi w:val="0"/>
              <w:rPr>
                <w:rFonts w:hint="eastAsia"/>
                <w:color w:val="auto"/>
                <w:highlight w:val="none"/>
                <w:lang w:eastAsia="zh-CN"/>
              </w:rPr>
            </w:pPr>
            <w:r>
              <w:rPr>
                <w:rFonts w:hint="default"/>
                <w:color w:val="auto"/>
                <w:highlight w:val="none"/>
                <w:lang w:eastAsia="zh-CN"/>
              </w:rPr>
              <w:t>Nc</w:t>
            </w:r>
            <w:r>
              <w:rPr>
                <w:rFonts w:hint="eastAsia"/>
                <w:color w:val="auto"/>
                <w:highlight w:val="none"/>
                <w:lang w:eastAsia="zh-CN"/>
              </w:rPr>
              <w:t>指年物料运载车次（单位：车），</w:t>
            </w:r>
            <w:r>
              <w:rPr>
                <w:rFonts w:hint="eastAsia"/>
                <w:color w:val="auto"/>
                <w:highlight w:val="none"/>
                <w:lang w:val="en-US" w:eastAsia="zh-CN"/>
              </w:rPr>
              <w:t>砂石</w:t>
            </w:r>
            <w:r>
              <w:rPr>
                <w:rFonts w:hint="eastAsia"/>
                <w:color w:val="auto"/>
                <w:highlight w:val="none"/>
                <w:lang w:eastAsia="zh-CN"/>
              </w:rPr>
              <w:t>总用量</w:t>
            </w:r>
            <w:r>
              <w:rPr>
                <w:rFonts w:hint="eastAsia"/>
                <w:color w:val="auto"/>
                <w:highlight w:val="none"/>
                <w:lang w:val="en-US" w:eastAsia="zh-CN"/>
              </w:rPr>
              <w:t>95500吨，每车装载20吨，年运转车次4775次</w:t>
            </w:r>
            <w:r>
              <w:rPr>
                <w:rFonts w:hint="eastAsia"/>
                <w:color w:val="auto"/>
                <w:highlight w:val="none"/>
                <w:lang w:eastAsia="zh-CN"/>
              </w:rPr>
              <w:t>；</w:t>
            </w:r>
          </w:p>
          <w:p w14:paraId="1A371E37">
            <w:pPr>
              <w:pStyle w:val="31"/>
              <w:bidi w:val="0"/>
              <w:rPr>
                <w:rFonts w:hint="eastAsia"/>
                <w:color w:val="auto"/>
                <w:highlight w:val="none"/>
                <w:lang w:eastAsia="zh-CN"/>
              </w:rPr>
            </w:pPr>
            <w:r>
              <w:rPr>
                <w:rFonts w:hint="default"/>
                <w:color w:val="auto"/>
                <w:highlight w:val="none"/>
                <w:lang w:eastAsia="zh-CN"/>
              </w:rPr>
              <w:t>D</w:t>
            </w:r>
            <w:r>
              <w:rPr>
                <w:rFonts w:hint="eastAsia"/>
                <w:color w:val="auto"/>
                <w:highlight w:val="none"/>
                <w:lang w:eastAsia="zh-CN"/>
              </w:rPr>
              <w:t>指单车平均运载量（单位：吨/车），</w:t>
            </w:r>
            <w:r>
              <w:rPr>
                <w:rFonts w:hint="eastAsia"/>
                <w:color w:val="auto"/>
                <w:highlight w:val="none"/>
                <w:lang w:val="en-US" w:eastAsia="zh-CN"/>
              </w:rPr>
              <w:t>20吨/车</w:t>
            </w:r>
            <w:r>
              <w:rPr>
                <w:rFonts w:hint="eastAsia"/>
                <w:color w:val="auto"/>
                <w:highlight w:val="none"/>
                <w:lang w:eastAsia="zh-CN"/>
              </w:rPr>
              <w:t>；</w:t>
            </w:r>
          </w:p>
          <w:p w14:paraId="64D5D176">
            <w:pPr>
              <w:pStyle w:val="31"/>
              <w:bidi w:val="0"/>
              <w:rPr>
                <w:rFonts w:hint="eastAsia"/>
                <w:color w:val="auto"/>
                <w:highlight w:val="none"/>
                <w:lang w:eastAsia="zh-CN"/>
              </w:rPr>
            </w:pPr>
            <w:r>
              <w:rPr>
                <w:rFonts w:hint="eastAsia"/>
                <w:color w:val="auto"/>
                <w:highlight w:val="none"/>
                <w:lang w:eastAsia="zh-CN"/>
              </w:rPr>
              <w:t>（</w:t>
            </w:r>
            <w:r>
              <w:rPr>
                <w:rFonts w:hint="default"/>
                <w:color w:val="auto"/>
                <w:highlight w:val="none"/>
                <w:lang w:val="en-US" w:eastAsia="zh-CN"/>
              </w:rPr>
              <w:t>a</w:t>
            </w:r>
            <w:r>
              <w:rPr>
                <w:rFonts w:hint="eastAsia"/>
                <w:color w:val="auto"/>
                <w:highlight w:val="none"/>
                <w:lang w:val="en-US" w:eastAsia="zh-CN"/>
              </w:rPr>
              <w:t>/</w:t>
            </w:r>
            <w:r>
              <w:rPr>
                <w:rFonts w:hint="default"/>
                <w:color w:val="auto"/>
                <w:highlight w:val="none"/>
                <w:lang w:val="en-US" w:eastAsia="zh-CN"/>
              </w:rPr>
              <w:t>b</w:t>
            </w:r>
            <w:r>
              <w:rPr>
                <w:rFonts w:hint="eastAsia"/>
                <w:color w:val="auto"/>
                <w:highlight w:val="none"/>
                <w:lang w:eastAsia="zh-CN"/>
              </w:rPr>
              <w:t>）指装卸扬尘概化系数（单位：千克/吨），</w:t>
            </w:r>
            <w:r>
              <w:rPr>
                <w:rFonts w:hint="default"/>
                <w:color w:val="auto"/>
                <w:highlight w:val="none"/>
                <w:lang w:eastAsia="zh-CN"/>
              </w:rPr>
              <w:t>a</w:t>
            </w:r>
            <w:r>
              <w:rPr>
                <w:rFonts w:hint="eastAsia"/>
                <w:color w:val="auto"/>
                <w:highlight w:val="none"/>
                <w:lang w:eastAsia="zh-CN"/>
              </w:rPr>
              <w:t>指各省风速概化系数，见附录</w:t>
            </w:r>
            <w:r>
              <w:rPr>
                <w:rFonts w:hint="default"/>
                <w:color w:val="auto"/>
                <w:highlight w:val="none"/>
                <w:lang w:eastAsia="zh-CN"/>
              </w:rPr>
              <w:t>1</w:t>
            </w:r>
            <w:r>
              <w:rPr>
                <w:rFonts w:hint="eastAsia"/>
                <w:color w:val="auto"/>
                <w:highlight w:val="none"/>
                <w:lang w:eastAsia="zh-CN"/>
              </w:rPr>
              <w:t>，</w:t>
            </w:r>
            <w:r>
              <w:rPr>
                <w:rFonts w:hint="eastAsia"/>
                <w:color w:val="auto"/>
                <w:highlight w:val="none"/>
                <w:lang w:val="en-US" w:eastAsia="zh-CN"/>
              </w:rPr>
              <w:t>本项目位于黑龙江省，则</w:t>
            </w:r>
            <w:r>
              <w:rPr>
                <w:rFonts w:hint="default"/>
                <w:color w:val="auto"/>
                <w:highlight w:val="none"/>
                <w:lang w:val="en-US" w:eastAsia="zh-CN"/>
              </w:rPr>
              <w:t>a</w:t>
            </w:r>
            <w:r>
              <w:rPr>
                <w:rFonts w:hint="eastAsia"/>
                <w:color w:val="auto"/>
                <w:highlight w:val="none"/>
                <w:lang w:val="en-US" w:eastAsia="zh-CN"/>
              </w:rPr>
              <w:t>取值</w:t>
            </w:r>
            <w:r>
              <w:rPr>
                <w:rFonts w:hint="default"/>
                <w:color w:val="auto"/>
                <w:highlight w:val="none"/>
                <w:lang w:val="en-US" w:eastAsia="zh-CN"/>
              </w:rPr>
              <w:t>0</w:t>
            </w:r>
            <w:r>
              <w:rPr>
                <w:rFonts w:hint="eastAsia"/>
                <w:color w:val="auto"/>
                <w:highlight w:val="none"/>
                <w:lang w:val="en-US" w:eastAsia="zh-CN"/>
              </w:rPr>
              <w:t>.</w:t>
            </w:r>
            <w:r>
              <w:rPr>
                <w:rFonts w:hint="default"/>
                <w:color w:val="auto"/>
                <w:highlight w:val="none"/>
                <w:lang w:val="en-US" w:eastAsia="zh-CN"/>
              </w:rPr>
              <w:t>0015</w:t>
            </w:r>
            <w:r>
              <w:rPr>
                <w:rFonts w:hint="eastAsia"/>
                <w:color w:val="auto"/>
                <w:highlight w:val="none"/>
                <w:lang w:eastAsia="zh-CN"/>
              </w:rPr>
              <w:t>；</w:t>
            </w:r>
            <w:r>
              <w:rPr>
                <w:rFonts w:hint="default"/>
                <w:color w:val="auto"/>
                <w:highlight w:val="none"/>
                <w:lang w:eastAsia="zh-CN"/>
              </w:rPr>
              <w:t>b</w:t>
            </w:r>
            <w:r>
              <w:rPr>
                <w:rFonts w:hint="eastAsia"/>
                <w:color w:val="auto"/>
                <w:highlight w:val="none"/>
                <w:lang w:eastAsia="zh-CN"/>
              </w:rPr>
              <w:t>指物料含水率概化系数，见附录</w:t>
            </w:r>
            <w:r>
              <w:rPr>
                <w:rFonts w:hint="default"/>
                <w:color w:val="auto"/>
                <w:highlight w:val="none"/>
                <w:lang w:eastAsia="zh-CN"/>
              </w:rPr>
              <w:t>2</w:t>
            </w:r>
            <w:r>
              <w:rPr>
                <w:rFonts w:hint="eastAsia"/>
                <w:color w:val="auto"/>
                <w:highlight w:val="none"/>
                <w:lang w:eastAsia="zh-CN"/>
              </w:rPr>
              <w:t>，项目原料</w:t>
            </w:r>
            <w:r>
              <w:rPr>
                <w:rFonts w:hint="eastAsia"/>
                <w:color w:val="auto"/>
                <w:highlight w:val="none"/>
                <w:lang w:val="en-US" w:eastAsia="zh-CN"/>
              </w:rPr>
              <w:t>运输为石粉、砂子，参照混合矿石，对应</w:t>
            </w:r>
            <w:r>
              <w:rPr>
                <w:rFonts w:hint="default"/>
                <w:color w:val="auto"/>
                <w:highlight w:val="none"/>
                <w:lang w:val="en-US" w:eastAsia="zh-CN"/>
              </w:rPr>
              <w:t>b</w:t>
            </w:r>
            <w:r>
              <w:rPr>
                <w:rFonts w:hint="eastAsia"/>
                <w:color w:val="auto"/>
                <w:highlight w:val="none"/>
                <w:lang w:eastAsia="zh-CN"/>
              </w:rPr>
              <w:t>取值</w:t>
            </w:r>
            <w:r>
              <w:rPr>
                <w:rFonts w:hint="default"/>
                <w:color w:val="auto"/>
                <w:highlight w:val="none"/>
                <w:lang w:val="en-US" w:eastAsia="zh-CN"/>
              </w:rPr>
              <w:t>0</w:t>
            </w:r>
            <w:r>
              <w:rPr>
                <w:rFonts w:hint="eastAsia"/>
                <w:color w:val="auto"/>
                <w:highlight w:val="none"/>
                <w:lang w:val="en-US" w:eastAsia="zh-CN"/>
              </w:rPr>
              <w:t>.</w:t>
            </w:r>
            <w:r>
              <w:rPr>
                <w:rFonts w:hint="default"/>
                <w:color w:val="auto"/>
                <w:highlight w:val="none"/>
                <w:lang w:val="en-US" w:eastAsia="zh-CN"/>
              </w:rPr>
              <w:t>0084</w:t>
            </w:r>
            <w:r>
              <w:rPr>
                <w:rFonts w:hint="eastAsia"/>
                <w:color w:val="auto"/>
                <w:highlight w:val="none"/>
                <w:lang w:eastAsia="zh-CN"/>
              </w:rPr>
              <w:t>；</w:t>
            </w:r>
          </w:p>
          <w:p w14:paraId="40AB2335">
            <w:pPr>
              <w:pStyle w:val="31"/>
              <w:bidi w:val="0"/>
              <w:rPr>
                <w:rFonts w:hint="eastAsia"/>
                <w:color w:val="auto"/>
                <w:highlight w:val="none"/>
                <w:lang w:eastAsia="zh-CN"/>
              </w:rPr>
            </w:pPr>
            <w:r>
              <w:rPr>
                <w:rFonts w:hint="default"/>
                <w:color w:val="auto"/>
                <w:highlight w:val="none"/>
                <w:lang w:eastAsia="zh-CN"/>
              </w:rPr>
              <w:t>Ef</w:t>
            </w:r>
            <w:r>
              <w:rPr>
                <w:rFonts w:hint="eastAsia"/>
                <w:color w:val="auto"/>
                <w:highlight w:val="none"/>
                <w:lang w:eastAsia="zh-CN"/>
              </w:rPr>
              <w:t>指堆场风蚀扬尘概化系数，</w:t>
            </w:r>
            <w:r>
              <w:rPr>
                <w:rFonts w:hint="eastAsia"/>
                <w:color w:val="auto"/>
                <w:highlight w:val="none"/>
                <w:lang w:val="en-US" w:eastAsia="zh-CN"/>
              </w:rPr>
              <w:t>物料堆存类型参照混合矿石，</w:t>
            </w:r>
            <w:r>
              <w:rPr>
                <w:rFonts w:hint="default"/>
                <w:color w:val="auto"/>
                <w:highlight w:val="none"/>
                <w:lang w:eastAsia="zh-CN"/>
              </w:rPr>
              <w:t>Ef</w:t>
            </w:r>
            <w:r>
              <w:rPr>
                <w:rFonts w:hint="eastAsia"/>
                <w:color w:val="auto"/>
                <w:highlight w:val="none"/>
                <w:lang w:val="en-US" w:eastAsia="zh-CN"/>
              </w:rPr>
              <w:t>对应取值</w:t>
            </w:r>
            <w:r>
              <w:rPr>
                <w:rFonts w:hint="default"/>
                <w:color w:val="auto"/>
                <w:highlight w:val="none"/>
                <w:lang w:val="en-US" w:eastAsia="zh-CN"/>
              </w:rPr>
              <w:t>0</w:t>
            </w:r>
            <w:r>
              <w:rPr>
                <w:rFonts w:hint="eastAsia"/>
                <w:color w:val="auto"/>
                <w:highlight w:val="none"/>
                <w:lang w:eastAsia="zh-CN"/>
              </w:rPr>
              <w:t>（单位：千克/平方米）；</w:t>
            </w:r>
          </w:p>
          <w:p w14:paraId="127A1472">
            <w:pPr>
              <w:pStyle w:val="31"/>
              <w:bidi w:val="0"/>
              <w:rPr>
                <w:rFonts w:hint="eastAsia" w:ascii="Times New Roman" w:hAnsi="Times New Roman" w:eastAsia="宋体" w:cs="Times New Roman"/>
                <w:color w:val="auto"/>
                <w:kern w:val="0"/>
                <w:szCs w:val="24"/>
                <w:highlight w:val="none"/>
                <w:lang w:eastAsia="zh-CN" w:bidi="ar"/>
              </w:rPr>
            </w:pPr>
            <w:r>
              <w:rPr>
                <w:rFonts w:hint="default"/>
                <w:color w:val="auto"/>
                <w:highlight w:val="none"/>
                <w:lang w:eastAsia="zh-CN"/>
              </w:rPr>
              <w:t>S</w:t>
            </w:r>
            <w:r>
              <w:rPr>
                <w:rFonts w:hint="eastAsia"/>
                <w:color w:val="auto"/>
                <w:highlight w:val="none"/>
                <w:lang w:eastAsia="zh-CN"/>
              </w:rPr>
              <w:t>指堆场占地面积（单位：平方米），</w:t>
            </w:r>
            <w:r>
              <w:rPr>
                <w:rFonts w:hint="eastAsia"/>
                <w:color w:val="auto"/>
                <w:highlight w:val="none"/>
                <w:lang w:val="en-US" w:eastAsia="zh-CN"/>
              </w:rPr>
              <w:t>5000</w:t>
            </w:r>
            <w:r>
              <w:rPr>
                <w:rFonts w:hint="default"/>
                <w:color w:val="auto"/>
                <w:highlight w:val="none"/>
                <w:lang w:val="en-US" w:eastAsia="zh-CN"/>
              </w:rPr>
              <w:t>m</w:t>
            </w:r>
            <w:r>
              <w:rPr>
                <w:rFonts w:hint="default"/>
                <w:color w:val="auto"/>
                <w:highlight w:val="none"/>
                <w:vertAlign w:val="superscript"/>
                <w:lang w:val="en-US" w:eastAsia="zh-CN"/>
              </w:rPr>
              <w:t>2</w:t>
            </w:r>
            <w:r>
              <w:rPr>
                <w:rFonts w:hint="eastAsia"/>
                <w:color w:val="auto"/>
                <w:highlight w:val="none"/>
                <w:lang w:eastAsia="zh-CN"/>
              </w:rPr>
              <w:t>。</w:t>
            </w:r>
          </w:p>
          <w:p w14:paraId="221B853D">
            <w:pPr>
              <w:pStyle w:val="31"/>
              <w:bidi w:val="0"/>
              <w:rPr>
                <w:rFonts w:hint="eastAsia"/>
                <w:color w:val="auto"/>
                <w:highlight w:val="none"/>
                <w:lang w:val="en-US" w:eastAsia="zh-CN"/>
              </w:rPr>
            </w:pPr>
            <w:r>
              <w:rPr>
                <w:rFonts w:hint="eastAsia"/>
                <w:color w:val="auto"/>
                <w:highlight w:val="none"/>
                <w:lang w:val="en-US" w:eastAsia="zh-CN"/>
              </w:rPr>
              <w:t>颗粒物产生量={4775×20×（</w:t>
            </w:r>
            <w:r>
              <w:rPr>
                <w:rFonts w:hint="default"/>
                <w:color w:val="auto"/>
                <w:highlight w:val="none"/>
                <w:lang w:val="en-US" w:eastAsia="zh-CN"/>
              </w:rPr>
              <w:t>0</w:t>
            </w:r>
            <w:r>
              <w:rPr>
                <w:rFonts w:hint="eastAsia"/>
                <w:color w:val="auto"/>
                <w:highlight w:val="none"/>
                <w:lang w:val="en-US" w:eastAsia="zh-CN"/>
              </w:rPr>
              <w:t>.</w:t>
            </w:r>
            <w:r>
              <w:rPr>
                <w:rFonts w:hint="default"/>
                <w:color w:val="auto"/>
                <w:highlight w:val="none"/>
                <w:lang w:val="en-US" w:eastAsia="zh-CN"/>
              </w:rPr>
              <w:t>0015</w:t>
            </w:r>
            <w:r>
              <w:rPr>
                <w:rFonts w:hint="eastAsia"/>
                <w:color w:val="auto"/>
                <w:highlight w:val="none"/>
                <w:lang w:val="en-US" w:eastAsia="zh-CN"/>
              </w:rPr>
              <w:t>÷</w:t>
            </w:r>
            <w:r>
              <w:rPr>
                <w:rFonts w:hint="default"/>
                <w:color w:val="auto"/>
                <w:highlight w:val="none"/>
                <w:lang w:val="en-US" w:eastAsia="zh-CN"/>
              </w:rPr>
              <w:t>0</w:t>
            </w:r>
            <w:r>
              <w:rPr>
                <w:rFonts w:hint="eastAsia"/>
                <w:color w:val="auto"/>
                <w:highlight w:val="none"/>
                <w:lang w:val="en-US" w:eastAsia="zh-CN"/>
              </w:rPr>
              <w:t>.</w:t>
            </w:r>
            <w:r>
              <w:rPr>
                <w:rFonts w:hint="default"/>
                <w:color w:val="auto"/>
                <w:highlight w:val="none"/>
                <w:lang w:val="en-US" w:eastAsia="zh-CN"/>
              </w:rPr>
              <w:t>0084</w:t>
            </w:r>
            <w:r>
              <w:rPr>
                <w:rFonts w:hint="eastAsia"/>
                <w:color w:val="auto"/>
                <w:highlight w:val="none"/>
                <w:lang w:val="en-US" w:eastAsia="zh-CN"/>
              </w:rPr>
              <w:t>）+</w:t>
            </w:r>
            <w:r>
              <w:rPr>
                <w:rFonts w:hint="default"/>
                <w:color w:val="auto"/>
                <w:highlight w:val="none"/>
                <w:lang w:val="en-US" w:eastAsia="zh-CN"/>
              </w:rPr>
              <w:t>2</w:t>
            </w:r>
            <w:r>
              <w:rPr>
                <w:rFonts w:hint="eastAsia"/>
                <w:color w:val="auto"/>
                <w:highlight w:val="none"/>
                <w:lang w:val="en-US" w:eastAsia="zh-CN"/>
              </w:rPr>
              <w:t>×</w:t>
            </w:r>
            <w:r>
              <w:rPr>
                <w:rFonts w:hint="default"/>
                <w:color w:val="auto"/>
                <w:highlight w:val="none"/>
                <w:lang w:val="en-US" w:eastAsia="zh-CN"/>
              </w:rPr>
              <w:t>0</w:t>
            </w:r>
            <w:r>
              <w:rPr>
                <w:rFonts w:hint="eastAsia"/>
                <w:color w:val="auto"/>
                <w:highlight w:val="none"/>
                <w:lang w:val="en-US" w:eastAsia="zh-CN"/>
              </w:rPr>
              <w:t>×</w:t>
            </w:r>
            <w:r>
              <w:rPr>
                <w:rFonts w:hint="default"/>
                <w:color w:val="auto"/>
                <w:highlight w:val="none"/>
                <w:lang w:val="en-US" w:eastAsia="zh-CN"/>
              </w:rPr>
              <w:t>5</w:t>
            </w:r>
            <w:r>
              <w:rPr>
                <w:rFonts w:hint="eastAsia"/>
                <w:color w:val="auto"/>
                <w:highlight w:val="none"/>
                <w:lang w:val="en-US" w:eastAsia="zh-CN"/>
              </w:rPr>
              <w:t>0</w:t>
            </w:r>
            <w:r>
              <w:rPr>
                <w:rFonts w:hint="default"/>
                <w:color w:val="auto"/>
                <w:highlight w:val="none"/>
                <w:lang w:val="en-US" w:eastAsia="zh-CN"/>
              </w:rPr>
              <w:t>00</w:t>
            </w:r>
            <w:r>
              <w:rPr>
                <w:rFonts w:hint="eastAsia"/>
                <w:color w:val="auto"/>
                <w:highlight w:val="none"/>
                <w:lang w:val="en-US" w:eastAsia="zh-CN"/>
              </w:rPr>
              <w:t>}×</w:t>
            </w:r>
            <w:r>
              <w:rPr>
                <w:rFonts w:hint="default"/>
                <w:color w:val="auto"/>
                <w:highlight w:val="none"/>
                <w:lang w:val="en-US" w:eastAsia="zh-CN"/>
              </w:rPr>
              <w:t>10</w:t>
            </w:r>
            <w:r>
              <w:rPr>
                <w:rFonts w:hint="eastAsia"/>
                <w:color w:val="auto"/>
                <w:highlight w:val="none"/>
                <w:vertAlign w:val="superscript"/>
                <w:lang w:val="en-US" w:eastAsia="zh-CN"/>
              </w:rPr>
              <w:t>-</w:t>
            </w:r>
            <w:r>
              <w:rPr>
                <w:rFonts w:hint="default"/>
                <w:color w:val="auto"/>
                <w:highlight w:val="none"/>
                <w:vertAlign w:val="superscript"/>
                <w:lang w:val="en-US" w:eastAsia="zh-CN"/>
              </w:rPr>
              <w:t>3</w:t>
            </w:r>
            <w:r>
              <w:rPr>
                <w:rFonts w:hint="eastAsia"/>
                <w:color w:val="auto"/>
                <w:highlight w:val="none"/>
                <w:lang w:val="en-US" w:eastAsia="zh-CN"/>
              </w:rPr>
              <w:t>=</w:t>
            </w:r>
            <w:r>
              <w:rPr>
                <w:rFonts w:hint="default"/>
                <w:color w:val="auto"/>
                <w:highlight w:val="none"/>
                <w:lang w:val="en-US" w:eastAsia="zh-CN"/>
              </w:rPr>
              <w:t>1</w:t>
            </w:r>
            <w:r>
              <w:rPr>
                <w:rFonts w:hint="eastAsia"/>
                <w:color w:val="auto"/>
                <w:highlight w:val="none"/>
                <w:lang w:val="en-US" w:eastAsia="zh-CN"/>
              </w:rPr>
              <w:t>7.06</w:t>
            </w:r>
            <w:r>
              <w:rPr>
                <w:rFonts w:hint="default"/>
                <w:color w:val="auto"/>
                <w:highlight w:val="none"/>
                <w:lang w:val="en-US" w:eastAsia="zh-CN"/>
              </w:rPr>
              <w:t>t</w:t>
            </w:r>
            <w:r>
              <w:rPr>
                <w:rFonts w:hint="eastAsia"/>
                <w:color w:val="auto"/>
                <w:highlight w:val="none"/>
                <w:lang w:val="en-US" w:eastAsia="zh-CN"/>
              </w:rPr>
              <w:t>/</w:t>
            </w:r>
            <w:r>
              <w:rPr>
                <w:rFonts w:hint="default"/>
                <w:color w:val="auto"/>
                <w:highlight w:val="none"/>
                <w:lang w:val="en-US" w:eastAsia="zh-CN"/>
              </w:rPr>
              <w:t>a</w:t>
            </w:r>
            <w:r>
              <w:rPr>
                <w:rFonts w:hint="eastAsia"/>
                <w:color w:val="auto"/>
                <w:highlight w:val="none"/>
                <w:lang w:val="en-US" w:eastAsia="zh-CN"/>
              </w:rPr>
              <w:t>（3.95kg/h）。</w:t>
            </w:r>
          </w:p>
          <w:p w14:paraId="0FDC2300">
            <w:pPr>
              <w:pStyle w:val="31"/>
              <w:bidi w:val="0"/>
              <w:rPr>
                <w:rFonts w:hint="default"/>
                <w:color w:val="auto"/>
                <w:highlight w:val="none"/>
                <w:lang w:val="en-US" w:eastAsia="zh-CN"/>
              </w:rPr>
            </w:pPr>
            <w:r>
              <w:rPr>
                <w:rFonts w:hint="default"/>
                <w:color w:val="auto"/>
                <w:highlight w:val="none"/>
                <w:lang w:val="en-US" w:eastAsia="zh-CN"/>
              </w:rPr>
              <w:t>根据《排放源统计调查产排污核算方法和系数手册》中的《工业源固体物料堆场颗粒物核算系数手册》，本项目砂石料储存的颗粒物排放量核算公式如下：</w:t>
            </w:r>
          </w:p>
          <w:p w14:paraId="3A5537FB">
            <w:pPr>
              <w:keepNext w:val="0"/>
              <w:keepLines w:val="0"/>
              <w:pageBreakBefore w:val="0"/>
              <w:kinsoku/>
              <w:wordWrap/>
              <w:overflowPunct/>
              <w:topLinePunct w:val="0"/>
              <w:bidi w:val="0"/>
              <w:adjustRightInd w:val="0"/>
              <w:snapToGrid w:val="0"/>
              <w:spacing w:line="360" w:lineRule="auto"/>
              <w:ind w:left="0" w:leftChars="0" w:right="0" w:rightChars="0" w:firstLine="480" w:firstLineChars="200"/>
              <w:jc w:val="center"/>
              <w:rPr>
                <w:rFonts w:hint="default" w:ascii="Times New Roman" w:hAnsi="Times New Roman" w:eastAsia="宋体" w:cs="Times New Roman"/>
                <w:bCs/>
                <w:color w:val="auto"/>
                <w:kern w:val="2"/>
                <w:sz w:val="21"/>
                <w:szCs w:val="21"/>
                <w:highlight w:val="none"/>
                <w:lang w:val="en-US" w:eastAsia="zh-CN" w:bidi="ar-SA"/>
              </w:rPr>
            </w:pPr>
            <w:r>
              <w:rPr>
                <w:color w:val="auto"/>
                <w:highlight w:val="none"/>
              </w:rPr>
              <w:drawing>
                <wp:inline distT="0" distB="0" distL="114300" distR="114300">
                  <wp:extent cx="3000375" cy="431800"/>
                  <wp:effectExtent l="0" t="0" r="9525" b="6350"/>
                  <wp:docPr id="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
                          <pic:cNvPicPr>
                            <a:picLocks noChangeAspect="1"/>
                          </pic:cNvPicPr>
                        </pic:nvPicPr>
                        <pic:blipFill>
                          <a:blip r:embed="rId25"/>
                          <a:stretch>
                            <a:fillRect/>
                          </a:stretch>
                        </pic:blipFill>
                        <pic:spPr>
                          <a:xfrm>
                            <a:off x="0" y="0"/>
                            <a:ext cx="3000375" cy="431800"/>
                          </a:xfrm>
                          <a:prstGeom prst="rect">
                            <a:avLst/>
                          </a:prstGeom>
                          <a:noFill/>
                          <a:ln>
                            <a:noFill/>
                          </a:ln>
                        </pic:spPr>
                      </pic:pic>
                    </a:graphicData>
                  </a:graphic>
                </wp:inline>
              </w:drawing>
            </w:r>
          </w:p>
          <w:p w14:paraId="72B35178">
            <w:pPr>
              <w:pStyle w:val="31"/>
              <w:bidi w:val="0"/>
              <w:rPr>
                <w:rFonts w:hint="default"/>
                <w:color w:val="auto"/>
                <w:highlight w:val="none"/>
                <w:lang w:val="en-US" w:eastAsia="zh-CN"/>
              </w:rPr>
            </w:pPr>
            <w:r>
              <w:rPr>
                <w:rFonts w:hint="default"/>
                <w:color w:val="auto"/>
                <w:highlight w:val="none"/>
                <w:lang w:val="en-US" w:eastAsia="zh-CN"/>
              </w:rPr>
              <w:t>式中：</w:t>
            </w:r>
          </w:p>
          <w:p w14:paraId="7A40CEF7">
            <w:pPr>
              <w:pStyle w:val="31"/>
              <w:bidi w:val="0"/>
              <w:rPr>
                <w:rFonts w:hint="default"/>
                <w:color w:val="auto"/>
                <w:highlight w:val="none"/>
                <w:lang w:val="en-US" w:eastAsia="zh-CN"/>
              </w:rPr>
            </w:pPr>
            <w:r>
              <w:rPr>
                <w:rFonts w:hint="default"/>
                <w:color w:val="auto"/>
                <w:highlight w:val="none"/>
                <w:lang w:val="en-US" w:eastAsia="zh-CN"/>
              </w:rPr>
              <w:t>P指颗粒物产生量（单位：吨）；</w:t>
            </w:r>
          </w:p>
          <w:p w14:paraId="2BF215B5">
            <w:pPr>
              <w:pStyle w:val="31"/>
              <w:bidi w:val="0"/>
              <w:rPr>
                <w:rFonts w:hint="default"/>
                <w:color w:val="auto"/>
                <w:highlight w:val="none"/>
                <w:lang w:val="en-US" w:eastAsia="zh-CN"/>
              </w:rPr>
            </w:pPr>
            <w:r>
              <w:rPr>
                <w:rFonts w:hint="default"/>
                <w:color w:val="auto"/>
                <w:highlight w:val="none"/>
                <w:lang w:val="en-US" w:eastAsia="zh-CN"/>
              </w:rPr>
              <w:t>Uc指颗粒物排放量（单位：吨）；</w:t>
            </w:r>
          </w:p>
          <w:p w14:paraId="13878722">
            <w:pPr>
              <w:pStyle w:val="31"/>
              <w:bidi w:val="0"/>
              <w:rPr>
                <w:rFonts w:hint="default"/>
                <w:color w:val="auto"/>
                <w:highlight w:val="none"/>
                <w:lang w:val="en-US" w:eastAsia="zh-CN"/>
              </w:rPr>
            </w:pPr>
            <w:r>
              <w:rPr>
                <w:rFonts w:hint="default"/>
                <w:color w:val="auto"/>
                <w:highlight w:val="none"/>
                <w:lang w:val="en-US" w:eastAsia="zh-CN"/>
              </w:rPr>
              <w:t>Cm指颗粒物控制措施控制效率（单位：%）；</w:t>
            </w:r>
          </w:p>
          <w:p w14:paraId="48A3C51B">
            <w:pPr>
              <w:pStyle w:val="31"/>
              <w:bidi w:val="0"/>
              <w:rPr>
                <w:rFonts w:hint="default"/>
                <w:color w:val="auto"/>
                <w:highlight w:val="none"/>
                <w:lang w:val="en-US" w:eastAsia="zh-CN"/>
              </w:rPr>
            </w:pPr>
            <w:r>
              <w:rPr>
                <w:rFonts w:hint="default"/>
                <w:color w:val="auto"/>
                <w:highlight w:val="none"/>
                <w:lang w:val="en-US" w:eastAsia="zh-CN"/>
              </w:rPr>
              <w:t>Tm指堆场类型控制措施控制效率（单位：%）。</w:t>
            </w:r>
          </w:p>
          <w:p w14:paraId="03ECC1ED">
            <w:pPr>
              <w:keepNext w:val="0"/>
              <w:keepLines w:val="0"/>
              <w:pageBreakBefore w:val="0"/>
              <w:kinsoku/>
              <w:wordWrap/>
              <w:overflowPunct/>
              <w:topLinePunct w:val="0"/>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kern w:val="0"/>
                <w:sz w:val="24"/>
                <w:szCs w:val="24"/>
                <w:highlight w:val="none"/>
                <w:lang w:val="en-US" w:eastAsia="zh-CN" w:bidi="ar"/>
              </w:rPr>
            </w:pPr>
            <w:r>
              <w:rPr>
                <w:rStyle w:val="37"/>
                <w:rFonts w:hint="default"/>
                <w:color w:val="auto"/>
                <w:highlight w:val="none"/>
                <w:lang w:val="en-US" w:eastAsia="zh-CN"/>
              </w:rPr>
              <w:t>本</w:t>
            </w:r>
            <w:r>
              <w:rPr>
                <w:rStyle w:val="37"/>
                <w:rFonts w:hint="eastAsia"/>
                <w:color w:val="auto"/>
                <w:highlight w:val="none"/>
                <w:lang w:val="en-US" w:eastAsia="zh-CN"/>
              </w:rPr>
              <w:t>项目原料</w:t>
            </w:r>
            <w:r>
              <w:rPr>
                <w:rStyle w:val="37"/>
                <w:rFonts w:hint="default"/>
                <w:color w:val="auto"/>
                <w:highlight w:val="none"/>
                <w:lang w:val="en-US" w:eastAsia="zh-CN"/>
              </w:rPr>
              <w:t>堆场</w:t>
            </w:r>
            <w:r>
              <w:rPr>
                <w:rStyle w:val="37"/>
                <w:rFonts w:hint="eastAsia"/>
                <w:color w:val="auto"/>
                <w:highlight w:val="none"/>
                <w:lang w:val="en-US" w:eastAsia="zh-CN"/>
              </w:rPr>
              <w:t>四周设置</w:t>
            </w:r>
            <w:r>
              <w:rPr>
                <w:rStyle w:val="37"/>
                <w:rFonts w:hint="default"/>
                <w:color w:val="auto"/>
                <w:highlight w:val="none"/>
                <w:lang w:val="en-US" w:eastAsia="zh-CN"/>
              </w:rPr>
              <w:t>防风抑尘网</w:t>
            </w:r>
            <w:r>
              <w:rPr>
                <w:rStyle w:val="37"/>
                <w:rFonts w:hint="eastAsia"/>
                <w:color w:val="auto"/>
                <w:highlight w:val="none"/>
                <w:lang w:val="en-US" w:eastAsia="zh-CN"/>
              </w:rPr>
              <w:t>，</w:t>
            </w:r>
            <w:r>
              <w:rPr>
                <w:rStyle w:val="37"/>
                <w:rFonts w:hint="default"/>
                <w:color w:val="auto"/>
                <w:highlight w:val="none"/>
                <w:lang w:val="en-US" w:eastAsia="zh-CN"/>
              </w:rPr>
              <w:t>并</w:t>
            </w:r>
            <w:r>
              <w:rPr>
                <w:rStyle w:val="37"/>
                <w:rFonts w:hint="eastAsia"/>
                <w:color w:val="auto"/>
                <w:highlight w:val="none"/>
                <w:lang w:val="en-US" w:eastAsia="zh-CN"/>
              </w:rPr>
              <w:t>采取苫盖、洒水抑尘，</w:t>
            </w:r>
            <w:r>
              <w:rPr>
                <w:rStyle w:val="37"/>
                <w:rFonts w:hint="default"/>
                <w:color w:val="auto"/>
                <w:highlight w:val="none"/>
                <w:lang w:val="en-US" w:eastAsia="zh-CN"/>
              </w:rPr>
              <w:t>依</w:t>
            </w:r>
            <w:r>
              <w:rPr>
                <w:rFonts w:hint="default" w:ascii="Times New Roman" w:hAnsi="Times New Roman" w:eastAsia="宋体" w:cs="Times New Roman"/>
                <w:color w:val="auto"/>
                <w:kern w:val="0"/>
                <w:sz w:val="24"/>
                <w:szCs w:val="24"/>
                <w:highlight w:val="none"/>
                <w:lang w:val="en-US" w:eastAsia="zh-CN" w:bidi="ar"/>
              </w:rPr>
              <w:t>据</w:t>
            </w:r>
            <w:r>
              <w:rPr>
                <w:rStyle w:val="37"/>
                <w:rFonts w:hint="default"/>
                <w:color w:val="auto"/>
                <w:highlight w:val="none"/>
                <w:lang w:val="en-US" w:eastAsia="zh-CN"/>
              </w:rPr>
              <w:t>《工业源固体物料堆场颗粒物核算系数手册》附录5</w:t>
            </w:r>
            <w:r>
              <w:rPr>
                <w:rStyle w:val="37"/>
                <w:rFonts w:hint="eastAsia"/>
                <w:color w:val="auto"/>
                <w:highlight w:val="none"/>
                <w:lang w:val="en-US" w:eastAsia="zh-CN"/>
              </w:rPr>
              <w:t>，</w:t>
            </w:r>
            <w:r>
              <w:rPr>
                <w:rStyle w:val="37"/>
                <w:rFonts w:hint="default"/>
                <w:color w:val="auto"/>
                <w:highlight w:val="none"/>
                <w:lang w:val="en-US" w:eastAsia="zh-CN"/>
              </w:rPr>
              <w:t>本项目堆场类型属于半敞开式</w:t>
            </w:r>
            <w:r>
              <w:rPr>
                <w:rStyle w:val="37"/>
                <w:rFonts w:hint="eastAsia"/>
                <w:color w:val="auto"/>
                <w:highlight w:val="none"/>
                <w:lang w:val="en-US" w:eastAsia="zh-CN"/>
              </w:rPr>
              <w:t>，</w:t>
            </w:r>
            <w:r>
              <w:rPr>
                <w:rStyle w:val="37"/>
                <w:rFonts w:hint="default"/>
                <w:color w:val="auto"/>
                <w:highlight w:val="none"/>
                <w:lang w:val="en-US" w:eastAsia="zh-CN"/>
              </w:rPr>
              <w:t>因此Tm取值为60%</w:t>
            </w:r>
            <w:r>
              <w:rPr>
                <w:rStyle w:val="37"/>
                <w:rFonts w:hint="eastAsia"/>
                <w:color w:val="auto"/>
                <w:highlight w:val="none"/>
                <w:lang w:val="en-US" w:eastAsia="zh-CN"/>
              </w:rPr>
              <w:t>，</w:t>
            </w:r>
            <w:r>
              <w:rPr>
                <w:rStyle w:val="37"/>
                <w:rFonts w:hint="default"/>
                <w:color w:val="auto"/>
                <w:highlight w:val="none"/>
                <w:lang w:val="en-US" w:eastAsia="zh-CN"/>
              </w:rPr>
              <w:t>Cm取值为74%。经计算，本项目砂堆场</w:t>
            </w:r>
            <w:r>
              <w:rPr>
                <w:rStyle w:val="37"/>
                <w:rFonts w:hint="eastAsia"/>
                <w:color w:val="auto"/>
                <w:highlight w:val="none"/>
                <w:lang w:val="en-US" w:eastAsia="zh-CN"/>
              </w:rPr>
              <w:t>贮存</w:t>
            </w:r>
            <w:r>
              <w:rPr>
                <w:rStyle w:val="37"/>
                <w:rFonts w:hint="default"/>
                <w:color w:val="auto"/>
                <w:highlight w:val="none"/>
                <w:lang w:val="en-US" w:eastAsia="zh-CN"/>
              </w:rPr>
              <w:t>废气颗粒物（包括卸料扬尘和风蚀扬尘）排放总量为</w:t>
            </w:r>
            <w:r>
              <w:rPr>
                <w:rStyle w:val="37"/>
                <w:rFonts w:hint="eastAsia"/>
                <w:color w:val="auto"/>
                <w:highlight w:val="none"/>
                <w:lang w:val="en-US" w:eastAsia="zh-CN"/>
              </w:rPr>
              <w:t>1.77</w:t>
            </w:r>
            <w:r>
              <w:rPr>
                <w:rStyle w:val="37"/>
                <w:rFonts w:hint="default"/>
                <w:color w:val="auto"/>
                <w:highlight w:val="none"/>
                <w:lang w:val="en-US" w:eastAsia="zh-CN"/>
              </w:rPr>
              <w:t>t/a。</w:t>
            </w:r>
            <w:r>
              <w:rPr>
                <w:rStyle w:val="37"/>
                <w:rFonts w:hint="eastAsia"/>
                <w:color w:val="auto"/>
                <w:highlight w:val="none"/>
                <w:lang w:val="en-US" w:eastAsia="zh-CN"/>
              </w:rPr>
              <w:t>（堆存</w:t>
            </w:r>
            <w:r>
              <w:rPr>
                <w:rFonts w:hint="eastAsia"/>
                <w:color w:val="auto"/>
                <w:highlight w:val="none"/>
                <w:lang w:val="en-US" w:eastAsia="zh-CN"/>
              </w:rPr>
              <w:t>以4320h计</w:t>
            </w:r>
            <w:r>
              <w:rPr>
                <w:rStyle w:val="37"/>
                <w:rFonts w:hint="eastAsia"/>
                <w:color w:val="auto"/>
                <w:highlight w:val="none"/>
                <w:lang w:val="en-US" w:eastAsia="zh-CN"/>
              </w:rPr>
              <w:t>），则本项目砂石存储</w:t>
            </w:r>
            <w:r>
              <w:rPr>
                <w:rStyle w:val="37"/>
                <w:rFonts w:hint="default"/>
                <w:color w:val="auto"/>
                <w:highlight w:val="none"/>
                <w:lang w:val="en-US" w:eastAsia="zh-CN"/>
              </w:rPr>
              <w:t>废气颗粒物（包括卸料扬尘和风蚀扬尘）排放速率为</w:t>
            </w:r>
            <w:r>
              <w:rPr>
                <w:rStyle w:val="37"/>
                <w:rFonts w:hint="eastAsia"/>
                <w:color w:val="auto"/>
                <w:highlight w:val="none"/>
                <w:lang w:val="en-US" w:eastAsia="zh-CN"/>
              </w:rPr>
              <w:t>0.41</w:t>
            </w:r>
            <w:r>
              <w:rPr>
                <w:rStyle w:val="37"/>
                <w:rFonts w:hint="default"/>
                <w:color w:val="auto"/>
                <w:highlight w:val="none"/>
                <w:lang w:val="en-US" w:eastAsia="zh-CN"/>
              </w:rPr>
              <w:t>kg/h。</w:t>
            </w:r>
          </w:p>
          <w:p w14:paraId="28D23F67">
            <w:pPr>
              <w:pStyle w:val="14"/>
              <w:bidi w:val="0"/>
              <w:rPr>
                <w:rFonts w:hint="default"/>
                <w:color w:val="auto"/>
                <w:highlight w:val="none"/>
                <w:lang w:val="en-US" w:eastAsia="zh-CN"/>
              </w:rPr>
            </w:pPr>
            <w:r>
              <w:rPr>
                <w:rFonts w:hint="eastAsia"/>
                <w:color w:val="auto"/>
                <w:highlight w:val="none"/>
                <w:lang w:val="en-US" w:eastAsia="zh-CN"/>
              </w:rPr>
              <w:t>②水泥筒仓粉尘</w:t>
            </w:r>
          </w:p>
          <w:p w14:paraId="03FBC506">
            <w:pPr>
              <w:pStyle w:val="31"/>
              <w:bidi w:val="0"/>
              <w:ind w:left="0" w:leftChars="0" w:firstLine="480" w:firstLineChars="200"/>
              <w:rPr>
                <w:rFonts w:hint="default" w:eastAsia="宋体"/>
                <w:color w:val="auto"/>
                <w:highlight w:val="none"/>
                <w:lang w:val="en-US" w:eastAsia="zh-CN"/>
              </w:rPr>
            </w:pPr>
            <w:r>
              <w:rPr>
                <w:rFonts w:hint="default" w:eastAsia="宋体"/>
                <w:color w:val="auto"/>
                <w:highlight w:val="none"/>
                <w:lang w:val="en-US" w:eastAsia="zh-CN"/>
              </w:rPr>
              <w:t>水泥由罐车运入厂区后，经车上自带的气力输送泵打入水泥</w:t>
            </w:r>
            <w:r>
              <w:rPr>
                <w:rFonts w:hint="eastAsia"/>
                <w:color w:val="auto"/>
                <w:highlight w:val="none"/>
                <w:lang w:val="en-US" w:eastAsia="zh-CN"/>
              </w:rPr>
              <w:t>筒仓</w:t>
            </w:r>
            <w:r>
              <w:rPr>
                <w:rFonts w:hint="default" w:eastAsia="宋体"/>
                <w:color w:val="auto"/>
                <w:highlight w:val="none"/>
                <w:lang w:val="en-US" w:eastAsia="zh-CN"/>
              </w:rPr>
              <w:t>，粉尘产生量《排放源统计调查产排污核算方法和系数手册》（3021 水泥制品制造（含3022砼结构构件制造、3029其他水泥类似制品制造）行业系数手册）混凝土制品-物料输送储存粉尘产生系数为0.12kg/t-产品，罐车单车最大运输量按30t/车，每车充装时间为</w:t>
            </w:r>
            <w:r>
              <w:rPr>
                <w:rFonts w:hint="eastAsia" w:eastAsia="宋体"/>
                <w:color w:val="auto"/>
                <w:highlight w:val="none"/>
                <w:lang w:val="en-US" w:eastAsia="zh-CN"/>
              </w:rPr>
              <w:t>30</w:t>
            </w:r>
            <w:r>
              <w:rPr>
                <w:rFonts w:hint="default" w:eastAsia="宋体"/>
                <w:color w:val="auto"/>
                <w:highlight w:val="none"/>
                <w:lang w:val="en-US" w:eastAsia="zh-CN"/>
              </w:rPr>
              <w:t>min，水泥的用量为</w:t>
            </w:r>
            <w:r>
              <w:rPr>
                <w:rFonts w:hint="eastAsia"/>
                <w:color w:val="auto"/>
                <w:highlight w:val="none"/>
                <w:lang w:val="en-US" w:eastAsia="zh-CN"/>
              </w:rPr>
              <w:t>16000</w:t>
            </w:r>
            <w:r>
              <w:rPr>
                <w:rFonts w:hint="default" w:eastAsia="宋体"/>
                <w:color w:val="auto"/>
                <w:highlight w:val="none"/>
                <w:lang w:val="en-US" w:eastAsia="zh-CN"/>
              </w:rPr>
              <w:t>t</w:t>
            </w:r>
            <w:r>
              <w:rPr>
                <w:rFonts w:hint="eastAsia"/>
                <w:color w:val="auto"/>
                <w:highlight w:val="none"/>
                <w:lang w:val="en-US" w:eastAsia="zh-CN"/>
              </w:rPr>
              <w:t>/a</w:t>
            </w:r>
            <w:r>
              <w:rPr>
                <w:rFonts w:hint="default" w:eastAsia="宋体"/>
                <w:color w:val="auto"/>
                <w:highlight w:val="none"/>
                <w:lang w:val="en-US" w:eastAsia="zh-CN"/>
              </w:rPr>
              <w:t>，年充装时间为</w:t>
            </w:r>
            <w:r>
              <w:rPr>
                <w:rFonts w:hint="eastAsia"/>
                <w:color w:val="auto"/>
                <w:highlight w:val="none"/>
                <w:lang w:val="en-US" w:eastAsia="zh-CN"/>
              </w:rPr>
              <w:t>267</w:t>
            </w:r>
            <w:r>
              <w:rPr>
                <w:rFonts w:hint="default" w:eastAsia="宋体"/>
                <w:color w:val="auto"/>
                <w:highlight w:val="none"/>
                <w:lang w:val="en-US" w:eastAsia="zh-CN"/>
              </w:rPr>
              <w:t>h</w:t>
            </w:r>
            <w:r>
              <w:rPr>
                <w:rFonts w:hint="eastAsia" w:eastAsia="宋体"/>
                <w:color w:val="auto"/>
                <w:highlight w:val="none"/>
                <w:lang w:val="en-US" w:eastAsia="zh-CN"/>
              </w:rPr>
              <w:t>，</w:t>
            </w:r>
            <w:r>
              <w:rPr>
                <w:rFonts w:hint="default" w:eastAsia="宋体"/>
                <w:color w:val="auto"/>
                <w:highlight w:val="none"/>
                <w:lang w:val="en-US" w:eastAsia="zh-CN"/>
              </w:rPr>
              <w:t>产生的粉尘量为</w:t>
            </w:r>
            <w:r>
              <w:rPr>
                <w:rFonts w:hint="eastAsia"/>
                <w:color w:val="auto"/>
                <w:highlight w:val="none"/>
                <w:lang w:val="en-US" w:eastAsia="zh-CN"/>
              </w:rPr>
              <w:t>1.92</w:t>
            </w:r>
            <w:r>
              <w:rPr>
                <w:rFonts w:hint="default" w:eastAsia="宋体"/>
                <w:color w:val="auto"/>
                <w:highlight w:val="none"/>
                <w:lang w:val="en-US" w:eastAsia="zh-CN"/>
              </w:rPr>
              <w:t>t/a</w:t>
            </w:r>
            <w:r>
              <w:rPr>
                <w:rFonts w:hint="eastAsia" w:eastAsia="宋体"/>
                <w:color w:val="auto"/>
                <w:highlight w:val="none"/>
                <w:lang w:val="en-US" w:eastAsia="zh-CN"/>
              </w:rPr>
              <w:t>，7.19kg/h；产生的粉尘</w:t>
            </w:r>
            <w:r>
              <w:rPr>
                <w:rFonts w:hint="default" w:eastAsia="宋体"/>
                <w:color w:val="auto"/>
                <w:highlight w:val="none"/>
                <w:lang w:val="en-US" w:eastAsia="zh-CN"/>
              </w:rPr>
              <w:t>经</w:t>
            </w:r>
            <w:r>
              <w:rPr>
                <w:rFonts w:hint="eastAsia"/>
                <w:color w:val="auto"/>
                <w:highlight w:val="none"/>
                <w:lang w:val="en-US" w:eastAsia="zh-CN"/>
              </w:rPr>
              <w:t>筒仓</w:t>
            </w:r>
            <w:r>
              <w:rPr>
                <w:rFonts w:hint="default" w:eastAsia="宋体"/>
                <w:color w:val="auto"/>
                <w:highlight w:val="none"/>
                <w:lang w:val="en-US" w:eastAsia="zh-CN"/>
              </w:rPr>
              <w:t>自带的布袋除尘器处理后通过</w:t>
            </w:r>
            <w:r>
              <w:rPr>
                <w:rFonts w:hint="eastAsia"/>
                <w:color w:val="auto"/>
                <w:highlight w:val="none"/>
                <w:lang w:val="en-US" w:eastAsia="zh-CN"/>
              </w:rPr>
              <w:t>罐</w:t>
            </w:r>
            <w:r>
              <w:rPr>
                <w:rFonts w:hint="default" w:eastAsia="宋体"/>
                <w:color w:val="auto"/>
                <w:highlight w:val="none"/>
                <w:lang w:val="en-US" w:eastAsia="zh-CN"/>
              </w:rPr>
              <w:t>顶</w:t>
            </w:r>
            <w:r>
              <w:rPr>
                <w:rFonts w:hint="eastAsia"/>
                <w:color w:val="auto"/>
                <w:highlight w:val="none"/>
                <w:lang w:val="en-US" w:eastAsia="zh-CN"/>
              </w:rPr>
              <w:t>通气孔无</w:t>
            </w:r>
            <w:r>
              <w:rPr>
                <w:rFonts w:hint="default" w:eastAsia="宋体"/>
                <w:color w:val="auto"/>
                <w:highlight w:val="none"/>
                <w:lang w:val="en-US" w:eastAsia="zh-CN"/>
              </w:rPr>
              <w:t>组织排放，处理效率达99%以上，粉尘排放量为</w:t>
            </w:r>
            <w:r>
              <w:rPr>
                <w:rFonts w:hint="eastAsia" w:eastAsia="宋体"/>
                <w:color w:val="auto"/>
                <w:highlight w:val="none"/>
                <w:lang w:val="en-US" w:eastAsia="zh-CN"/>
              </w:rPr>
              <w:t>0.02</w:t>
            </w:r>
            <w:r>
              <w:rPr>
                <w:rFonts w:hint="default" w:eastAsia="宋体"/>
                <w:color w:val="auto"/>
                <w:highlight w:val="none"/>
                <w:lang w:val="en-US" w:eastAsia="zh-CN"/>
              </w:rPr>
              <w:t>t/a</w:t>
            </w:r>
            <w:r>
              <w:rPr>
                <w:rFonts w:hint="eastAsia" w:eastAsia="宋体"/>
                <w:color w:val="auto"/>
                <w:highlight w:val="none"/>
                <w:lang w:val="en-US" w:eastAsia="zh-CN"/>
              </w:rPr>
              <w:t>，0.07kg/h</w:t>
            </w:r>
            <w:r>
              <w:rPr>
                <w:rFonts w:hint="default" w:eastAsia="宋体"/>
                <w:color w:val="auto"/>
                <w:highlight w:val="none"/>
                <w:lang w:val="en-US" w:eastAsia="zh-CN"/>
              </w:rPr>
              <w:t>。</w:t>
            </w:r>
          </w:p>
          <w:p w14:paraId="0D6E20B3">
            <w:pPr>
              <w:pStyle w:val="31"/>
              <w:bidi w:val="0"/>
              <w:rPr>
                <w:rFonts w:hint="eastAsia"/>
                <w:color w:val="auto"/>
                <w:highlight w:val="none"/>
                <w:lang w:val="en-US" w:eastAsia="zh-CN"/>
              </w:rPr>
            </w:pPr>
            <w:r>
              <w:rPr>
                <w:rFonts w:hint="eastAsia"/>
                <w:color w:val="auto"/>
                <w:highlight w:val="none"/>
                <w:lang w:val="en-US" w:eastAsia="zh-CN"/>
              </w:rPr>
              <w:t>③粉煤灰筒仓粉尘</w:t>
            </w:r>
          </w:p>
          <w:p w14:paraId="609ED7D1">
            <w:pPr>
              <w:pStyle w:val="31"/>
              <w:bidi w:val="0"/>
              <w:ind w:left="0" w:leftChars="0" w:firstLine="480" w:firstLineChars="200"/>
              <w:rPr>
                <w:rFonts w:hint="default" w:eastAsia="宋体"/>
                <w:color w:val="auto"/>
                <w:highlight w:val="none"/>
                <w:lang w:val="en-US" w:eastAsia="zh-CN"/>
              </w:rPr>
            </w:pPr>
            <w:r>
              <w:rPr>
                <w:rFonts w:hint="eastAsia" w:eastAsia="宋体"/>
                <w:color w:val="auto"/>
                <w:highlight w:val="none"/>
                <w:lang w:val="en-US" w:eastAsia="zh-CN"/>
              </w:rPr>
              <w:t>粉煤灰</w:t>
            </w:r>
            <w:r>
              <w:rPr>
                <w:rFonts w:hint="default" w:eastAsia="宋体"/>
                <w:color w:val="auto"/>
                <w:highlight w:val="none"/>
                <w:lang w:val="en-US" w:eastAsia="zh-CN"/>
              </w:rPr>
              <w:t>由罐车运入厂区后，经车上自带的气力输送泵打入</w:t>
            </w:r>
            <w:r>
              <w:rPr>
                <w:rFonts w:hint="eastAsia" w:eastAsia="宋体"/>
                <w:color w:val="auto"/>
                <w:highlight w:val="none"/>
                <w:lang w:val="en-US" w:eastAsia="zh-CN"/>
              </w:rPr>
              <w:t>粉煤灰</w:t>
            </w:r>
            <w:r>
              <w:rPr>
                <w:rFonts w:hint="eastAsia"/>
                <w:color w:val="auto"/>
                <w:highlight w:val="none"/>
                <w:lang w:val="en-US" w:eastAsia="zh-CN"/>
              </w:rPr>
              <w:t>筒仓</w:t>
            </w:r>
            <w:r>
              <w:rPr>
                <w:rFonts w:hint="default" w:eastAsia="宋体"/>
                <w:color w:val="auto"/>
                <w:highlight w:val="none"/>
                <w:lang w:val="en-US" w:eastAsia="zh-CN"/>
              </w:rPr>
              <w:t>，粉尘产生量《排放源统计调查产排污核算方法和系数手册》（3021 水泥制品制造（含3022砼结构构件制造、3029其他水泥类似制品制造）行业系数手册）混凝土制品-物料输送储存粉尘产生系数为0.12kg/t-产品，罐车单车最大运输量按30t/车，每车充装时间为30min，</w:t>
            </w:r>
            <w:r>
              <w:rPr>
                <w:rFonts w:hint="eastAsia" w:eastAsia="宋体"/>
                <w:color w:val="auto"/>
                <w:highlight w:val="none"/>
                <w:lang w:val="en-US" w:eastAsia="zh-CN"/>
              </w:rPr>
              <w:t>粉煤灰</w:t>
            </w:r>
            <w:r>
              <w:rPr>
                <w:rFonts w:hint="default" w:eastAsia="宋体"/>
                <w:color w:val="auto"/>
                <w:highlight w:val="none"/>
                <w:lang w:val="en-US" w:eastAsia="zh-CN"/>
              </w:rPr>
              <w:t>的用量为</w:t>
            </w:r>
            <w:r>
              <w:rPr>
                <w:rFonts w:hint="eastAsia"/>
                <w:color w:val="auto"/>
                <w:highlight w:val="none"/>
                <w:lang w:val="en-US" w:eastAsia="zh-CN"/>
              </w:rPr>
              <w:t>5000</w:t>
            </w:r>
            <w:r>
              <w:rPr>
                <w:rFonts w:hint="default" w:eastAsia="宋体"/>
                <w:color w:val="auto"/>
                <w:highlight w:val="none"/>
                <w:lang w:val="en-US" w:eastAsia="zh-CN"/>
              </w:rPr>
              <w:t>t</w:t>
            </w:r>
            <w:r>
              <w:rPr>
                <w:rFonts w:hint="eastAsia"/>
                <w:color w:val="auto"/>
                <w:highlight w:val="none"/>
                <w:lang w:val="en-US" w:eastAsia="zh-CN"/>
              </w:rPr>
              <w:t>/a</w:t>
            </w:r>
            <w:r>
              <w:rPr>
                <w:rFonts w:hint="default" w:eastAsia="宋体"/>
                <w:color w:val="auto"/>
                <w:highlight w:val="none"/>
                <w:lang w:val="en-US" w:eastAsia="zh-CN"/>
              </w:rPr>
              <w:t>，年充装时间为</w:t>
            </w:r>
            <w:r>
              <w:rPr>
                <w:rFonts w:hint="eastAsia"/>
                <w:color w:val="auto"/>
                <w:highlight w:val="none"/>
                <w:lang w:val="en-US" w:eastAsia="zh-CN"/>
              </w:rPr>
              <w:t>84</w:t>
            </w:r>
            <w:r>
              <w:rPr>
                <w:rFonts w:hint="default" w:eastAsia="宋体"/>
                <w:color w:val="auto"/>
                <w:highlight w:val="none"/>
                <w:lang w:val="en-US" w:eastAsia="zh-CN"/>
              </w:rPr>
              <w:t>h</w:t>
            </w:r>
            <w:r>
              <w:rPr>
                <w:rFonts w:hint="eastAsia" w:eastAsia="宋体"/>
                <w:color w:val="auto"/>
                <w:highlight w:val="none"/>
                <w:lang w:val="en-US" w:eastAsia="zh-CN"/>
              </w:rPr>
              <w:t>，</w:t>
            </w:r>
            <w:r>
              <w:rPr>
                <w:rFonts w:hint="default" w:eastAsia="宋体"/>
                <w:color w:val="auto"/>
                <w:highlight w:val="none"/>
                <w:lang w:val="en-US" w:eastAsia="zh-CN"/>
              </w:rPr>
              <w:t>产生的粉尘量为</w:t>
            </w:r>
            <w:r>
              <w:rPr>
                <w:rFonts w:hint="eastAsia"/>
                <w:color w:val="auto"/>
                <w:highlight w:val="none"/>
                <w:lang w:val="en-US" w:eastAsia="zh-CN"/>
              </w:rPr>
              <w:t>0.60</w:t>
            </w:r>
            <w:r>
              <w:rPr>
                <w:rFonts w:hint="default" w:eastAsia="宋体"/>
                <w:color w:val="auto"/>
                <w:highlight w:val="none"/>
                <w:lang w:val="en-US" w:eastAsia="zh-CN"/>
              </w:rPr>
              <w:t>t/a，</w:t>
            </w:r>
            <w:r>
              <w:rPr>
                <w:rFonts w:hint="eastAsia" w:eastAsia="宋体"/>
                <w:color w:val="auto"/>
                <w:highlight w:val="none"/>
                <w:lang w:val="en-US" w:eastAsia="zh-CN"/>
              </w:rPr>
              <w:t>7.14kg/h；</w:t>
            </w:r>
            <w:r>
              <w:rPr>
                <w:rFonts w:hint="default" w:eastAsia="宋体"/>
                <w:color w:val="auto"/>
                <w:highlight w:val="none"/>
                <w:lang w:val="en-US" w:eastAsia="zh-CN"/>
              </w:rPr>
              <w:t>经</w:t>
            </w:r>
            <w:r>
              <w:rPr>
                <w:rFonts w:hint="eastAsia" w:eastAsia="宋体"/>
                <w:color w:val="auto"/>
                <w:highlight w:val="none"/>
                <w:lang w:val="en-US" w:eastAsia="zh-CN"/>
              </w:rPr>
              <w:t>筒仓</w:t>
            </w:r>
            <w:r>
              <w:rPr>
                <w:rFonts w:hint="default" w:eastAsia="宋体"/>
                <w:color w:val="auto"/>
                <w:highlight w:val="none"/>
                <w:lang w:val="en-US" w:eastAsia="zh-CN"/>
              </w:rPr>
              <w:t>自带的布袋除尘器处理后通过</w:t>
            </w:r>
            <w:r>
              <w:rPr>
                <w:rFonts w:hint="eastAsia" w:eastAsia="宋体"/>
                <w:color w:val="auto"/>
                <w:highlight w:val="none"/>
                <w:lang w:val="en-US" w:eastAsia="zh-CN"/>
              </w:rPr>
              <w:t>罐</w:t>
            </w:r>
            <w:r>
              <w:rPr>
                <w:rFonts w:hint="default" w:eastAsia="宋体"/>
                <w:color w:val="auto"/>
                <w:highlight w:val="none"/>
                <w:lang w:val="en-US" w:eastAsia="zh-CN"/>
              </w:rPr>
              <w:t>顶</w:t>
            </w:r>
            <w:r>
              <w:rPr>
                <w:rFonts w:hint="eastAsia"/>
                <w:color w:val="auto"/>
                <w:highlight w:val="none"/>
                <w:lang w:val="en-US" w:eastAsia="zh-CN"/>
              </w:rPr>
              <w:t>通气孔无</w:t>
            </w:r>
            <w:r>
              <w:rPr>
                <w:rFonts w:hint="default" w:eastAsia="宋体"/>
                <w:color w:val="auto"/>
                <w:highlight w:val="none"/>
                <w:lang w:val="en-US" w:eastAsia="zh-CN"/>
              </w:rPr>
              <w:t>组织排放，处理效率达99%以上，粉尘排放量为0.</w:t>
            </w:r>
            <w:r>
              <w:rPr>
                <w:rFonts w:hint="eastAsia"/>
                <w:color w:val="auto"/>
                <w:highlight w:val="none"/>
                <w:lang w:val="en-US" w:eastAsia="zh-CN"/>
              </w:rPr>
              <w:t>006</w:t>
            </w:r>
            <w:r>
              <w:rPr>
                <w:rFonts w:hint="default" w:eastAsia="宋体"/>
                <w:color w:val="auto"/>
                <w:highlight w:val="none"/>
                <w:lang w:val="en-US" w:eastAsia="zh-CN"/>
              </w:rPr>
              <w:t>t/a</w:t>
            </w:r>
            <w:r>
              <w:rPr>
                <w:rFonts w:hint="eastAsia" w:eastAsia="宋体"/>
                <w:color w:val="auto"/>
                <w:highlight w:val="none"/>
                <w:lang w:val="en-US" w:eastAsia="zh-CN"/>
              </w:rPr>
              <w:t>，0.07kg/h</w:t>
            </w:r>
            <w:r>
              <w:rPr>
                <w:rFonts w:hint="default" w:eastAsia="宋体"/>
                <w:color w:val="auto"/>
                <w:highlight w:val="none"/>
                <w:lang w:val="en-US" w:eastAsia="zh-CN"/>
              </w:rPr>
              <w:t>。</w:t>
            </w:r>
          </w:p>
          <w:p w14:paraId="61E69E97">
            <w:pPr>
              <w:pStyle w:val="31"/>
              <w:bidi w:val="0"/>
              <w:ind w:left="0" w:leftChars="0" w:firstLine="480" w:firstLineChars="200"/>
              <w:rPr>
                <w:rFonts w:hint="eastAsia"/>
                <w:color w:val="auto"/>
                <w:highlight w:val="none"/>
                <w:lang w:val="en-US" w:eastAsia="zh-CN"/>
              </w:rPr>
            </w:pPr>
            <w:r>
              <w:rPr>
                <w:rFonts w:hint="eastAsia"/>
                <w:color w:val="auto"/>
                <w:highlight w:val="none"/>
                <w:lang w:val="en-US" w:eastAsia="zh-CN"/>
              </w:rPr>
              <w:t>④</w:t>
            </w:r>
            <w:r>
              <w:rPr>
                <w:rFonts w:hint="eastAsia"/>
                <w:color w:val="auto"/>
                <w:highlight w:val="none"/>
                <w:lang w:val="en-US" w:eastAsia="zh-CN"/>
              </w:rPr>
              <w:t>外加剂罐</w:t>
            </w:r>
          </w:p>
          <w:p w14:paraId="67AD2B43">
            <w:pPr>
              <w:pStyle w:val="31"/>
              <w:bidi w:val="0"/>
              <w:ind w:left="0" w:leftChars="0" w:firstLine="480" w:firstLineChars="200"/>
              <w:rPr>
                <w:rFonts w:hint="default" w:eastAsia="宋体"/>
                <w:color w:val="auto"/>
                <w:highlight w:val="none"/>
                <w:lang w:val="en-US" w:eastAsia="zh-CN"/>
              </w:rPr>
            </w:pPr>
            <w:r>
              <w:rPr>
                <w:rFonts w:hint="eastAsia" w:eastAsia="宋体"/>
                <w:color w:val="auto"/>
                <w:highlight w:val="none"/>
                <w:lang w:val="en-US" w:eastAsia="zh-CN"/>
              </w:rPr>
              <w:t>外加剂</w:t>
            </w:r>
            <w:r>
              <w:rPr>
                <w:rFonts w:hint="default" w:eastAsia="宋体"/>
                <w:color w:val="auto"/>
                <w:highlight w:val="none"/>
                <w:lang w:val="en-US" w:eastAsia="zh-CN"/>
              </w:rPr>
              <w:t>由罐车运入厂区后，经车上自带的气力输送泵打入</w:t>
            </w:r>
            <w:r>
              <w:rPr>
                <w:rFonts w:hint="eastAsia" w:eastAsia="宋体"/>
                <w:color w:val="auto"/>
                <w:highlight w:val="none"/>
                <w:lang w:val="en-US" w:eastAsia="zh-CN"/>
              </w:rPr>
              <w:t>外加剂</w:t>
            </w:r>
            <w:r>
              <w:rPr>
                <w:rFonts w:hint="eastAsia"/>
                <w:color w:val="auto"/>
                <w:highlight w:val="none"/>
                <w:lang w:val="en-US" w:eastAsia="zh-CN"/>
              </w:rPr>
              <w:t>罐</w:t>
            </w:r>
            <w:r>
              <w:rPr>
                <w:rFonts w:hint="default" w:eastAsia="宋体"/>
                <w:color w:val="auto"/>
                <w:highlight w:val="none"/>
                <w:lang w:val="en-US" w:eastAsia="zh-CN"/>
              </w:rPr>
              <w:t>，粉尘产生量参考《排放源统计调查产排污核算方法和系数手册》（3021 水泥制品制造（含3022砼结构构件制造、3029其他水泥类似制品制造）行业系数手册）混凝土制品-物料输送储存粉尘产生系数为0.12kg/t-产品，罐车单车最大运输量按</w:t>
            </w:r>
            <w:r>
              <w:rPr>
                <w:rFonts w:hint="eastAsia" w:eastAsia="宋体"/>
                <w:color w:val="auto"/>
                <w:highlight w:val="none"/>
                <w:lang w:val="en-US" w:eastAsia="zh-CN"/>
              </w:rPr>
              <w:t>10</w:t>
            </w:r>
            <w:r>
              <w:rPr>
                <w:rFonts w:hint="default" w:eastAsia="宋体"/>
                <w:color w:val="auto"/>
                <w:highlight w:val="none"/>
                <w:lang w:val="en-US" w:eastAsia="zh-CN"/>
              </w:rPr>
              <w:t>t/车，每车充装时间为</w:t>
            </w:r>
            <w:r>
              <w:rPr>
                <w:rFonts w:hint="eastAsia" w:eastAsia="宋体"/>
                <w:color w:val="auto"/>
                <w:highlight w:val="none"/>
                <w:lang w:val="en-US" w:eastAsia="zh-CN"/>
              </w:rPr>
              <w:t>10</w:t>
            </w:r>
            <w:r>
              <w:rPr>
                <w:rFonts w:hint="default" w:eastAsia="宋体"/>
                <w:color w:val="auto"/>
                <w:highlight w:val="none"/>
                <w:lang w:val="en-US" w:eastAsia="zh-CN"/>
              </w:rPr>
              <w:t>min，</w:t>
            </w:r>
            <w:r>
              <w:rPr>
                <w:rFonts w:hint="eastAsia" w:eastAsia="宋体"/>
                <w:color w:val="auto"/>
                <w:highlight w:val="none"/>
                <w:lang w:val="en-US" w:eastAsia="zh-CN"/>
              </w:rPr>
              <w:t>外加剂</w:t>
            </w:r>
            <w:r>
              <w:rPr>
                <w:rFonts w:hint="default" w:eastAsia="宋体"/>
                <w:color w:val="auto"/>
                <w:highlight w:val="none"/>
                <w:lang w:val="en-US" w:eastAsia="zh-CN"/>
              </w:rPr>
              <w:t>的用量为</w:t>
            </w:r>
            <w:r>
              <w:rPr>
                <w:rFonts w:hint="eastAsia"/>
                <w:color w:val="auto"/>
                <w:highlight w:val="none"/>
                <w:lang w:val="en-US" w:eastAsia="zh-CN"/>
              </w:rPr>
              <w:t>500</w:t>
            </w:r>
            <w:r>
              <w:rPr>
                <w:rFonts w:hint="default" w:eastAsia="宋体"/>
                <w:color w:val="auto"/>
                <w:highlight w:val="none"/>
                <w:lang w:val="en-US" w:eastAsia="zh-CN"/>
              </w:rPr>
              <w:t>t</w:t>
            </w:r>
            <w:r>
              <w:rPr>
                <w:rFonts w:hint="eastAsia"/>
                <w:color w:val="auto"/>
                <w:highlight w:val="none"/>
                <w:lang w:val="en-US" w:eastAsia="zh-CN"/>
              </w:rPr>
              <w:t>/a</w:t>
            </w:r>
            <w:r>
              <w:rPr>
                <w:rFonts w:hint="default" w:eastAsia="宋体"/>
                <w:color w:val="auto"/>
                <w:highlight w:val="none"/>
                <w:lang w:val="en-US" w:eastAsia="zh-CN"/>
              </w:rPr>
              <w:t>，年充装时间为</w:t>
            </w:r>
            <w:r>
              <w:rPr>
                <w:rFonts w:hint="eastAsia" w:eastAsia="宋体"/>
                <w:color w:val="auto"/>
                <w:highlight w:val="none"/>
                <w:lang w:val="en-US" w:eastAsia="zh-CN"/>
              </w:rPr>
              <w:t>9</w:t>
            </w:r>
            <w:r>
              <w:rPr>
                <w:rFonts w:hint="default" w:eastAsia="宋体"/>
                <w:color w:val="auto"/>
                <w:highlight w:val="none"/>
                <w:lang w:val="en-US" w:eastAsia="zh-CN"/>
              </w:rPr>
              <w:t>h</w:t>
            </w:r>
            <w:r>
              <w:rPr>
                <w:rFonts w:hint="eastAsia" w:eastAsia="宋体"/>
                <w:color w:val="auto"/>
                <w:highlight w:val="none"/>
                <w:lang w:val="en-US" w:eastAsia="zh-CN"/>
              </w:rPr>
              <w:t>，</w:t>
            </w:r>
            <w:r>
              <w:rPr>
                <w:rFonts w:hint="default" w:eastAsia="宋体"/>
                <w:color w:val="auto"/>
                <w:highlight w:val="none"/>
                <w:lang w:val="en-US" w:eastAsia="zh-CN"/>
              </w:rPr>
              <w:t>产生的粉尘量为</w:t>
            </w:r>
            <w:r>
              <w:rPr>
                <w:rFonts w:hint="eastAsia"/>
                <w:color w:val="auto"/>
                <w:highlight w:val="none"/>
                <w:lang w:val="en-US" w:eastAsia="zh-CN"/>
              </w:rPr>
              <w:t>0.06</w:t>
            </w:r>
            <w:r>
              <w:rPr>
                <w:rFonts w:hint="default" w:eastAsia="宋体"/>
                <w:color w:val="auto"/>
                <w:highlight w:val="none"/>
                <w:lang w:val="en-US" w:eastAsia="zh-CN"/>
              </w:rPr>
              <w:t>t/a，</w:t>
            </w:r>
            <w:r>
              <w:rPr>
                <w:rFonts w:hint="eastAsia" w:eastAsia="宋体"/>
                <w:color w:val="auto"/>
                <w:highlight w:val="none"/>
                <w:lang w:val="en-US" w:eastAsia="zh-CN"/>
              </w:rPr>
              <w:t>6.67kg/h；</w:t>
            </w:r>
            <w:r>
              <w:rPr>
                <w:rFonts w:hint="default" w:eastAsia="宋体"/>
                <w:color w:val="auto"/>
                <w:highlight w:val="none"/>
                <w:lang w:val="en-US" w:eastAsia="zh-CN"/>
              </w:rPr>
              <w:t>经</w:t>
            </w:r>
            <w:r>
              <w:rPr>
                <w:rFonts w:hint="eastAsia" w:eastAsia="宋体"/>
                <w:color w:val="auto"/>
                <w:highlight w:val="none"/>
                <w:lang w:val="en-US" w:eastAsia="zh-CN"/>
              </w:rPr>
              <w:t>筒仓</w:t>
            </w:r>
            <w:r>
              <w:rPr>
                <w:rFonts w:hint="default" w:eastAsia="宋体"/>
                <w:color w:val="auto"/>
                <w:highlight w:val="none"/>
                <w:lang w:val="en-US" w:eastAsia="zh-CN"/>
              </w:rPr>
              <w:t>自带的布袋除尘器处理后通过</w:t>
            </w:r>
            <w:r>
              <w:rPr>
                <w:rFonts w:hint="eastAsia" w:eastAsia="宋体"/>
                <w:color w:val="auto"/>
                <w:highlight w:val="none"/>
                <w:lang w:val="en-US" w:eastAsia="zh-CN"/>
              </w:rPr>
              <w:t>罐</w:t>
            </w:r>
            <w:r>
              <w:rPr>
                <w:rFonts w:hint="default" w:eastAsia="宋体"/>
                <w:color w:val="auto"/>
                <w:highlight w:val="none"/>
                <w:lang w:val="en-US" w:eastAsia="zh-CN"/>
              </w:rPr>
              <w:t>顶</w:t>
            </w:r>
            <w:r>
              <w:rPr>
                <w:rFonts w:hint="eastAsia"/>
                <w:color w:val="auto"/>
                <w:highlight w:val="none"/>
                <w:lang w:val="en-US" w:eastAsia="zh-CN"/>
              </w:rPr>
              <w:t>通气孔无</w:t>
            </w:r>
            <w:r>
              <w:rPr>
                <w:rFonts w:hint="default" w:eastAsia="宋体"/>
                <w:color w:val="auto"/>
                <w:highlight w:val="none"/>
                <w:lang w:val="en-US" w:eastAsia="zh-CN"/>
              </w:rPr>
              <w:t>组织排放，处理效率达99%以上，粉尘排放量为0.</w:t>
            </w:r>
            <w:r>
              <w:rPr>
                <w:rFonts w:hint="eastAsia"/>
                <w:color w:val="auto"/>
                <w:highlight w:val="none"/>
                <w:lang w:val="en-US" w:eastAsia="zh-CN"/>
              </w:rPr>
              <w:t>0006</w:t>
            </w:r>
            <w:r>
              <w:rPr>
                <w:rFonts w:hint="default" w:eastAsia="宋体"/>
                <w:color w:val="auto"/>
                <w:highlight w:val="none"/>
                <w:lang w:val="en-US" w:eastAsia="zh-CN"/>
              </w:rPr>
              <w:t>t/a</w:t>
            </w:r>
            <w:r>
              <w:rPr>
                <w:rFonts w:hint="eastAsia" w:eastAsia="宋体"/>
                <w:color w:val="auto"/>
                <w:highlight w:val="none"/>
                <w:lang w:val="en-US" w:eastAsia="zh-CN"/>
              </w:rPr>
              <w:t>，0.07kg/h</w:t>
            </w:r>
            <w:r>
              <w:rPr>
                <w:rFonts w:hint="default" w:eastAsia="宋体"/>
                <w:color w:val="auto"/>
                <w:highlight w:val="none"/>
                <w:lang w:val="en-US" w:eastAsia="zh-CN"/>
              </w:rPr>
              <w:t>。</w:t>
            </w:r>
          </w:p>
          <w:p w14:paraId="6A5F59AD">
            <w:pPr>
              <w:pStyle w:val="31"/>
              <w:bidi w:val="0"/>
              <w:rPr>
                <w:rFonts w:hint="eastAsia"/>
                <w:color w:val="auto"/>
                <w:highlight w:val="none"/>
                <w:lang w:val="en-US" w:eastAsia="zh-CN"/>
              </w:rPr>
            </w:pPr>
            <w:r>
              <w:rPr>
                <w:rFonts w:hint="eastAsia"/>
                <w:color w:val="auto"/>
                <w:highlight w:val="none"/>
                <w:lang w:val="en-US" w:eastAsia="zh-CN"/>
              </w:rPr>
              <w:t>⑤</w:t>
            </w:r>
            <w:r>
              <w:rPr>
                <w:rFonts w:hint="default"/>
                <w:color w:val="auto"/>
                <w:highlight w:val="none"/>
              </w:rPr>
              <w:t>输送计量</w:t>
            </w:r>
            <w:r>
              <w:rPr>
                <w:rFonts w:hint="eastAsia"/>
                <w:color w:val="auto"/>
                <w:highlight w:val="none"/>
                <w:lang w:val="en-US" w:eastAsia="zh-CN"/>
              </w:rPr>
              <w:t>投料粉尘</w:t>
            </w:r>
          </w:p>
          <w:p w14:paraId="32DB17C7">
            <w:pPr>
              <w:pStyle w:val="14"/>
              <w:bidi w:val="0"/>
              <w:rPr>
                <w:rFonts w:hint="default"/>
                <w:color w:val="auto"/>
                <w:highlight w:val="none"/>
                <w:lang w:val="en-US" w:eastAsia="zh-CN"/>
              </w:rPr>
            </w:pPr>
            <w:r>
              <w:rPr>
                <w:rFonts w:hint="eastAsia" w:ascii="Times New Roman" w:hAnsi="Times New Roman" w:eastAsia="宋体" w:cs="Times New Roman"/>
                <w:b w:val="0"/>
                <w:bCs/>
                <w:color w:val="auto"/>
                <w:kern w:val="2"/>
                <w:sz w:val="24"/>
                <w:szCs w:val="24"/>
                <w:highlight w:val="none"/>
                <w:lang w:val="en-US" w:eastAsia="zh-CN" w:bidi="ar-SA"/>
              </w:rPr>
              <w:t>砂通过铲车送至进料口进入砂仓，碎石通过铲车送至进料口进入石仓，经配料门进入计量斗，计量斗根据微机指令控制比例后卸在输送带上运入搅拌机。</w:t>
            </w:r>
            <w:r>
              <w:rPr>
                <w:rFonts w:hint="default" w:ascii="Times New Roman" w:hAnsi="Times New Roman" w:eastAsia="宋体" w:cs="Times New Roman"/>
                <w:color w:val="auto"/>
                <w:sz w:val="24"/>
                <w:szCs w:val="24"/>
                <w:highlight w:val="none"/>
              </w:rPr>
              <w:t>水泥</w:t>
            </w:r>
            <w:r>
              <w:rPr>
                <w:rFonts w:hint="eastAsia" w:ascii="Times New Roman" w:hAnsi="Times New Roman" w:cs="Times New Roman"/>
                <w:color w:val="auto"/>
                <w:sz w:val="24"/>
                <w:szCs w:val="24"/>
                <w:highlight w:val="none"/>
                <w:lang w:val="en-US" w:eastAsia="zh-CN"/>
              </w:rPr>
              <w:t>和粉煤灰</w:t>
            </w:r>
            <w:r>
              <w:rPr>
                <w:rFonts w:hint="default" w:ascii="Times New Roman" w:hAnsi="Times New Roman" w:eastAsia="宋体" w:cs="Times New Roman"/>
                <w:color w:val="auto"/>
                <w:sz w:val="24"/>
                <w:szCs w:val="24"/>
                <w:highlight w:val="none"/>
              </w:rPr>
              <w:t>在筒仓中经螺旋机送入计量斗，计量斗根据微机指令控制比例后经放料阀进入</w:t>
            </w:r>
            <w:r>
              <w:rPr>
                <w:rFonts w:hint="eastAsia" w:eastAsia="宋体" w:cs="Times New Roman"/>
                <w:color w:val="auto"/>
                <w:sz w:val="24"/>
                <w:szCs w:val="24"/>
                <w:highlight w:val="none"/>
                <w:lang w:eastAsia="zh-CN"/>
              </w:rPr>
              <w:t>搅拌</w:t>
            </w:r>
            <w:r>
              <w:rPr>
                <w:rFonts w:hint="eastAsia" w:cs="Times New Roman"/>
                <w:color w:val="auto"/>
                <w:sz w:val="24"/>
                <w:szCs w:val="24"/>
                <w:highlight w:val="none"/>
                <w:lang w:val="en-US" w:eastAsia="zh-CN"/>
              </w:rPr>
              <w:t>机</w:t>
            </w:r>
            <w:r>
              <w:rPr>
                <w:rFonts w:hint="default" w:ascii="Times New Roman" w:hAnsi="Times New Roman" w:eastAsia="宋体" w:cs="Times New Roman"/>
                <w:color w:val="auto"/>
                <w:sz w:val="24"/>
                <w:szCs w:val="24"/>
                <w:highlight w:val="none"/>
              </w:rPr>
              <w:t>；外加剂根据水泥配方通过计量后经放料阀进入</w:t>
            </w:r>
            <w:r>
              <w:rPr>
                <w:rFonts w:hint="eastAsia" w:eastAsia="宋体" w:cs="Times New Roman"/>
                <w:color w:val="auto"/>
                <w:sz w:val="24"/>
                <w:szCs w:val="24"/>
                <w:highlight w:val="none"/>
                <w:lang w:eastAsia="zh-CN"/>
              </w:rPr>
              <w:t>搅拌</w:t>
            </w:r>
            <w:r>
              <w:rPr>
                <w:rFonts w:hint="eastAsia" w:cs="Times New Roman"/>
                <w:color w:val="auto"/>
                <w:sz w:val="24"/>
                <w:szCs w:val="24"/>
                <w:highlight w:val="none"/>
                <w:lang w:val="en-US" w:eastAsia="zh-CN"/>
              </w:rPr>
              <w:t>机</w:t>
            </w:r>
            <w:r>
              <w:rPr>
                <w:rFonts w:hint="default" w:ascii="Times New Roman" w:hAnsi="Times New Roman" w:eastAsia="宋体" w:cs="Times New Roman"/>
                <w:color w:val="auto"/>
                <w:sz w:val="24"/>
                <w:szCs w:val="24"/>
                <w:highlight w:val="none"/>
              </w:rPr>
              <w:t>；水计量后由泵直接抽入</w:t>
            </w:r>
            <w:r>
              <w:rPr>
                <w:rFonts w:hint="eastAsia" w:eastAsia="宋体" w:cs="Times New Roman"/>
                <w:color w:val="auto"/>
                <w:sz w:val="24"/>
                <w:szCs w:val="24"/>
                <w:highlight w:val="none"/>
                <w:lang w:eastAsia="zh-CN"/>
              </w:rPr>
              <w:t>搅拌</w:t>
            </w:r>
            <w:r>
              <w:rPr>
                <w:rFonts w:hint="eastAsia" w:cs="Times New Roman"/>
                <w:color w:val="auto"/>
                <w:sz w:val="24"/>
                <w:szCs w:val="24"/>
                <w:highlight w:val="none"/>
                <w:lang w:val="en-US" w:eastAsia="zh-CN"/>
              </w:rPr>
              <w:t>机</w:t>
            </w:r>
            <w:r>
              <w:rPr>
                <w:rFonts w:hint="default" w:ascii="Times New Roman" w:hAnsi="Times New Roman" w:eastAsia="宋体" w:cs="Times New Roman"/>
                <w:color w:val="auto"/>
                <w:sz w:val="24"/>
                <w:szCs w:val="24"/>
                <w:highlight w:val="none"/>
              </w:rPr>
              <w:t>。水泥</w:t>
            </w:r>
            <w:r>
              <w:rPr>
                <w:rFonts w:hint="eastAsia" w:ascii="Times New Roman" w:hAnsi="Times New Roman" w:cs="Times New Roman"/>
                <w:color w:val="auto"/>
                <w:sz w:val="24"/>
                <w:szCs w:val="24"/>
                <w:highlight w:val="none"/>
                <w:lang w:val="en-US" w:eastAsia="zh-CN"/>
              </w:rPr>
              <w:t>、粉煤灰、外加剂等</w:t>
            </w:r>
            <w:r>
              <w:rPr>
                <w:rFonts w:hint="default" w:eastAsia="宋体"/>
                <w:color w:val="auto"/>
                <w:highlight w:val="none"/>
                <w:lang w:val="en-US" w:eastAsia="zh-CN"/>
              </w:rPr>
              <w:t>原料的输送、计量等方式均为封闭式，该过程产生的粉尘量不大</w:t>
            </w:r>
            <w:r>
              <w:rPr>
                <w:rFonts w:hint="eastAsia" w:eastAsia="宋体"/>
                <w:color w:val="auto"/>
                <w:highlight w:val="none"/>
                <w:lang w:val="en-US" w:eastAsia="zh-CN"/>
              </w:rPr>
              <w:t>，粉尘主要为</w:t>
            </w:r>
            <w:r>
              <w:rPr>
                <w:rFonts w:hint="eastAsia" w:ascii="Times New Roman" w:hAnsi="Times New Roman" w:eastAsia="宋体" w:cs="Times New Roman"/>
                <w:b w:val="0"/>
                <w:bCs/>
                <w:color w:val="auto"/>
                <w:kern w:val="2"/>
                <w:sz w:val="24"/>
                <w:szCs w:val="24"/>
                <w:highlight w:val="none"/>
                <w:lang w:val="en-US" w:eastAsia="zh-CN" w:bidi="ar-SA"/>
              </w:rPr>
              <w:t>砂、碎石等铲车送至进料口工序产生，项目砂、碎石等进料工序时间为900h/a。</w:t>
            </w:r>
          </w:p>
          <w:p w14:paraId="40B10AF4">
            <w:pPr>
              <w:pStyle w:val="102"/>
              <w:keepNext/>
              <w:keepLines w:val="0"/>
              <w:pageBreakBefore w:val="0"/>
              <w:widowControl w:val="0"/>
              <w:numPr>
                <w:ilvl w:val="0"/>
                <w:numId w:val="0"/>
              </w:numPr>
              <w:kinsoku/>
              <w:wordWrap/>
              <w:overflowPunct/>
              <w:topLinePunct w:val="0"/>
              <w:autoSpaceDE/>
              <w:autoSpaceDN/>
              <w:bidi w:val="0"/>
              <w:adjustRightInd/>
              <w:snapToGrid/>
              <w:spacing w:line="360" w:lineRule="auto"/>
              <w:ind w:right="0" w:firstLine="480" w:firstLineChars="200"/>
              <w:jc w:val="both"/>
              <w:textAlignment w:val="baseline"/>
              <w:outlineLvl w:val="9"/>
              <w:rPr>
                <w:rFonts w:hint="eastAsia"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参照《逸散性</w:t>
            </w:r>
            <w:r>
              <w:rPr>
                <w:rFonts w:hint="eastAsia" w:ascii="Times New Roman" w:hAnsi="Times New Roman" w:eastAsia="宋体" w:cs="Times New Roman"/>
                <w:b w:val="0"/>
                <w:bCs/>
                <w:color w:val="auto"/>
                <w:kern w:val="2"/>
                <w:sz w:val="24"/>
                <w:szCs w:val="24"/>
                <w:highlight w:val="none"/>
                <w:lang w:val="en-US" w:eastAsia="zh-CN" w:bidi="ar-SA"/>
              </w:rPr>
              <w:t>工</w:t>
            </w:r>
            <w:r>
              <w:rPr>
                <w:rFonts w:hint="default" w:ascii="Times New Roman" w:hAnsi="Times New Roman" w:eastAsia="宋体" w:cs="Times New Roman"/>
                <w:b w:val="0"/>
                <w:bCs/>
                <w:color w:val="auto"/>
                <w:kern w:val="2"/>
                <w:sz w:val="24"/>
                <w:szCs w:val="24"/>
                <w:highlight w:val="none"/>
                <w:lang w:val="en-US" w:eastAsia="zh-CN" w:bidi="ar-SA"/>
              </w:rPr>
              <w:t>业粉尘控制技术》</w:t>
            </w:r>
            <w:r>
              <w:rPr>
                <w:rFonts w:hint="eastAsia"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J.A奥里蒙，中国环境科学出版社</w:t>
            </w:r>
            <w:r>
              <w:rPr>
                <w:rFonts w:hint="eastAsia"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w:t>
            </w:r>
            <w:r>
              <w:rPr>
                <w:rFonts w:hint="eastAsia" w:ascii="Times New Roman" w:hAnsi="Times New Roman" w:eastAsia="宋体" w:cs="Times New Roman"/>
                <w:b w:val="0"/>
                <w:bCs/>
                <w:color w:val="auto"/>
                <w:kern w:val="2"/>
                <w:sz w:val="24"/>
                <w:szCs w:val="24"/>
                <w:highlight w:val="none"/>
                <w:lang w:val="en-US" w:eastAsia="zh-CN" w:bidi="ar-SA"/>
              </w:rPr>
              <w:t>砂石</w:t>
            </w:r>
            <w:r>
              <w:rPr>
                <w:rFonts w:hint="default" w:ascii="Times New Roman" w:hAnsi="Times New Roman" w:eastAsia="宋体" w:cs="Times New Roman"/>
                <w:b w:val="0"/>
                <w:bCs/>
                <w:color w:val="auto"/>
                <w:kern w:val="2"/>
                <w:sz w:val="24"/>
                <w:szCs w:val="24"/>
                <w:highlight w:val="none"/>
                <w:lang w:val="en-US" w:eastAsia="zh-CN" w:bidi="ar-SA"/>
              </w:rPr>
              <w:t>直接装卸、投料产生的粉尘系数为0.02kg/t-原料</w:t>
            </w:r>
            <w:r>
              <w:rPr>
                <w:rFonts w:hint="eastAsia" w:ascii="Times New Roman" w:hAnsi="Times New Roman" w:eastAsia="宋体" w:cs="Times New Roman"/>
                <w:b w:val="0"/>
                <w:bCs/>
                <w:color w:val="auto"/>
                <w:kern w:val="2"/>
                <w:sz w:val="24"/>
                <w:szCs w:val="24"/>
                <w:highlight w:val="none"/>
                <w:lang w:val="en-US" w:eastAsia="zh-CN" w:bidi="ar-SA"/>
              </w:rPr>
              <w:t>，本项目砂石原料共</w:t>
            </w:r>
            <w:r>
              <w:rPr>
                <w:rFonts w:hint="eastAsia" w:cs="Times New Roman"/>
                <w:b w:val="0"/>
                <w:bCs/>
                <w:color w:val="auto"/>
                <w:kern w:val="2"/>
                <w:sz w:val="24"/>
                <w:szCs w:val="24"/>
                <w:highlight w:val="none"/>
                <w:lang w:val="en-US" w:eastAsia="zh-CN" w:bidi="ar-SA"/>
              </w:rPr>
              <w:t>95500</w:t>
            </w:r>
            <w:r>
              <w:rPr>
                <w:rFonts w:hint="default" w:ascii="Times New Roman" w:hAnsi="Times New Roman" w:eastAsia="宋体" w:cs="Times New Roman"/>
                <w:b w:val="0"/>
                <w:bCs/>
                <w:color w:val="auto"/>
                <w:kern w:val="2"/>
                <w:sz w:val="24"/>
                <w:szCs w:val="24"/>
                <w:highlight w:val="none"/>
                <w:lang w:val="en-US" w:eastAsia="zh-CN" w:bidi="ar-SA"/>
              </w:rPr>
              <w:t>t/a</w:t>
            </w:r>
            <w:r>
              <w:rPr>
                <w:rFonts w:hint="eastAsia" w:ascii="Times New Roman" w:hAnsi="Times New Roman" w:eastAsia="宋体" w:cs="Times New Roman"/>
                <w:b w:val="0"/>
                <w:bCs/>
                <w:color w:val="auto"/>
                <w:kern w:val="2"/>
                <w:sz w:val="24"/>
                <w:szCs w:val="24"/>
                <w:highlight w:val="none"/>
                <w:lang w:val="en-US" w:eastAsia="zh-CN" w:bidi="ar-SA"/>
              </w:rPr>
              <w:t>，粉尘产生量为</w:t>
            </w:r>
            <w:r>
              <w:rPr>
                <w:rFonts w:hint="eastAsia" w:cs="Times New Roman"/>
                <w:b w:val="0"/>
                <w:bCs/>
                <w:color w:val="auto"/>
                <w:kern w:val="2"/>
                <w:sz w:val="24"/>
                <w:szCs w:val="24"/>
                <w:highlight w:val="none"/>
                <w:lang w:val="en-US" w:eastAsia="zh-CN" w:bidi="ar-SA"/>
              </w:rPr>
              <w:t>1.91</w:t>
            </w:r>
            <w:r>
              <w:rPr>
                <w:rFonts w:hint="default" w:ascii="Times New Roman" w:hAnsi="Times New Roman" w:eastAsia="宋体" w:cs="Times New Roman"/>
                <w:b w:val="0"/>
                <w:bCs/>
                <w:color w:val="auto"/>
                <w:kern w:val="2"/>
                <w:sz w:val="24"/>
                <w:szCs w:val="24"/>
                <w:highlight w:val="none"/>
                <w:lang w:val="en-US" w:eastAsia="zh-CN" w:bidi="ar-SA"/>
              </w:rPr>
              <w:t>t/a</w:t>
            </w:r>
            <w:r>
              <w:rPr>
                <w:rFonts w:hint="eastAsia" w:ascii="Times New Roman" w:hAnsi="Times New Roman" w:eastAsia="宋体" w:cs="Times New Roman"/>
                <w:b w:val="0"/>
                <w:bCs/>
                <w:color w:val="auto"/>
                <w:kern w:val="2"/>
                <w:sz w:val="24"/>
                <w:szCs w:val="24"/>
                <w:highlight w:val="none"/>
                <w:lang w:val="en-US" w:eastAsia="zh-CN" w:bidi="ar-SA"/>
              </w:rPr>
              <w:t>，产生速率均为</w:t>
            </w:r>
            <w:r>
              <w:rPr>
                <w:rFonts w:hint="eastAsia" w:cs="Times New Roman"/>
                <w:b w:val="0"/>
                <w:bCs/>
                <w:color w:val="auto"/>
                <w:kern w:val="2"/>
                <w:sz w:val="24"/>
                <w:szCs w:val="24"/>
                <w:highlight w:val="none"/>
                <w:lang w:val="en-US" w:eastAsia="zh-CN" w:bidi="ar-SA"/>
              </w:rPr>
              <w:t>2.12</w:t>
            </w:r>
            <w:r>
              <w:rPr>
                <w:rFonts w:hint="default" w:ascii="Times New Roman" w:hAnsi="Times New Roman" w:eastAsia="宋体" w:cs="Times New Roman"/>
                <w:b w:val="0"/>
                <w:bCs/>
                <w:color w:val="auto"/>
                <w:kern w:val="2"/>
                <w:sz w:val="24"/>
                <w:szCs w:val="24"/>
                <w:highlight w:val="none"/>
                <w:lang w:val="en-US" w:eastAsia="zh-CN" w:bidi="ar-SA"/>
              </w:rPr>
              <w:t>kg/h</w:t>
            </w:r>
            <w:r>
              <w:rPr>
                <w:rFonts w:hint="eastAsia" w:ascii="Times New Roman" w:hAnsi="Times New Roman" w:eastAsia="宋体" w:cs="Times New Roman"/>
                <w:b w:val="0"/>
                <w:bCs/>
                <w:color w:val="auto"/>
                <w:kern w:val="2"/>
                <w:sz w:val="24"/>
                <w:szCs w:val="24"/>
                <w:highlight w:val="none"/>
                <w:lang w:val="en-US" w:eastAsia="zh-CN" w:bidi="ar-SA"/>
              </w:rPr>
              <w:t>。</w:t>
            </w:r>
          </w:p>
          <w:p w14:paraId="1F926F2B">
            <w:pPr>
              <w:pStyle w:val="102"/>
              <w:keepNext/>
              <w:keepLines w:val="0"/>
              <w:pageBreakBefore w:val="0"/>
              <w:widowControl w:val="0"/>
              <w:numPr>
                <w:ilvl w:val="0"/>
                <w:numId w:val="0"/>
              </w:numPr>
              <w:kinsoku/>
              <w:wordWrap/>
              <w:overflowPunct/>
              <w:topLinePunct w:val="0"/>
              <w:autoSpaceDE/>
              <w:autoSpaceDN/>
              <w:bidi w:val="0"/>
              <w:adjustRightInd/>
              <w:snapToGrid/>
              <w:spacing w:line="360" w:lineRule="auto"/>
              <w:ind w:right="0" w:firstLine="480" w:firstLineChars="200"/>
              <w:jc w:val="both"/>
              <w:textAlignment w:val="baseline"/>
              <w:outlineLvl w:val="9"/>
              <w:rPr>
                <w:rFonts w:hint="default" w:ascii="Times New Roman" w:hAnsi="Times New Roman" w:eastAsia="宋体"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本项目砂、碎石进料斗上方设置半封闭式罩棚并</w:t>
            </w:r>
            <w:r>
              <w:rPr>
                <w:rFonts w:hint="default" w:ascii="Times New Roman" w:hAnsi="Times New Roman" w:eastAsia="宋体" w:cs="Times New Roman"/>
                <w:b w:val="0"/>
                <w:bCs/>
                <w:color w:val="auto"/>
                <w:kern w:val="2"/>
                <w:sz w:val="24"/>
                <w:szCs w:val="24"/>
                <w:highlight w:val="none"/>
                <w:lang w:val="en-US" w:eastAsia="zh-CN" w:bidi="ar-SA"/>
              </w:rPr>
              <w:t>设置</w:t>
            </w:r>
            <w:r>
              <w:rPr>
                <w:rFonts w:hint="eastAsia" w:ascii="Times New Roman" w:hAnsi="Times New Roman" w:eastAsia="宋体" w:cs="Times New Roman"/>
                <w:b w:val="0"/>
                <w:bCs/>
                <w:color w:val="auto"/>
                <w:kern w:val="2"/>
                <w:sz w:val="24"/>
                <w:szCs w:val="24"/>
                <w:highlight w:val="none"/>
                <w:lang w:val="en-US" w:eastAsia="zh-CN" w:bidi="ar-SA"/>
              </w:rPr>
              <w:t>雾化喷淋装置</w:t>
            </w:r>
            <w:r>
              <w:rPr>
                <w:rFonts w:hint="default" w:ascii="Times New Roman" w:hAnsi="Times New Roman" w:eastAsia="宋体" w:cs="Times New Roman"/>
                <w:b w:val="0"/>
                <w:bCs/>
                <w:color w:val="auto"/>
                <w:kern w:val="2"/>
                <w:sz w:val="24"/>
                <w:szCs w:val="24"/>
                <w:highlight w:val="none"/>
                <w:lang w:val="en-US" w:eastAsia="zh-CN" w:bidi="ar-SA"/>
              </w:rPr>
              <w:t>，适当增加该区域空气含水率，加快粉尘沉降。根据《除尘工程设计手册》</w:t>
            </w:r>
            <w:r>
              <w:rPr>
                <w:rFonts w:hint="eastAsia"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第二版</w:t>
            </w:r>
            <w:r>
              <w:rPr>
                <w:rFonts w:hint="eastAsia" w:cs="Times New Roman"/>
                <w:b w:val="0"/>
                <w:bCs/>
                <w:color w:val="auto"/>
                <w:kern w:val="2"/>
                <w:sz w:val="24"/>
                <w:szCs w:val="24"/>
                <w:highlight w:val="none"/>
                <w:lang w:val="en-US" w:eastAsia="zh-CN" w:bidi="ar-SA"/>
              </w:rPr>
              <w:t>）</w:t>
            </w:r>
            <w:r>
              <w:rPr>
                <w:rFonts w:hint="eastAsia" w:ascii="Times New Roman" w:hAnsi="Times New Roman" w:eastAsia="宋体"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湿法除尘设计除尘效率可达到90~99%，按最不利因素本项目水</w:t>
            </w:r>
            <w:r>
              <w:rPr>
                <w:rFonts w:hint="eastAsia" w:ascii="Times New Roman" w:hAnsi="Times New Roman" w:eastAsia="宋体" w:cs="Times New Roman"/>
                <w:b w:val="0"/>
                <w:bCs/>
                <w:color w:val="auto"/>
                <w:kern w:val="2"/>
                <w:sz w:val="24"/>
                <w:szCs w:val="24"/>
                <w:highlight w:val="none"/>
                <w:lang w:val="en-US" w:eastAsia="zh-CN" w:bidi="ar-SA"/>
              </w:rPr>
              <w:t>喷雾</w:t>
            </w:r>
            <w:r>
              <w:rPr>
                <w:rFonts w:hint="default" w:ascii="Times New Roman" w:hAnsi="Times New Roman" w:eastAsia="宋体" w:cs="Times New Roman"/>
                <w:b w:val="0"/>
                <w:bCs/>
                <w:color w:val="auto"/>
                <w:kern w:val="2"/>
                <w:sz w:val="24"/>
                <w:szCs w:val="24"/>
                <w:highlight w:val="none"/>
                <w:lang w:val="en-US" w:eastAsia="zh-CN" w:bidi="ar-SA"/>
              </w:rPr>
              <w:t>除尘效率取90%，则投料产生的无组织粉尘排放量约为</w:t>
            </w:r>
            <w:r>
              <w:rPr>
                <w:rFonts w:hint="default" w:ascii="Times New Roman" w:hAnsi="Times New Roman" w:cs="Times New Roman"/>
                <w:b w:val="0"/>
                <w:bCs/>
                <w:color w:val="auto"/>
                <w:kern w:val="2"/>
                <w:sz w:val="24"/>
                <w:szCs w:val="24"/>
                <w:highlight w:val="none"/>
                <w:lang w:val="en-US" w:eastAsia="zh-CN" w:bidi="ar-SA"/>
              </w:rPr>
              <w:t>0</w:t>
            </w:r>
            <w:r>
              <w:rPr>
                <w:rFonts w:hint="eastAsia" w:cs="Times New Roman"/>
                <w:b w:val="0"/>
                <w:bCs/>
                <w:color w:val="auto"/>
                <w:kern w:val="2"/>
                <w:sz w:val="24"/>
                <w:szCs w:val="24"/>
                <w:highlight w:val="none"/>
                <w:lang w:val="en-US" w:eastAsia="zh-CN" w:bidi="ar-SA"/>
              </w:rPr>
              <w:t>.19</w:t>
            </w:r>
            <w:r>
              <w:rPr>
                <w:rFonts w:hint="default" w:ascii="Times New Roman" w:hAnsi="Times New Roman" w:eastAsia="宋体" w:cs="Times New Roman"/>
                <w:b w:val="0"/>
                <w:bCs/>
                <w:color w:val="auto"/>
                <w:kern w:val="2"/>
                <w:sz w:val="24"/>
                <w:szCs w:val="24"/>
                <w:highlight w:val="none"/>
                <w:lang w:val="en-US" w:eastAsia="zh-CN" w:bidi="ar-SA"/>
              </w:rPr>
              <w:t>t/a，排放速率约</w:t>
            </w:r>
            <w:r>
              <w:rPr>
                <w:rFonts w:hint="eastAsia" w:cs="Times New Roman"/>
                <w:b w:val="0"/>
                <w:bCs/>
                <w:color w:val="auto"/>
                <w:kern w:val="2"/>
                <w:sz w:val="24"/>
                <w:szCs w:val="24"/>
                <w:highlight w:val="none"/>
                <w:lang w:val="en-US" w:eastAsia="zh-CN" w:bidi="ar-SA"/>
              </w:rPr>
              <w:t>0.21</w:t>
            </w:r>
            <w:r>
              <w:rPr>
                <w:rFonts w:hint="default" w:ascii="Times New Roman" w:hAnsi="Times New Roman" w:eastAsia="宋体" w:cs="Times New Roman"/>
                <w:b w:val="0"/>
                <w:bCs/>
                <w:color w:val="auto"/>
                <w:kern w:val="2"/>
                <w:sz w:val="24"/>
                <w:szCs w:val="24"/>
                <w:highlight w:val="none"/>
                <w:lang w:val="en-US" w:eastAsia="zh-CN" w:bidi="ar-SA"/>
              </w:rPr>
              <w:t>kg</w:t>
            </w:r>
            <w:r>
              <w:rPr>
                <w:rFonts w:hint="eastAsia" w:ascii="Times New Roman" w:hAnsi="Times New Roman" w:eastAsia="宋体"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h。</w:t>
            </w:r>
          </w:p>
          <w:p w14:paraId="5592C665">
            <w:pPr>
              <w:pStyle w:val="31"/>
              <w:bidi w:val="0"/>
              <w:rPr>
                <w:rFonts w:hint="default"/>
                <w:color w:val="auto"/>
                <w:highlight w:val="none"/>
                <w:lang w:val="en-US" w:eastAsia="zh-CN"/>
              </w:rPr>
            </w:pPr>
            <w:r>
              <w:rPr>
                <w:rFonts w:hint="eastAsia"/>
                <w:color w:val="auto"/>
                <w:highlight w:val="none"/>
                <w:lang w:val="en-US" w:eastAsia="zh-CN"/>
              </w:rPr>
              <w:t>⑥</w:t>
            </w:r>
            <w:r>
              <w:rPr>
                <w:rFonts w:hint="eastAsia"/>
                <w:color w:val="auto"/>
                <w:highlight w:val="none"/>
                <w:lang w:val="en-US" w:eastAsia="zh-CN"/>
              </w:rPr>
              <w:t>物料混合搅拌粉尘</w:t>
            </w:r>
          </w:p>
          <w:p w14:paraId="411BB6E7">
            <w:pPr>
              <w:pStyle w:val="31"/>
              <w:bidi w:val="0"/>
              <w:rPr>
                <w:rFonts w:hint="eastAsia"/>
                <w:color w:val="auto"/>
                <w:sz w:val="24"/>
                <w:szCs w:val="24"/>
                <w:highlight w:val="none"/>
                <w:lang w:val="en-US" w:eastAsia="zh-CN"/>
              </w:rPr>
            </w:pPr>
            <w:r>
              <w:rPr>
                <w:rFonts w:hint="eastAsia"/>
                <w:color w:val="auto"/>
                <w:sz w:val="24"/>
                <w:szCs w:val="24"/>
                <w:highlight w:val="none"/>
                <w:lang w:val="en-US" w:eastAsia="zh-CN"/>
              </w:rPr>
              <w:t>项目物料计量后通过封闭输送机输送至搅拌站内，</w:t>
            </w:r>
            <w:r>
              <w:rPr>
                <w:rFonts w:hint="default" w:eastAsia="宋体"/>
                <w:color w:val="auto"/>
                <w:sz w:val="24"/>
                <w:szCs w:val="24"/>
                <w:highlight w:val="none"/>
                <w:lang w:val="en-US" w:eastAsia="zh-CN"/>
              </w:rPr>
              <w:t>物料在</w:t>
            </w:r>
            <w:r>
              <w:rPr>
                <w:rFonts w:hint="eastAsia"/>
                <w:color w:val="auto"/>
                <w:sz w:val="24"/>
                <w:szCs w:val="24"/>
                <w:highlight w:val="none"/>
                <w:lang w:val="en-US" w:eastAsia="zh-CN"/>
              </w:rPr>
              <w:t>投料、</w:t>
            </w:r>
            <w:r>
              <w:rPr>
                <w:rFonts w:hint="default" w:eastAsia="宋体"/>
                <w:color w:val="auto"/>
                <w:sz w:val="24"/>
                <w:szCs w:val="24"/>
                <w:highlight w:val="none"/>
                <w:lang w:val="en-US" w:eastAsia="zh-CN"/>
              </w:rPr>
              <w:t>混合搅拌过程中会有粉尘产生。参考《排放源统计调查产排污核算方法和系数手册》中《3021水泥制品制造（含3022砼结构构件制造、3029其他水泥类似制品制造）行业系数手册》</w:t>
            </w:r>
            <w:r>
              <w:rPr>
                <w:rFonts w:hint="eastAsia" w:eastAsia="宋体"/>
                <w:color w:val="auto"/>
                <w:sz w:val="24"/>
                <w:szCs w:val="24"/>
                <w:highlight w:val="none"/>
                <w:lang w:val="en-US" w:eastAsia="zh-CN"/>
              </w:rPr>
              <w:t>-</w:t>
            </w:r>
            <w:r>
              <w:rPr>
                <w:rFonts w:hint="eastAsia"/>
                <w:color w:val="auto"/>
                <w:sz w:val="24"/>
                <w:szCs w:val="24"/>
                <w:highlight w:val="none"/>
                <w:lang w:val="en-US" w:eastAsia="zh-CN"/>
              </w:rPr>
              <w:t>混凝土制品</w:t>
            </w:r>
            <w:r>
              <w:rPr>
                <w:rFonts w:hint="eastAsia" w:eastAsia="宋体"/>
                <w:color w:val="auto"/>
                <w:sz w:val="24"/>
                <w:szCs w:val="24"/>
                <w:highlight w:val="none"/>
                <w:lang w:val="en-US" w:eastAsia="zh-CN"/>
              </w:rPr>
              <w:t>-</w:t>
            </w:r>
            <w:r>
              <w:rPr>
                <w:rFonts w:hint="default" w:eastAsia="宋体"/>
                <w:color w:val="auto"/>
                <w:sz w:val="24"/>
                <w:szCs w:val="24"/>
                <w:highlight w:val="none"/>
                <w:lang w:val="en-US" w:eastAsia="zh-CN"/>
              </w:rPr>
              <w:t>物料混合搅拌颗粒物产生系数为0.13千克/吨-产</w:t>
            </w:r>
            <w:r>
              <w:rPr>
                <w:rFonts w:hint="default" w:ascii="Times New Roman" w:hAnsi="宋体" w:eastAsia="宋体" w:cs="Times New Roman"/>
                <w:color w:val="auto"/>
                <w:kern w:val="2"/>
                <w:sz w:val="24"/>
                <w:szCs w:val="24"/>
                <w:highlight w:val="none"/>
                <w:lang w:val="en-US" w:eastAsia="zh-CN" w:bidi="ar-SA"/>
              </w:rPr>
              <w:t>品</w:t>
            </w:r>
            <w:r>
              <w:rPr>
                <w:rFonts w:hint="default" w:eastAsia="宋体"/>
                <w:color w:val="auto"/>
                <w:sz w:val="24"/>
                <w:szCs w:val="24"/>
                <w:highlight w:val="none"/>
                <w:lang w:val="en-US" w:eastAsia="zh-CN"/>
              </w:rPr>
              <w:t>，结合项目设计情况进行核算。根据项目产品方案可知，本项目</w:t>
            </w:r>
            <w:r>
              <w:rPr>
                <w:rFonts w:hint="eastAsia" w:eastAsia="宋体"/>
                <w:color w:val="auto"/>
                <w:sz w:val="24"/>
                <w:szCs w:val="24"/>
                <w:highlight w:val="none"/>
                <w:lang w:val="en-US" w:eastAsia="zh-CN"/>
              </w:rPr>
              <w:t>生产</w:t>
            </w:r>
            <w:r>
              <w:rPr>
                <w:rFonts w:hint="eastAsia"/>
                <w:color w:val="auto"/>
                <w:sz w:val="24"/>
                <w:szCs w:val="24"/>
                <w:highlight w:val="none"/>
                <w:lang w:val="en-US" w:eastAsia="zh-CN"/>
              </w:rPr>
              <w:t>商品混凝土5万m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/a（12.35万t/a），年生产时间为1800h，则搅拌粉尘产生量为16.06t/a，8.92kg/h。混合搅拌工序在密闭的搅拌站内，搅拌机投料口设置集气罩收集产生的颗粒物，经布袋除尘器处理后通过站顶排气口无组织排放</w:t>
            </w:r>
            <w:r>
              <w:rPr>
                <w:rFonts w:hint="default" w:eastAsia="宋体"/>
                <w:color w:val="auto"/>
                <w:sz w:val="24"/>
                <w:szCs w:val="24"/>
                <w:highlight w:val="none"/>
                <w:lang w:val="en-US" w:eastAsia="zh-CN"/>
              </w:rPr>
              <w:t>，处理效率</w:t>
            </w:r>
            <w:r>
              <w:rPr>
                <w:rFonts w:hint="eastAsia" w:eastAsia="宋体"/>
                <w:color w:val="auto"/>
                <w:sz w:val="24"/>
                <w:szCs w:val="24"/>
                <w:highlight w:val="none"/>
                <w:lang w:val="en-US" w:eastAsia="zh-CN"/>
              </w:rPr>
              <w:t>达</w:t>
            </w:r>
            <w:r>
              <w:rPr>
                <w:rFonts w:hint="default" w:eastAsia="宋体"/>
                <w:color w:val="auto"/>
                <w:sz w:val="24"/>
                <w:szCs w:val="24"/>
                <w:highlight w:val="none"/>
                <w:lang w:val="en-US" w:eastAsia="zh-CN"/>
              </w:rPr>
              <w:t>99%</w:t>
            </w:r>
            <w:r>
              <w:rPr>
                <w:rFonts w:hint="eastAsia" w:eastAsia="宋体"/>
                <w:color w:val="auto"/>
                <w:sz w:val="24"/>
                <w:szCs w:val="24"/>
                <w:highlight w:val="none"/>
                <w:lang w:val="en-US" w:eastAsia="zh-CN"/>
              </w:rPr>
              <w:t>以上</w:t>
            </w:r>
            <w:r>
              <w:rPr>
                <w:rFonts w:hint="default" w:eastAsia="宋体"/>
                <w:color w:val="auto"/>
                <w:sz w:val="24"/>
                <w:szCs w:val="24"/>
                <w:highlight w:val="none"/>
                <w:lang w:val="en-US" w:eastAsia="zh-CN"/>
              </w:rPr>
              <w:t>，颗粒物排放量为</w:t>
            </w:r>
            <w:r>
              <w:rPr>
                <w:rFonts w:hint="eastAsia"/>
                <w:color w:val="auto"/>
                <w:sz w:val="24"/>
                <w:szCs w:val="24"/>
                <w:highlight w:val="none"/>
                <w:lang w:val="en-US" w:eastAsia="zh-CN"/>
              </w:rPr>
              <w:t>0.16</w:t>
            </w:r>
            <w:r>
              <w:rPr>
                <w:rFonts w:hint="default" w:eastAsia="宋体"/>
                <w:color w:val="auto"/>
                <w:sz w:val="24"/>
                <w:szCs w:val="24"/>
                <w:highlight w:val="none"/>
                <w:lang w:val="en-US" w:eastAsia="zh-CN"/>
              </w:rPr>
              <w:t>t/a，排放速率为</w:t>
            </w:r>
            <w:r>
              <w:rPr>
                <w:rFonts w:hint="eastAsia" w:eastAsia="宋体"/>
                <w:color w:val="auto"/>
                <w:sz w:val="24"/>
                <w:szCs w:val="24"/>
                <w:highlight w:val="none"/>
                <w:lang w:val="en-US" w:eastAsia="zh-CN"/>
              </w:rPr>
              <w:t>0.</w:t>
            </w:r>
            <w:r>
              <w:rPr>
                <w:rFonts w:hint="eastAsia"/>
                <w:color w:val="auto"/>
                <w:sz w:val="24"/>
                <w:szCs w:val="24"/>
                <w:highlight w:val="none"/>
                <w:lang w:val="en-US" w:eastAsia="zh-CN"/>
              </w:rPr>
              <w:t>09</w:t>
            </w:r>
            <w:r>
              <w:rPr>
                <w:rFonts w:hint="default" w:eastAsia="宋体"/>
                <w:color w:val="auto"/>
                <w:sz w:val="24"/>
                <w:szCs w:val="24"/>
                <w:highlight w:val="none"/>
                <w:lang w:val="en-US" w:eastAsia="zh-CN"/>
              </w:rPr>
              <w:t>kg/h。</w:t>
            </w:r>
          </w:p>
          <w:p w14:paraId="754B584E">
            <w:pPr>
              <w:pStyle w:val="14"/>
              <w:bidi w:val="0"/>
              <w:rPr>
                <w:rFonts w:hint="eastAsia"/>
                <w:color w:val="auto"/>
                <w:sz w:val="24"/>
                <w:szCs w:val="24"/>
                <w:highlight w:val="none"/>
                <w:lang w:val="en-US" w:eastAsia="zh-CN"/>
              </w:rPr>
            </w:pPr>
            <w:r>
              <w:rPr>
                <w:rFonts w:hint="eastAsia"/>
                <w:color w:val="auto"/>
                <w:sz w:val="24"/>
                <w:szCs w:val="24"/>
                <w:highlight w:val="none"/>
                <w:lang w:val="en-US" w:eastAsia="zh-CN"/>
              </w:rPr>
              <w:t>⑦运输扬尘</w:t>
            </w:r>
          </w:p>
          <w:p w14:paraId="5C9EFD8B">
            <w:pPr>
              <w:pStyle w:val="14"/>
              <w:bidi w:val="0"/>
              <w:rPr>
                <w:color w:val="auto"/>
                <w:highlight w:val="none"/>
              </w:rPr>
            </w:pPr>
            <w:r>
              <w:rPr>
                <w:rFonts w:hint="eastAsia"/>
                <w:color w:val="auto"/>
                <w:highlight w:val="none"/>
                <w:lang w:eastAsia="zh-CN"/>
              </w:rPr>
              <w:t>本项目采取</w:t>
            </w:r>
            <w:r>
              <w:rPr>
                <w:rFonts w:hint="eastAsia"/>
                <w:color w:val="auto"/>
                <w:highlight w:val="none"/>
                <w:lang w:val="en-US" w:eastAsia="zh-CN"/>
              </w:rPr>
              <w:t>苫盖货车</w:t>
            </w:r>
            <w:r>
              <w:rPr>
                <w:rFonts w:hint="eastAsia"/>
                <w:color w:val="auto"/>
                <w:highlight w:val="none"/>
                <w:lang w:eastAsia="zh-CN"/>
              </w:rPr>
              <w:t>、密闭罐车</w:t>
            </w:r>
            <w:r>
              <w:rPr>
                <w:rFonts w:hint="eastAsia"/>
                <w:color w:val="auto"/>
                <w:highlight w:val="none"/>
                <w:lang w:val="en-US" w:eastAsia="zh-CN"/>
              </w:rPr>
              <w:t>运输</w:t>
            </w:r>
            <w:r>
              <w:rPr>
                <w:rFonts w:hint="eastAsia"/>
                <w:color w:val="auto"/>
                <w:highlight w:val="none"/>
                <w:lang w:eastAsia="zh-CN"/>
              </w:rPr>
              <w:t>，</w:t>
            </w:r>
            <w:r>
              <w:rPr>
                <w:rFonts w:hint="eastAsia"/>
                <w:color w:val="auto"/>
                <w:highlight w:val="none"/>
                <w:lang w:val="en-US" w:eastAsia="zh-CN"/>
              </w:rPr>
              <w:t>厂内</w:t>
            </w:r>
            <w:r>
              <w:rPr>
                <w:rFonts w:hint="eastAsia"/>
                <w:color w:val="auto"/>
                <w:highlight w:val="none"/>
                <w:lang w:eastAsia="zh-CN"/>
              </w:rPr>
              <w:t>及时清扫道路</w:t>
            </w:r>
            <w:r>
              <w:rPr>
                <w:rFonts w:hint="eastAsia"/>
                <w:color w:val="auto"/>
                <w:highlight w:val="none"/>
                <w:lang w:val="en-US" w:eastAsia="zh-CN"/>
              </w:rPr>
              <w:t>并</w:t>
            </w:r>
            <w:r>
              <w:rPr>
                <w:rFonts w:hint="eastAsia"/>
                <w:color w:val="auto"/>
                <w:highlight w:val="none"/>
                <w:lang w:eastAsia="zh-CN"/>
              </w:rPr>
              <w:t>定期洒水降尘，以减少道路扬尘的产生。</w:t>
            </w:r>
          </w:p>
          <w:p w14:paraId="69568B9B">
            <w:pPr>
              <w:pStyle w:val="14"/>
              <w:bidi w:val="0"/>
              <w:rPr>
                <w:color w:val="auto"/>
                <w:highlight w:val="none"/>
              </w:rPr>
            </w:pPr>
            <w:r>
              <w:rPr>
                <w:rFonts w:hint="eastAsia"/>
                <w:color w:val="auto"/>
                <w:highlight w:val="none"/>
              </w:rPr>
              <w:t>运输粉尘产生情况根据《扬尘源颗粒物排放清单编制技术指南（试行）》，计算本项目运输场地道路产生的粉尘公式：</w:t>
            </w:r>
          </w:p>
          <w:p w14:paraId="15A1969D">
            <w:pPr>
              <w:pStyle w:val="36"/>
              <w:bidi w:val="0"/>
              <w:rPr>
                <w:color w:val="auto"/>
                <w:highlight w:val="none"/>
              </w:rPr>
            </w:pPr>
            <w:r>
              <w:rPr>
                <w:color w:val="auto"/>
                <w:highlight w:val="none"/>
              </w:rPr>
              <w:drawing>
                <wp:inline distT="0" distB="0" distL="0" distR="0">
                  <wp:extent cx="3307715" cy="755650"/>
                  <wp:effectExtent l="0" t="0" r="6985" b="6350"/>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noChangeArrowheads="1"/>
                          </pic:cNvPicPr>
                        </pic:nvPicPr>
                        <pic:blipFill>
                          <a:blip r:embed="rId26" cstate="print"/>
                          <a:srcRect/>
                          <a:stretch>
                            <a:fillRect/>
                          </a:stretch>
                        </pic:blipFill>
                        <pic:spPr>
                          <a:xfrm>
                            <a:off x="0" y="0"/>
                            <a:ext cx="3307715" cy="755650"/>
                          </a:xfrm>
                          <a:prstGeom prst="rect">
                            <a:avLst/>
                          </a:prstGeom>
                          <a:noFill/>
                          <a:ln w="9525">
                            <a:noFill/>
                            <a:miter lim="800000"/>
                            <a:headEnd/>
                            <a:tailEnd/>
                          </a:ln>
                        </pic:spPr>
                      </pic:pic>
                    </a:graphicData>
                  </a:graphic>
                </wp:inline>
              </w:drawing>
            </w:r>
          </w:p>
          <w:p w14:paraId="69820CBF">
            <w:pPr>
              <w:keepNext w:val="0"/>
              <w:keepLines w:val="0"/>
              <w:pageBreakBefore w:val="0"/>
              <w:widowControl w:val="0"/>
              <w:kinsoku/>
              <w:overflowPunct/>
              <w:autoSpaceDE/>
              <w:autoSpaceDN/>
              <w:bidi w:val="0"/>
              <w:adjustRightInd/>
              <w:snapToGrid/>
              <w:spacing w:line="360" w:lineRule="auto"/>
              <w:ind w:firstLine="480" w:firstLineChars="200"/>
              <w:contextualSpacing/>
              <w:jc w:val="left"/>
              <w:textAlignment w:val="auto"/>
              <w:rPr>
                <w:rFonts w:hint="eastAsia"/>
                <w:color w:val="auto"/>
                <w:sz w:val="24"/>
                <w:highlight w:val="none"/>
              </w:rPr>
            </w:pPr>
            <w:r>
              <w:rPr>
                <w:rFonts w:hint="eastAsia"/>
                <w:color w:val="auto"/>
                <w:sz w:val="24"/>
                <w:highlight w:val="none"/>
              </w:rPr>
              <w:t>式中：</w:t>
            </w:r>
          </w:p>
          <w:p w14:paraId="313C6445">
            <w:pPr>
              <w:pStyle w:val="31"/>
              <w:keepNext w:val="0"/>
              <w:keepLines w:val="0"/>
              <w:pageBreakBefore w:val="0"/>
              <w:widowControl w:val="0"/>
              <w:kinsoku/>
              <w:overflowPunct/>
              <w:autoSpaceDE/>
              <w:autoSpaceDN/>
              <w:bidi w:val="0"/>
              <w:adjustRightInd/>
              <w:snapToGrid/>
              <w:ind w:firstLine="480" w:firstLineChars="200"/>
              <w:jc w:val="left"/>
              <w:textAlignment w:val="auto"/>
              <w:rPr>
                <w:color w:val="auto"/>
                <w:highlight w:val="none"/>
              </w:rPr>
            </w:pPr>
            <w:r>
              <w:rPr>
                <w:color w:val="auto"/>
                <w:highlight w:val="none"/>
              </w:rPr>
              <w:t>E</w:t>
            </w:r>
            <w:r>
              <w:rPr>
                <w:color w:val="auto"/>
                <w:highlight w:val="none"/>
                <w:vertAlign w:val="subscript"/>
              </w:rPr>
              <w:t>UPi</w:t>
            </w:r>
            <w:r>
              <w:rPr>
                <w:color w:val="auto"/>
                <w:highlight w:val="none"/>
              </w:rPr>
              <w:t>—</w:t>
            </w:r>
            <w:r>
              <w:rPr>
                <w:rFonts w:hint="eastAsia"/>
                <w:color w:val="auto"/>
                <w:highlight w:val="none"/>
              </w:rPr>
              <w:t>未铺装道路扬尘中</w:t>
            </w:r>
            <w:r>
              <w:rPr>
                <w:color w:val="auto"/>
                <w:highlight w:val="none"/>
              </w:rPr>
              <w:t>P</w:t>
            </w:r>
            <w:r>
              <w:rPr>
                <w:color w:val="auto"/>
                <w:highlight w:val="none"/>
                <w:vertAlign w:val="subscript"/>
              </w:rPr>
              <w:t>Mi</w:t>
            </w:r>
            <w:r>
              <w:rPr>
                <w:rFonts w:hint="eastAsia"/>
                <w:color w:val="auto"/>
                <w:highlight w:val="none"/>
              </w:rPr>
              <w:t>排放系数，</w:t>
            </w:r>
            <w:r>
              <w:rPr>
                <w:color w:val="auto"/>
                <w:highlight w:val="none"/>
              </w:rPr>
              <w:t>g/km</w:t>
            </w:r>
            <w:r>
              <w:rPr>
                <w:rFonts w:hint="eastAsia"/>
                <w:color w:val="auto"/>
                <w:highlight w:val="none"/>
              </w:rPr>
              <w:t>；</w:t>
            </w:r>
          </w:p>
          <w:p w14:paraId="7A62D0D2">
            <w:pPr>
              <w:pStyle w:val="31"/>
              <w:keepNext w:val="0"/>
              <w:keepLines w:val="0"/>
              <w:pageBreakBefore w:val="0"/>
              <w:widowControl w:val="0"/>
              <w:kinsoku/>
              <w:overflowPunct/>
              <w:autoSpaceDE/>
              <w:autoSpaceDN/>
              <w:bidi w:val="0"/>
              <w:adjustRightInd/>
              <w:snapToGrid/>
              <w:ind w:firstLine="480" w:firstLineChars="200"/>
              <w:jc w:val="left"/>
              <w:textAlignment w:val="auto"/>
              <w:rPr>
                <w:color w:val="auto"/>
                <w:highlight w:val="none"/>
              </w:rPr>
            </w:pPr>
            <w:r>
              <w:rPr>
                <w:color w:val="auto"/>
                <w:highlight w:val="none"/>
              </w:rPr>
              <w:t>k</w:t>
            </w:r>
            <w:r>
              <w:rPr>
                <w:color w:val="auto"/>
                <w:highlight w:val="none"/>
                <w:vertAlign w:val="subscript"/>
              </w:rPr>
              <w:t>i</w:t>
            </w:r>
            <w:r>
              <w:rPr>
                <w:color w:val="auto"/>
                <w:highlight w:val="none"/>
              </w:rPr>
              <w:t>—</w:t>
            </w:r>
            <w:r>
              <w:rPr>
                <w:rFonts w:hint="eastAsia"/>
                <w:color w:val="auto"/>
                <w:highlight w:val="none"/>
              </w:rPr>
              <w:t>产生的扬尘中</w:t>
            </w:r>
            <w:r>
              <w:rPr>
                <w:color w:val="auto"/>
                <w:highlight w:val="none"/>
              </w:rPr>
              <w:t>P</w:t>
            </w:r>
            <w:r>
              <w:rPr>
                <w:color w:val="auto"/>
                <w:highlight w:val="none"/>
                <w:vertAlign w:val="subscript"/>
              </w:rPr>
              <w:t>Mi</w:t>
            </w:r>
            <w:r>
              <w:rPr>
                <w:rFonts w:hint="eastAsia"/>
                <w:color w:val="auto"/>
                <w:highlight w:val="none"/>
              </w:rPr>
              <w:t>的粒度乘数，</w:t>
            </w:r>
            <w:r>
              <w:rPr>
                <w:color w:val="auto"/>
                <w:highlight w:val="none"/>
              </w:rPr>
              <w:t>TSP</w:t>
            </w:r>
            <w:r>
              <w:rPr>
                <w:rFonts w:hint="eastAsia"/>
                <w:color w:val="auto"/>
                <w:highlight w:val="none"/>
              </w:rPr>
              <w:t>取</w:t>
            </w:r>
            <w:r>
              <w:rPr>
                <w:color w:val="auto"/>
                <w:highlight w:val="none"/>
              </w:rPr>
              <w:t>1691.4g/km</w:t>
            </w:r>
            <w:r>
              <w:rPr>
                <w:rFonts w:hint="eastAsia"/>
                <w:color w:val="auto"/>
                <w:highlight w:val="none"/>
              </w:rPr>
              <w:t>；</w:t>
            </w:r>
            <w:r>
              <w:rPr>
                <w:color w:val="auto"/>
                <w:highlight w:val="none"/>
              </w:rPr>
              <w:t>a</w:t>
            </w:r>
            <w:r>
              <w:rPr>
                <w:rFonts w:hint="eastAsia"/>
                <w:color w:val="auto"/>
                <w:highlight w:val="none"/>
              </w:rPr>
              <w:t>取</w:t>
            </w:r>
            <w:r>
              <w:rPr>
                <w:color w:val="auto"/>
                <w:highlight w:val="none"/>
              </w:rPr>
              <w:t>0.3</w:t>
            </w:r>
            <w:r>
              <w:rPr>
                <w:rFonts w:hint="eastAsia"/>
                <w:color w:val="auto"/>
                <w:highlight w:val="none"/>
              </w:rPr>
              <w:t>，</w:t>
            </w:r>
            <w:r>
              <w:rPr>
                <w:color w:val="auto"/>
                <w:highlight w:val="none"/>
              </w:rPr>
              <w:t>b</w:t>
            </w:r>
            <w:r>
              <w:rPr>
                <w:rFonts w:hint="eastAsia"/>
                <w:color w:val="auto"/>
                <w:highlight w:val="none"/>
              </w:rPr>
              <w:t>取</w:t>
            </w:r>
            <w:r>
              <w:rPr>
                <w:color w:val="auto"/>
                <w:highlight w:val="none"/>
              </w:rPr>
              <w:t>0.3</w:t>
            </w:r>
            <w:r>
              <w:rPr>
                <w:rFonts w:hint="eastAsia"/>
                <w:color w:val="auto"/>
                <w:highlight w:val="none"/>
              </w:rPr>
              <w:t>；</w:t>
            </w:r>
          </w:p>
          <w:p w14:paraId="18A12866">
            <w:pPr>
              <w:pStyle w:val="31"/>
              <w:keepNext w:val="0"/>
              <w:keepLines w:val="0"/>
              <w:pageBreakBefore w:val="0"/>
              <w:widowControl w:val="0"/>
              <w:kinsoku/>
              <w:overflowPunct/>
              <w:autoSpaceDE/>
              <w:autoSpaceDN/>
              <w:bidi w:val="0"/>
              <w:adjustRightInd/>
              <w:snapToGrid/>
              <w:ind w:firstLine="480" w:firstLineChars="200"/>
              <w:jc w:val="left"/>
              <w:textAlignment w:val="auto"/>
              <w:rPr>
                <w:color w:val="auto"/>
                <w:highlight w:val="none"/>
              </w:rPr>
            </w:pPr>
            <w:r>
              <w:rPr>
                <w:color w:val="auto"/>
                <w:highlight w:val="none"/>
              </w:rPr>
              <w:t>s—</w:t>
            </w:r>
            <w:r>
              <w:rPr>
                <w:rFonts w:hint="eastAsia"/>
                <w:color w:val="auto"/>
                <w:highlight w:val="none"/>
              </w:rPr>
              <w:t>道路表面有效积尘率，取</w:t>
            </w:r>
            <w:r>
              <w:rPr>
                <w:color w:val="auto"/>
                <w:highlight w:val="none"/>
              </w:rPr>
              <w:t>40%</w:t>
            </w:r>
            <w:r>
              <w:rPr>
                <w:rFonts w:hint="eastAsia"/>
                <w:color w:val="auto"/>
                <w:highlight w:val="none"/>
              </w:rPr>
              <w:t>；</w:t>
            </w:r>
          </w:p>
          <w:p w14:paraId="210E6E44">
            <w:pPr>
              <w:pStyle w:val="31"/>
              <w:keepNext w:val="0"/>
              <w:keepLines w:val="0"/>
              <w:pageBreakBefore w:val="0"/>
              <w:widowControl w:val="0"/>
              <w:kinsoku/>
              <w:overflowPunct/>
              <w:autoSpaceDE/>
              <w:autoSpaceDN/>
              <w:bidi w:val="0"/>
              <w:adjustRightInd/>
              <w:snapToGrid/>
              <w:ind w:firstLine="480" w:firstLineChars="200"/>
              <w:jc w:val="left"/>
              <w:textAlignment w:val="auto"/>
              <w:rPr>
                <w:color w:val="auto"/>
                <w:highlight w:val="none"/>
              </w:rPr>
            </w:pPr>
            <w:r>
              <w:rPr>
                <w:color w:val="auto"/>
                <w:highlight w:val="none"/>
              </w:rPr>
              <w:t>v—</w:t>
            </w:r>
            <w:r>
              <w:rPr>
                <w:rFonts w:hint="eastAsia"/>
                <w:color w:val="auto"/>
                <w:highlight w:val="none"/>
              </w:rPr>
              <w:t>平均车速，取</w:t>
            </w:r>
            <w:r>
              <w:rPr>
                <w:color w:val="auto"/>
                <w:highlight w:val="none"/>
              </w:rPr>
              <w:t>15km/h</w:t>
            </w:r>
            <w:r>
              <w:rPr>
                <w:rFonts w:hint="eastAsia"/>
                <w:color w:val="auto"/>
                <w:highlight w:val="none"/>
              </w:rPr>
              <w:t>；</w:t>
            </w:r>
          </w:p>
          <w:p w14:paraId="4C54F724">
            <w:pPr>
              <w:pStyle w:val="31"/>
              <w:keepNext w:val="0"/>
              <w:keepLines w:val="0"/>
              <w:pageBreakBefore w:val="0"/>
              <w:widowControl w:val="0"/>
              <w:kinsoku/>
              <w:overflowPunct/>
              <w:autoSpaceDE/>
              <w:autoSpaceDN/>
              <w:bidi w:val="0"/>
              <w:adjustRightInd/>
              <w:snapToGrid/>
              <w:ind w:firstLine="480" w:firstLineChars="200"/>
              <w:jc w:val="left"/>
              <w:textAlignment w:val="auto"/>
              <w:rPr>
                <w:color w:val="auto"/>
                <w:highlight w:val="none"/>
              </w:rPr>
            </w:pPr>
            <w:r>
              <w:rPr>
                <w:color w:val="auto"/>
                <w:highlight w:val="none"/>
              </w:rPr>
              <w:t>M—</w:t>
            </w:r>
            <w:r>
              <w:rPr>
                <w:rFonts w:hint="eastAsia"/>
                <w:color w:val="auto"/>
                <w:highlight w:val="none"/>
              </w:rPr>
              <w:t>道路积尘含水率，取</w:t>
            </w:r>
            <w:r>
              <w:rPr>
                <w:color w:val="auto"/>
                <w:highlight w:val="none"/>
              </w:rPr>
              <w:t>10%</w:t>
            </w:r>
            <w:r>
              <w:rPr>
                <w:rFonts w:hint="eastAsia"/>
                <w:color w:val="auto"/>
                <w:highlight w:val="none"/>
              </w:rPr>
              <w:t>；</w:t>
            </w:r>
          </w:p>
          <w:p w14:paraId="79D2A89A">
            <w:pPr>
              <w:pStyle w:val="31"/>
              <w:keepNext w:val="0"/>
              <w:keepLines w:val="0"/>
              <w:pageBreakBefore w:val="0"/>
              <w:widowControl w:val="0"/>
              <w:kinsoku/>
              <w:overflowPunct/>
              <w:autoSpaceDE/>
              <w:autoSpaceDN/>
              <w:bidi w:val="0"/>
              <w:adjustRightInd/>
              <w:snapToGrid/>
              <w:ind w:firstLine="480" w:firstLineChars="200"/>
              <w:jc w:val="left"/>
              <w:textAlignment w:val="auto"/>
              <w:rPr>
                <w:color w:val="auto"/>
                <w:highlight w:val="none"/>
              </w:rPr>
            </w:pPr>
            <w:r>
              <w:rPr>
                <w:color w:val="auto"/>
                <w:sz w:val="24"/>
                <w:szCs w:val="24"/>
                <w:highlight w:val="none"/>
              </w:rPr>
              <w:t>η</w:t>
            </w:r>
            <w:r>
              <w:rPr>
                <w:color w:val="auto"/>
                <w:highlight w:val="none"/>
              </w:rPr>
              <w:t>—</w:t>
            </w:r>
            <w:r>
              <w:rPr>
                <w:rFonts w:hint="eastAsia"/>
                <w:color w:val="auto"/>
                <w:highlight w:val="none"/>
              </w:rPr>
              <w:t>污染控制技术对扬尘的去除效率，本项目采取洒水</w:t>
            </w:r>
            <w:r>
              <w:rPr>
                <w:rFonts w:hint="eastAsia"/>
                <w:color w:val="auto"/>
                <w:highlight w:val="none"/>
                <w:lang w:val="en-US" w:eastAsia="zh-CN"/>
              </w:rPr>
              <w:t>降尘1</w:t>
            </w:r>
            <w:r>
              <w:rPr>
                <w:rFonts w:hint="eastAsia"/>
                <w:color w:val="auto"/>
                <w:highlight w:val="none"/>
              </w:rPr>
              <w:t>次</w:t>
            </w:r>
            <w:r>
              <w:rPr>
                <w:color w:val="auto"/>
                <w:highlight w:val="none"/>
              </w:rPr>
              <w:t>/</w:t>
            </w:r>
            <w:r>
              <w:rPr>
                <w:rFonts w:hint="eastAsia"/>
                <w:color w:val="auto"/>
                <w:highlight w:val="none"/>
              </w:rPr>
              <w:t>天</w:t>
            </w:r>
            <w:r>
              <w:rPr>
                <w:color w:val="auto"/>
                <w:highlight w:val="none"/>
              </w:rPr>
              <w:t>，</w:t>
            </w:r>
            <w:r>
              <w:rPr>
                <w:rFonts w:hint="eastAsia"/>
                <w:color w:val="auto"/>
                <w:highlight w:val="none"/>
              </w:rPr>
              <w:t>运输车辆采用</w:t>
            </w:r>
            <w:r>
              <w:rPr>
                <w:rFonts w:hint="eastAsia"/>
                <w:color w:val="auto"/>
                <w:highlight w:val="none"/>
                <w:lang w:val="en-US" w:eastAsia="zh-CN"/>
              </w:rPr>
              <w:t>苫盖货车</w:t>
            </w:r>
            <w:r>
              <w:rPr>
                <w:rFonts w:hint="eastAsia"/>
                <w:color w:val="auto"/>
                <w:highlight w:val="none"/>
                <w:lang w:eastAsia="zh-CN"/>
              </w:rPr>
              <w:t>、密闭罐车</w:t>
            </w:r>
            <w:r>
              <w:rPr>
                <w:rFonts w:hint="eastAsia"/>
                <w:color w:val="auto"/>
                <w:highlight w:val="none"/>
                <w:lang w:val="en-US" w:eastAsia="zh-CN"/>
              </w:rPr>
              <w:t>运输</w:t>
            </w:r>
            <w:r>
              <w:rPr>
                <w:rFonts w:hint="eastAsia"/>
                <w:color w:val="auto"/>
                <w:highlight w:val="none"/>
              </w:rPr>
              <w:t>，</w:t>
            </w:r>
            <w:r>
              <w:rPr>
                <w:color w:val="auto"/>
                <w:highlight w:val="none"/>
              </w:rPr>
              <w:t>定期清扫道路地面，控制效率取</w:t>
            </w:r>
            <w:r>
              <w:rPr>
                <w:rFonts w:hint="eastAsia"/>
                <w:color w:val="auto"/>
                <w:highlight w:val="none"/>
              </w:rPr>
              <w:t>66</w:t>
            </w:r>
            <w:r>
              <w:rPr>
                <w:color w:val="auto"/>
                <w:highlight w:val="none"/>
              </w:rPr>
              <w:t>%</w:t>
            </w:r>
            <w:r>
              <w:rPr>
                <w:rFonts w:hint="eastAsia"/>
                <w:color w:val="auto"/>
                <w:highlight w:val="none"/>
              </w:rPr>
              <w:t>。</w:t>
            </w:r>
          </w:p>
          <w:p w14:paraId="2D01F3EA">
            <w:pPr>
              <w:pStyle w:val="14"/>
              <w:bidi w:val="0"/>
              <w:rPr>
                <w:rFonts w:hint="eastAsia"/>
                <w:color w:val="auto"/>
                <w:highlight w:val="none"/>
              </w:rPr>
            </w:pPr>
            <w:r>
              <w:rPr>
                <w:color w:val="auto"/>
                <w:highlight w:val="none"/>
              </w:rPr>
              <w:t>通过上式计算，EUPi为</w:t>
            </w:r>
            <w:r>
              <w:rPr>
                <w:rFonts w:hint="eastAsia"/>
                <w:color w:val="auto"/>
                <w:highlight w:val="none"/>
              </w:rPr>
              <w:t>2</w:t>
            </w:r>
            <w:r>
              <w:rPr>
                <w:rFonts w:hint="eastAsia"/>
                <w:color w:val="auto"/>
                <w:highlight w:val="none"/>
                <w:lang w:val="en-US" w:eastAsia="zh-CN"/>
              </w:rPr>
              <w:t>5.23</w:t>
            </w:r>
            <w:r>
              <w:rPr>
                <w:color w:val="auto"/>
                <w:highlight w:val="none"/>
              </w:rPr>
              <w:t>g/km，</w:t>
            </w:r>
            <w:r>
              <w:rPr>
                <w:rFonts w:hint="eastAsia"/>
                <w:color w:val="auto"/>
                <w:highlight w:val="none"/>
              </w:rPr>
              <w:t>厂</w:t>
            </w:r>
            <w:r>
              <w:rPr>
                <w:rFonts w:hint="eastAsia"/>
                <w:color w:val="auto"/>
                <w:highlight w:val="none"/>
                <w:lang w:val="en-US" w:eastAsia="zh-CN"/>
              </w:rPr>
              <w:t>内运输路线</w:t>
            </w:r>
            <w:r>
              <w:rPr>
                <w:color w:val="auto"/>
                <w:highlight w:val="none"/>
              </w:rPr>
              <w:t>长度</w:t>
            </w:r>
            <w:r>
              <w:rPr>
                <w:rFonts w:hint="eastAsia"/>
                <w:color w:val="auto"/>
                <w:highlight w:val="none"/>
                <w:lang w:val="en-US" w:eastAsia="zh-CN"/>
              </w:rPr>
              <w:t>约</w:t>
            </w:r>
            <w:r>
              <w:rPr>
                <w:color w:val="auto"/>
                <w:highlight w:val="none"/>
              </w:rPr>
              <w:t>为</w:t>
            </w:r>
            <w:r>
              <w:rPr>
                <w:rFonts w:hint="eastAsia"/>
                <w:color w:val="auto"/>
                <w:highlight w:val="none"/>
                <w:lang w:val="en-US" w:eastAsia="zh-CN"/>
              </w:rPr>
              <w:t>0.20</w:t>
            </w:r>
            <w:r>
              <w:rPr>
                <w:color w:val="auto"/>
                <w:highlight w:val="none"/>
              </w:rPr>
              <w:t>km，运输次数约为</w:t>
            </w:r>
            <w:r>
              <w:rPr>
                <w:rFonts w:hint="eastAsia"/>
                <w:color w:val="auto"/>
                <w:highlight w:val="none"/>
                <w:lang w:val="en-US" w:eastAsia="zh-CN"/>
              </w:rPr>
              <w:t>4000</w:t>
            </w:r>
            <w:r>
              <w:rPr>
                <w:color w:val="auto"/>
                <w:highlight w:val="none"/>
              </w:rPr>
              <w:t>次/a，</w:t>
            </w:r>
            <w:r>
              <w:rPr>
                <w:rFonts w:hint="eastAsia"/>
                <w:color w:val="auto"/>
                <w:highlight w:val="none"/>
                <w:lang w:val="en-US" w:eastAsia="zh-CN"/>
              </w:rPr>
              <w:t>运输时间为54h</w:t>
            </w:r>
            <w:r>
              <w:rPr>
                <w:rFonts w:hint="eastAsia"/>
                <w:color w:val="auto"/>
                <w:highlight w:val="none"/>
                <w:lang w:eastAsia="zh-CN"/>
              </w:rPr>
              <w:t>，</w:t>
            </w:r>
            <w:r>
              <w:rPr>
                <w:color w:val="auto"/>
                <w:highlight w:val="none"/>
              </w:rPr>
              <w:t>产生道路扬尘</w:t>
            </w:r>
            <w:r>
              <w:rPr>
                <w:rFonts w:hint="eastAsia"/>
                <w:color w:val="auto"/>
                <w:highlight w:val="none"/>
                <w:lang w:val="en-US" w:eastAsia="zh-CN"/>
              </w:rPr>
              <w:t>0.02t/a（0.37kg/h），经洒水降尘处置后</w:t>
            </w:r>
            <w:r>
              <w:rPr>
                <w:rFonts w:hint="eastAsia"/>
                <w:color w:val="auto"/>
                <w:highlight w:val="none"/>
              </w:rPr>
              <w:t>以无组织形式排</w:t>
            </w:r>
            <w:r>
              <w:rPr>
                <w:rFonts w:hint="eastAsia"/>
                <w:color w:val="auto"/>
                <w:highlight w:val="none"/>
                <w:lang w:val="en-US" w:eastAsia="zh-CN"/>
              </w:rPr>
              <w:t>放，排放量为</w:t>
            </w:r>
            <w:r>
              <w:rPr>
                <w:rFonts w:hint="eastAsia"/>
                <w:color w:val="auto"/>
                <w:highlight w:val="none"/>
              </w:rPr>
              <w:t>0</w:t>
            </w:r>
            <w:r>
              <w:rPr>
                <w:rFonts w:hint="eastAsia"/>
                <w:color w:val="auto"/>
                <w:highlight w:val="none"/>
                <w:lang w:val="en-US" w:eastAsia="zh-CN"/>
              </w:rPr>
              <w:t>.0068</w:t>
            </w:r>
            <w:r>
              <w:rPr>
                <w:color w:val="auto"/>
                <w:highlight w:val="none"/>
              </w:rPr>
              <w:t>t/a</w:t>
            </w:r>
            <w:r>
              <w:rPr>
                <w:rFonts w:hint="eastAsia"/>
                <w:color w:val="auto"/>
                <w:highlight w:val="none"/>
                <w:lang w:eastAsia="zh-CN"/>
              </w:rPr>
              <w:t>（</w:t>
            </w:r>
            <w:r>
              <w:rPr>
                <w:rFonts w:hint="eastAsia"/>
                <w:color w:val="auto"/>
                <w:highlight w:val="none"/>
                <w:lang w:val="en-US" w:eastAsia="zh-CN"/>
              </w:rPr>
              <w:t>0.13kg/h</w:t>
            </w:r>
            <w:r>
              <w:rPr>
                <w:rFonts w:hint="eastAsia"/>
                <w:color w:val="auto"/>
                <w:highlight w:val="none"/>
                <w:lang w:eastAsia="zh-CN"/>
              </w:rPr>
              <w:t>）</w:t>
            </w:r>
            <w:r>
              <w:rPr>
                <w:rFonts w:hint="eastAsia"/>
                <w:color w:val="auto"/>
                <w:highlight w:val="none"/>
              </w:rPr>
              <w:t>。</w:t>
            </w:r>
          </w:p>
          <w:p w14:paraId="664F9A95">
            <w:pPr>
              <w:pStyle w:val="31"/>
              <w:bidi w:val="0"/>
              <w:rPr>
                <w:rFonts w:hint="default"/>
                <w:color w:val="auto"/>
                <w:highlight w:val="none"/>
                <w:lang w:val="en-US" w:eastAsia="zh-CN"/>
              </w:rPr>
            </w:pPr>
          </w:p>
          <w:p w14:paraId="1F03DE51">
            <w:pPr>
              <w:pStyle w:val="31"/>
              <w:bidi w:val="0"/>
              <w:ind w:left="0" w:leftChars="0" w:firstLine="0" w:firstLineChars="0"/>
              <w:rPr>
                <w:rFonts w:hint="eastAsia"/>
                <w:color w:val="auto"/>
                <w:highlight w:val="none"/>
                <w:lang w:eastAsia="zh-CN"/>
              </w:rPr>
            </w:pPr>
          </w:p>
          <w:p w14:paraId="4132D3DC">
            <w:pPr>
              <w:pStyle w:val="31"/>
              <w:bidi w:val="0"/>
              <w:ind w:left="0" w:leftChars="0" w:firstLine="0" w:firstLineChars="0"/>
              <w:rPr>
                <w:rFonts w:hint="eastAsia"/>
                <w:color w:val="auto"/>
                <w:highlight w:val="none"/>
                <w:lang w:eastAsia="zh-CN"/>
              </w:rPr>
            </w:pPr>
          </w:p>
          <w:p w14:paraId="0F2F9CDE">
            <w:pPr>
              <w:pStyle w:val="31"/>
              <w:bidi w:val="0"/>
              <w:ind w:left="0" w:leftChars="0" w:firstLine="0" w:firstLineChars="0"/>
              <w:rPr>
                <w:rFonts w:hint="eastAsia"/>
                <w:color w:val="auto"/>
                <w:highlight w:val="none"/>
                <w:lang w:eastAsia="zh-CN"/>
              </w:rPr>
            </w:pPr>
          </w:p>
          <w:p w14:paraId="74F17FF4">
            <w:pPr>
              <w:pStyle w:val="31"/>
              <w:bidi w:val="0"/>
              <w:ind w:left="0" w:leftChars="0" w:firstLine="0" w:firstLineChars="0"/>
              <w:rPr>
                <w:rFonts w:hint="eastAsia"/>
                <w:color w:val="auto"/>
                <w:highlight w:val="none"/>
                <w:lang w:eastAsia="zh-CN"/>
              </w:rPr>
            </w:pPr>
          </w:p>
          <w:p w14:paraId="4865FA8E">
            <w:pPr>
              <w:pStyle w:val="31"/>
              <w:bidi w:val="0"/>
              <w:ind w:left="0" w:leftChars="0" w:firstLine="0" w:firstLineChars="0"/>
              <w:rPr>
                <w:rFonts w:hint="eastAsia"/>
                <w:color w:val="auto"/>
                <w:highlight w:val="none"/>
                <w:lang w:eastAsia="zh-CN"/>
              </w:rPr>
            </w:pPr>
          </w:p>
          <w:p w14:paraId="655EF104">
            <w:pPr>
              <w:pStyle w:val="31"/>
              <w:bidi w:val="0"/>
              <w:ind w:left="0" w:leftChars="0" w:firstLine="0" w:firstLineChars="0"/>
              <w:rPr>
                <w:rFonts w:hint="eastAsia"/>
                <w:color w:val="auto"/>
                <w:highlight w:val="none"/>
                <w:lang w:eastAsia="zh-CN"/>
              </w:rPr>
            </w:pPr>
          </w:p>
          <w:p w14:paraId="7B994377">
            <w:pPr>
              <w:pStyle w:val="31"/>
              <w:bidi w:val="0"/>
              <w:ind w:left="0" w:leftChars="0" w:firstLine="0" w:firstLineChars="0"/>
              <w:rPr>
                <w:rFonts w:hint="eastAsia"/>
                <w:color w:val="auto"/>
                <w:highlight w:val="none"/>
                <w:lang w:eastAsia="zh-CN"/>
              </w:rPr>
            </w:pPr>
          </w:p>
          <w:p w14:paraId="3144B52E">
            <w:pPr>
              <w:pStyle w:val="31"/>
              <w:bidi w:val="0"/>
              <w:ind w:left="0" w:leftChars="0" w:firstLine="0" w:firstLineChars="0"/>
              <w:rPr>
                <w:rFonts w:hint="eastAsia"/>
                <w:color w:val="auto"/>
                <w:highlight w:val="none"/>
                <w:lang w:eastAsia="zh-CN"/>
              </w:rPr>
            </w:pPr>
          </w:p>
          <w:p w14:paraId="6AA813A4">
            <w:pPr>
              <w:pStyle w:val="31"/>
              <w:bidi w:val="0"/>
              <w:ind w:left="0" w:leftChars="0" w:firstLine="0" w:firstLineChars="0"/>
              <w:rPr>
                <w:rFonts w:hint="eastAsia"/>
                <w:color w:val="auto"/>
                <w:highlight w:val="none"/>
                <w:lang w:eastAsia="zh-CN"/>
              </w:rPr>
            </w:pPr>
          </w:p>
          <w:p w14:paraId="3B628A87">
            <w:pPr>
              <w:pStyle w:val="31"/>
              <w:bidi w:val="0"/>
              <w:ind w:left="0" w:leftChars="0" w:firstLine="0" w:firstLineChars="0"/>
              <w:rPr>
                <w:rFonts w:hint="eastAsia"/>
                <w:color w:val="auto"/>
                <w:highlight w:val="none"/>
                <w:lang w:eastAsia="zh-CN"/>
              </w:rPr>
            </w:pPr>
          </w:p>
          <w:p w14:paraId="137705BD">
            <w:pPr>
              <w:pStyle w:val="31"/>
              <w:bidi w:val="0"/>
              <w:ind w:left="0" w:leftChars="0" w:firstLine="0" w:firstLineChars="0"/>
              <w:rPr>
                <w:rFonts w:hint="eastAsia"/>
                <w:color w:val="auto"/>
                <w:highlight w:val="none"/>
                <w:lang w:eastAsia="zh-CN"/>
              </w:rPr>
            </w:pPr>
          </w:p>
          <w:p w14:paraId="289DDE4A">
            <w:pPr>
              <w:pStyle w:val="31"/>
              <w:bidi w:val="0"/>
              <w:ind w:left="0" w:leftChars="0" w:firstLine="0" w:firstLineChars="0"/>
              <w:rPr>
                <w:rFonts w:hint="eastAsia"/>
                <w:color w:val="auto"/>
                <w:highlight w:val="none"/>
                <w:lang w:eastAsia="zh-CN"/>
              </w:rPr>
            </w:pPr>
          </w:p>
          <w:p w14:paraId="5B715E70">
            <w:pPr>
              <w:pStyle w:val="31"/>
              <w:bidi w:val="0"/>
              <w:ind w:left="0" w:leftChars="0" w:firstLine="0" w:firstLineChars="0"/>
              <w:rPr>
                <w:rFonts w:hint="default"/>
                <w:color w:val="auto"/>
                <w:highlight w:val="none"/>
                <w:lang w:val="en-US" w:eastAsia="zh-CN"/>
              </w:rPr>
            </w:pPr>
          </w:p>
          <w:p w14:paraId="4DF6A663">
            <w:pPr>
              <w:pStyle w:val="31"/>
              <w:bidi w:val="0"/>
              <w:ind w:left="0" w:leftChars="0" w:firstLine="0" w:firstLineChars="0"/>
              <w:rPr>
                <w:rFonts w:hint="eastAsia"/>
                <w:color w:val="auto"/>
                <w:highlight w:val="none"/>
                <w:lang w:eastAsia="zh-CN"/>
              </w:rPr>
            </w:pPr>
          </w:p>
          <w:p w14:paraId="5EB2B4BB">
            <w:pPr>
              <w:pStyle w:val="31"/>
              <w:bidi w:val="0"/>
              <w:ind w:left="0" w:leftChars="0" w:firstLine="0" w:firstLineChars="0"/>
              <w:rPr>
                <w:rFonts w:hint="eastAsia"/>
                <w:color w:val="auto"/>
                <w:highlight w:val="none"/>
                <w:lang w:eastAsia="zh-CN"/>
              </w:rPr>
            </w:pPr>
          </w:p>
          <w:p w14:paraId="5A5F67E6">
            <w:pPr>
              <w:pStyle w:val="31"/>
              <w:bidi w:val="0"/>
              <w:ind w:left="0" w:leftChars="0" w:firstLine="0" w:firstLineChars="0"/>
              <w:rPr>
                <w:rFonts w:hint="eastAsia"/>
                <w:color w:val="auto"/>
                <w:highlight w:val="none"/>
                <w:lang w:eastAsia="zh-CN"/>
              </w:rPr>
            </w:pPr>
          </w:p>
          <w:p w14:paraId="58E790AB">
            <w:pPr>
              <w:pStyle w:val="42"/>
              <w:rPr>
                <w:rFonts w:hint="eastAsia"/>
                <w:color w:val="auto"/>
                <w:highlight w:val="none"/>
                <w:lang w:eastAsia="zh-CN"/>
              </w:rPr>
            </w:pPr>
          </w:p>
        </w:tc>
      </w:tr>
    </w:tbl>
    <w:p w14:paraId="7F2B4055">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sectPr>
          <w:pgSz w:w="11907" w:h="16840"/>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tbl>
      <w:tblPr>
        <w:tblStyle w:val="23"/>
        <w:tblW w:w="504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00"/>
        <w:gridCol w:w="12907"/>
      </w:tblGrid>
      <w:tr w14:paraId="731C36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06" w:hRule="atLeast"/>
          <w:jc w:val="center"/>
        </w:trPr>
        <w:tc>
          <w:tcPr>
            <w:tcW w:w="222" w:type="pct"/>
            <w:noWrap w:val="0"/>
            <w:tcMar>
              <w:left w:w="28" w:type="dxa"/>
              <w:right w:w="28" w:type="dxa"/>
            </w:tcMar>
            <w:vAlign w:val="center"/>
          </w:tcPr>
          <w:p w14:paraId="724B7557">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运营</w:t>
            </w:r>
          </w:p>
          <w:p w14:paraId="12906862">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期环</w:t>
            </w:r>
          </w:p>
          <w:p w14:paraId="15F46B8C">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境影</w:t>
            </w:r>
          </w:p>
          <w:p w14:paraId="6DA02CA6">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响和</w:t>
            </w:r>
          </w:p>
          <w:p w14:paraId="1EC47FEA">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保护</w:t>
            </w:r>
          </w:p>
          <w:p w14:paraId="45C55E3F">
            <w:pPr>
              <w:pStyle w:val="42"/>
              <w:rPr>
                <w:rFonts w:hint="eastAsia"/>
                <w:color w:val="auto"/>
                <w:highlight w:val="none"/>
              </w:rPr>
            </w:pPr>
            <w:r>
              <w:rPr>
                <w:rFonts w:hint="eastAsia" w:ascii="Times New Roman" w:hAnsi="Times New Roman" w:eastAsia="宋体" w:cs="宋体"/>
                <w:bCs/>
                <w:color w:val="auto"/>
                <w:sz w:val="24"/>
                <w:szCs w:val="24"/>
                <w:highlight w:val="none"/>
              </w:rPr>
              <w:t>措施</w:t>
            </w:r>
          </w:p>
        </w:tc>
        <w:tc>
          <w:tcPr>
            <w:tcW w:w="4777" w:type="pct"/>
            <w:noWrap w:val="0"/>
            <w:vAlign w:val="center"/>
          </w:tcPr>
          <w:p w14:paraId="3F25CF41">
            <w:pPr>
              <w:pStyle w:val="45"/>
              <w:bidi w:val="0"/>
              <w:rPr>
                <w:color w:val="auto"/>
                <w:highlight w:val="none"/>
              </w:rPr>
            </w:pPr>
            <w:r>
              <w:rPr>
                <w:color w:val="auto"/>
                <w:highlight w:val="none"/>
              </w:rPr>
              <w:t>表4-</w:t>
            </w:r>
            <w:r>
              <w:rPr>
                <w:rFonts w:hint="eastAsia"/>
                <w:color w:val="auto"/>
                <w:highlight w:val="none"/>
                <w:lang w:val="en-US" w:eastAsia="zh-CN"/>
              </w:rPr>
              <w:t>1</w:t>
            </w:r>
            <w:r>
              <w:rPr>
                <w:color w:val="auto"/>
                <w:highlight w:val="none"/>
              </w:rPr>
              <w:t>废气污染源源强核算结果及相关参数一览表</w:t>
            </w:r>
          </w:p>
          <w:tbl>
            <w:tblPr>
              <w:tblStyle w:val="2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3"/>
              <w:gridCol w:w="941"/>
              <w:gridCol w:w="926"/>
              <w:gridCol w:w="802"/>
              <w:gridCol w:w="802"/>
              <w:gridCol w:w="803"/>
              <w:gridCol w:w="803"/>
              <w:gridCol w:w="803"/>
              <w:gridCol w:w="923"/>
              <w:gridCol w:w="683"/>
              <w:gridCol w:w="803"/>
              <w:gridCol w:w="803"/>
              <w:gridCol w:w="803"/>
              <w:gridCol w:w="803"/>
              <w:gridCol w:w="823"/>
              <w:gridCol w:w="742"/>
            </w:tblGrid>
            <w:tr w14:paraId="6C6935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 w:type="pct"/>
                  <w:vMerge w:val="restart"/>
                  <w:tcBorders>
                    <w:tl2br w:val="nil"/>
                    <w:tr2bl w:val="nil"/>
                  </w:tcBorders>
                  <w:noWrap w:val="0"/>
                  <w:vAlign w:val="center"/>
                </w:tcPr>
                <w:p w14:paraId="735FDDCF">
                  <w:pPr>
                    <w:pStyle w:val="34"/>
                    <w:bidi w:val="0"/>
                    <w:rPr>
                      <w:rFonts w:hint="eastAsia"/>
                      <w:color w:val="auto"/>
                      <w:highlight w:val="none"/>
                      <w:lang w:eastAsia="zh-CN"/>
                    </w:rPr>
                  </w:pPr>
                  <w:r>
                    <w:rPr>
                      <w:rFonts w:hint="eastAsia"/>
                      <w:color w:val="auto"/>
                      <w:highlight w:val="none"/>
                      <w:lang w:val="en-US" w:eastAsia="zh-CN"/>
                    </w:rPr>
                    <w:t>污染物类别</w:t>
                  </w:r>
                </w:p>
              </w:tc>
              <w:tc>
                <w:tcPr>
                  <w:tcW w:w="370" w:type="pct"/>
                  <w:vMerge w:val="restart"/>
                  <w:tcBorders>
                    <w:tl2br w:val="nil"/>
                    <w:tr2bl w:val="nil"/>
                  </w:tcBorders>
                  <w:noWrap w:val="0"/>
                  <w:vAlign w:val="center"/>
                </w:tcPr>
                <w:p w14:paraId="13C5419D">
                  <w:pPr>
                    <w:pStyle w:val="34"/>
                    <w:bidi w:val="0"/>
                    <w:rPr>
                      <w:color w:val="auto"/>
                      <w:highlight w:val="none"/>
                    </w:rPr>
                  </w:pPr>
                  <w:r>
                    <w:rPr>
                      <w:color w:val="auto"/>
                      <w:highlight w:val="none"/>
                    </w:rPr>
                    <w:t>排放源</w:t>
                  </w:r>
                </w:p>
              </w:tc>
              <w:tc>
                <w:tcPr>
                  <w:tcW w:w="364" w:type="pct"/>
                  <w:vMerge w:val="restart"/>
                  <w:tcBorders>
                    <w:tl2br w:val="nil"/>
                    <w:tr2bl w:val="nil"/>
                  </w:tcBorders>
                  <w:noWrap w:val="0"/>
                  <w:vAlign w:val="center"/>
                </w:tcPr>
                <w:p w14:paraId="5E19FD5F">
                  <w:pPr>
                    <w:pStyle w:val="34"/>
                    <w:bidi w:val="0"/>
                    <w:rPr>
                      <w:color w:val="auto"/>
                      <w:highlight w:val="none"/>
                    </w:rPr>
                  </w:pPr>
                  <w:r>
                    <w:rPr>
                      <w:color w:val="auto"/>
                      <w:highlight w:val="none"/>
                    </w:rPr>
                    <w:t>污染物</w:t>
                  </w:r>
                </w:p>
              </w:tc>
              <w:tc>
                <w:tcPr>
                  <w:tcW w:w="1581" w:type="pct"/>
                  <w:gridSpan w:val="5"/>
                  <w:tcBorders>
                    <w:tl2br w:val="nil"/>
                    <w:tr2bl w:val="nil"/>
                  </w:tcBorders>
                  <w:noWrap w:val="0"/>
                  <w:vAlign w:val="center"/>
                </w:tcPr>
                <w:p w14:paraId="0DEE0B21">
                  <w:pPr>
                    <w:pStyle w:val="34"/>
                    <w:bidi w:val="0"/>
                    <w:rPr>
                      <w:color w:val="auto"/>
                      <w:highlight w:val="none"/>
                    </w:rPr>
                  </w:pPr>
                  <w:r>
                    <w:rPr>
                      <w:color w:val="auto"/>
                      <w:highlight w:val="none"/>
                    </w:rPr>
                    <w:t>污染物产生</w:t>
                  </w:r>
                </w:p>
              </w:tc>
              <w:tc>
                <w:tcPr>
                  <w:tcW w:w="632" w:type="pct"/>
                  <w:gridSpan w:val="2"/>
                  <w:tcBorders>
                    <w:tl2br w:val="nil"/>
                    <w:tr2bl w:val="nil"/>
                  </w:tcBorders>
                  <w:noWrap w:val="0"/>
                  <w:vAlign w:val="center"/>
                </w:tcPr>
                <w:p w14:paraId="61999531">
                  <w:pPr>
                    <w:pStyle w:val="34"/>
                    <w:bidi w:val="0"/>
                    <w:rPr>
                      <w:color w:val="auto"/>
                      <w:highlight w:val="none"/>
                    </w:rPr>
                  </w:pPr>
                  <w:r>
                    <w:rPr>
                      <w:color w:val="auto"/>
                      <w:highlight w:val="none"/>
                    </w:rPr>
                    <w:t>治理措施</w:t>
                  </w:r>
                </w:p>
              </w:tc>
              <w:tc>
                <w:tcPr>
                  <w:tcW w:w="1590" w:type="pct"/>
                  <w:gridSpan w:val="5"/>
                  <w:tcBorders>
                    <w:tl2br w:val="nil"/>
                    <w:tr2bl w:val="nil"/>
                  </w:tcBorders>
                  <w:noWrap w:val="0"/>
                  <w:vAlign w:val="center"/>
                </w:tcPr>
                <w:p w14:paraId="4E91E5AB">
                  <w:pPr>
                    <w:pStyle w:val="34"/>
                    <w:bidi w:val="0"/>
                    <w:rPr>
                      <w:color w:val="auto"/>
                      <w:highlight w:val="none"/>
                    </w:rPr>
                  </w:pPr>
                  <w:r>
                    <w:rPr>
                      <w:color w:val="auto"/>
                      <w:highlight w:val="none"/>
                    </w:rPr>
                    <w:t>污染物排放</w:t>
                  </w:r>
                </w:p>
              </w:tc>
              <w:tc>
                <w:tcPr>
                  <w:tcW w:w="292" w:type="pct"/>
                  <w:vMerge w:val="restart"/>
                  <w:tcBorders>
                    <w:tl2br w:val="nil"/>
                    <w:tr2bl w:val="nil"/>
                  </w:tcBorders>
                  <w:noWrap w:val="0"/>
                  <w:vAlign w:val="center"/>
                </w:tcPr>
                <w:p w14:paraId="61011637">
                  <w:pPr>
                    <w:pStyle w:val="34"/>
                    <w:bidi w:val="0"/>
                    <w:rPr>
                      <w:color w:val="auto"/>
                      <w:highlight w:val="none"/>
                    </w:rPr>
                  </w:pPr>
                  <w:r>
                    <w:rPr>
                      <w:color w:val="auto"/>
                      <w:highlight w:val="none"/>
                    </w:rPr>
                    <w:t>排放时间（h）</w:t>
                  </w:r>
                </w:p>
              </w:tc>
            </w:tr>
            <w:tr w14:paraId="5F8000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 w:type="pct"/>
                  <w:vMerge w:val="continue"/>
                  <w:tcBorders>
                    <w:tl2br w:val="nil"/>
                    <w:tr2bl w:val="nil"/>
                  </w:tcBorders>
                  <w:noWrap w:val="0"/>
                  <w:vAlign w:val="center"/>
                </w:tcPr>
                <w:p w14:paraId="4F83CB9A">
                  <w:pPr>
                    <w:pStyle w:val="34"/>
                    <w:bidi w:val="0"/>
                    <w:rPr>
                      <w:color w:val="auto"/>
                      <w:highlight w:val="none"/>
                    </w:rPr>
                  </w:pPr>
                </w:p>
              </w:tc>
              <w:tc>
                <w:tcPr>
                  <w:tcW w:w="370" w:type="pct"/>
                  <w:vMerge w:val="continue"/>
                  <w:tcBorders>
                    <w:tl2br w:val="nil"/>
                    <w:tr2bl w:val="nil"/>
                  </w:tcBorders>
                  <w:noWrap w:val="0"/>
                  <w:vAlign w:val="center"/>
                </w:tcPr>
                <w:p w14:paraId="46E70700">
                  <w:pPr>
                    <w:pStyle w:val="34"/>
                    <w:bidi w:val="0"/>
                    <w:rPr>
                      <w:color w:val="auto"/>
                      <w:highlight w:val="none"/>
                    </w:rPr>
                  </w:pPr>
                </w:p>
              </w:tc>
              <w:tc>
                <w:tcPr>
                  <w:tcW w:w="364" w:type="pct"/>
                  <w:vMerge w:val="continue"/>
                  <w:tcBorders>
                    <w:tl2br w:val="nil"/>
                    <w:tr2bl w:val="nil"/>
                  </w:tcBorders>
                  <w:noWrap w:val="0"/>
                  <w:vAlign w:val="center"/>
                </w:tcPr>
                <w:p w14:paraId="102C24E0">
                  <w:pPr>
                    <w:pStyle w:val="34"/>
                    <w:bidi w:val="0"/>
                    <w:rPr>
                      <w:color w:val="auto"/>
                      <w:highlight w:val="none"/>
                    </w:rPr>
                  </w:pPr>
                </w:p>
              </w:tc>
              <w:tc>
                <w:tcPr>
                  <w:tcW w:w="316" w:type="pct"/>
                  <w:tcBorders>
                    <w:tl2br w:val="nil"/>
                    <w:tr2bl w:val="nil"/>
                  </w:tcBorders>
                  <w:noWrap w:val="0"/>
                  <w:vAlign w:val="center"/>
                </w:tcPr>
                <w:p w14:paraId="3B07426D">
                  <w:pPr>
                    <w:pStyle w:val="34"/>
                    <w:bidi w:val="0"/>
                    <w:rPr>
                      <w:color w:val="auto"/>
                      <w:highlight w:val="none"/>
                    </w:rPr>
                  </w:pPr>
                  <w:r>
                    <w:rPr>
                      <w:color w:val="auto"/>
                      <w:highlight w:val="none"/>
                    </w:rPr>
                    <w:t>核算方法</w:t>
                  </w:r>
                </w:p>
              </w:tc>
              <w:tc>
                <w:tcPr>
                  <w:tcW w:w="316" w:type="pct"/>
                  <w:tcBorders>
                    <w:tl2br w:val="nil"/>
                    <w:tr2bl w:val="nil"/>
                  </w:tcBorders>
                  <w:noWrap w:val="0"/>
                  <w:vAlign w:val="center"/>
                </w:tcPr>
                <w:p w14:paraId="7A7FB574">
                  <w:pPr>
                    <w:pStyle w:val="34"/>
                    <w:bidi w:val="0"/>
                    <w:rPr>
                      <w:color w:val="auto"/>
                      <w:highlight w:val="none"/>
                    </w:rPr>
                  </w:pPr>
                  <w:r>
                    <w:rPr>
                      <w:color w:val="auto"/>
                      <w:highlight w:val="none"/>
                    </w:rPr>
                    <w:t>废气量</w:t>
                  </w:r>
                </w:p>
                <w:p w14:paraId="13800BE0">
                  <w:pPr>
                    <w:pStyle w:val="34"/>
                    <w:bidi w:val="0"/>
                    <w:rPr>
                      <w:rFonts w:hint="eastAsia" w:eastAsia="宋体"/>
                      <w:color w:val="auto"/>
                      <w:highlight w:val="none"/>
                      <w:lang w:eastAsia="zh-CN"/>
                    </w:rPr>
                  </w:pPr>
                  <w:r>
                    <w:rPr>
                      <w:rFonts w:hint="eastAsia"/>
                      <w:color w:val="auto"/>
                      <w:highlight w:val="none"/>
                      <w:lang w:eastAsia="zh-CN"/>
                    </w:rPr>
                    <w:t>（</w:t>
                  </w:r>
                  <w:r>
                    <w:rPr>
                      <w:rFonts w:hint="eastAsia"/>
                      <w:color w:val="auto"/>
                      <w:highlight w:val="none"/>
                      <w:lang w:val="en-US" w:eastAsia="zh-CN"/>
                    </w:rPr>
                    <w:t>m</w:t>
                  </w:r>
                  <w:r>
                    <w:rPr>
                      <w:rFonts w:hint="eastAsia"/>
                      <w:color w:val="auto"/>
                      <w:highlight w:val="none"/>
                      <w:vertAlign w:val="superscript"/>
                      <w:lang w:val="en-US" w:eastAsia="zh-CN"/>
                    </w:rPr>
                    <w:t>3</w:t>
                  </w:r>
                  <w:r>
                    <w:rPr>
                      <w:color w:val="auto"/>
                      <w:highlight w:val="none"/>
                    </w:rPr>
                    <w:t>/h</w:t>
                  </w:r>
                  <w:r>
                    <w:rPr>
                      <w:rFonts w:hint="eastAsia"/>
                      <w:color w:val="auto"/>
                      <w:highlight w:val="none"/>
                      <w:lang w:eastAsia="zh-CN"/>
                    </w:rPr>
                    <w:t>）</w:t>
                  </w:r>
                </w:p>
              </w:tc>
              <w:tc>
                <w:tcPr>
                  <w:tcW w:w="316" w:type="pct"/>
                  <w:tcBorders>
                    <w:tl2br w:val="nil"/>
                    <w:tr2bl w:val="nil"/>
                  </w:tcBorders>
                  <w:noWrap w:val="0"/>
                  <w:vAlign w:val="center"/>
                </w:tcPr>
                <w:p w14:paraId="627AF9B4">
                  <w:pPr>
                    <w:pStyle w:val="34"/>
                    <w:bidi w:val="0"/>
                    <w:rPr>
                      <w:color w:val="auto"/>
                      <w:highlight w:val="none"/>
                    </w:rPr>
                  </w:pPr>
                  <w:r>
                    <w:rPr>
                      <w:color w:val="auto"/>
                      <w:highlight w:val="none"/>
                    </w:rPr>
                    <w:t>产生浓度</w:t>
                  </w:r>
                </w:p>
                <w:p w14:paraId="04B4BD72">
                  <w:pPr>
                    <w:pStyle w:val="34"/>
                    <w:bidi w:val="0"/>
                    <w:rPr>
                      <w:color w:val="auto"/>
                      <w:highlight w:val="none"/>
                    </w:rPr>
                  </w:pPr>
                  <w:r>
                    <w:rPr>
                      <w:color w:val="auto"/>
                      <w:highlight w:val="none"/>
                    </w:rPr>
                    <w:t>（mg/</w:t>
                  </w:r>
                  <w:r>
                    <w:rPr>
                      <w:rFonts w:hint="eastAsia"/>
                      <w:color w:val="auto"/>
                      <w:highlight w:val="none"/>
                      <w:lang w:val="en-US" w:eastAsia="zh-CN"/>
                    </w:rPr>
                    <w:t>m</w:t>
                  </w:r>
                  <w:r>
                    <w:rPr>
                      <w:rFonts w:hint="eastAsia"/>
                      <w:color w:val="auto"/>
                      <w:highlight w:val="none"/>
                      <w:vertAlign w:val="superscript"/>
                      <w:lang w:val="en-US" w:eastAsia="zh-CN"/>
                    </w:rPr>
                    <w:t>3</w:t>
                  </w:r>
                  <w:r>
                    <w:rPr>
                      <w:color w:val="auto"/>
                      <w:highlight w:val="none"/>
                    </w:rPr>
                    <w:t>）</w:t>
                  </w:r>
                </w:p>
              </w:tc>
              <w:tc>
                <w:tcPr>
                  <w:tcW w:w="316" w:type="pct"/>
                  <w:tcBorders>
                    <w:tl2br w:val="nil"/>
                    <w:tr2bl w:val="nil"/>
                  </w:tcBorders>
                  <w:noWrap w:val="0"/>
                  <w:vAlign w:val="center"/>
                </w:tcPr>
                <w:p w14:paraId="2B8A7439">
                  <w:pPr>
                    <w:pStyle w:val="34"/>
                    <w:bidi w:val="0"/>
                    <w:rPr>
                      <w:rFonts w:hint="eastAsia"/>
                      <w:color w:val="auto"/>
                      <w:highlight w:val="none"/>
                      <w:lang w:eastAsia="zh-CN"/>
                    </w:rPr>
                  </w:pPr>
                  <w:r>
                    <w:rPr>
                      <w:color w:val="auto"/>
                      <w:highlight w:val="none"/>
                    </w:rPr>
                    <w:t>产生</w:t>
                  </w:r>
                  <w:r>
                    <w:rPr>
                      <w:rFonts w:hint="eastAsia"/>
                      <w:color w:val="auto"/>
                      <w:highlight w:val="none"/>
                      <w:lang w:val="en-US" w:eastAsia="zh-CN"/>
                    </w:rPr>
                    <w:t>速率</w:t>
                  </w:r>
                </w:p>
                <w:p w14:paraId="22D1F8FD">
                  <w:pPr>
                    <w:pStyle w:val="34"/>
                    <w:bidi w:val="0"/>
                    <w:rPr>
                      <w:rFonts w:hint="eastAsia" w:eastAsia="宋体"/>
                      <w:color w:val="auto"/>
                      <w:highlight w:val="none"/>
                      <w:lang w:eastAsia="zh-CN"/>
                    </w:rPr>
                  </w:pPr>
                  <w:r>
                    <w:rPr>
                      <w:rFonts w:hint="eastAsia"/>
                      <w:color w:val="auto"/>
                      <w:highlight w:val="none"/>
                      <w:lang w:eastAsia="zh-CN"/>
                    </w:rPr>
                    <w:t>（</w:t>
                  </w:r>
                  <w:r>
                    <w:rPr>
                      <w:color w:val="auto"/>
                      <w:highlight w:val="none"/>
                    </w:rPr>
                    <w:t>kg/h</w:t>
                  </w:r>
                  <w:r>
                    <w:rPr>
                      <w:rFonts w:hint="eastAsia"/>
                      <w:color w:val="auto"/>
                      <w:highlight w:val="none"/>
                      <w:lang w:eastAsia="zh-CN"/>
                    </w:rPr>
                    <w:t>）</w:t>
                  </w:r>
                </w:p>
              </w:tc>
              <w:tc>
                <w:tcPr>
                  <w:tcW w:w="316" w:type="pct"/>
                  <w:tcBorders>
                    <w:tl2br w:val="nil"/>
                    <w:tr2bl w:val="nil"/>
                  </w:tcBorders>
                  <w:noWrap w:val="0"/>
                  <w:vAlign w:val="center"/>
                </w:tcPr>
                <w:p w14:paraId="11555D8A">
                  <w:pPr>
                    <w:pStyle w:val="34"/>
                    <w:bidi w:val="0"/>
                    <w:rPr>
                      <w:rFonts w:hint="eastAsia"/>
                      <w:color w:val="auto"/>
                      <w:highlight w:val="none"/>
                      <w:lang w:val="en-US" w:eastAsia="zh-CN"/>
                    </w:rPr>
                  </w:pPr>
                  <w:r>
                    <w:rPr>
                      <w:rFonts w:hint="eastAsia"/>
                      <w:color w:val="auto"/>
                      <w:highlight w:val="none"/>
                      <w:lang w:val="en-US" w:eastAsia="zh-CN"/>
                    </w:rPr>
                    <w:t>产生量</w:t>
                  </w:r>
                </w:p>
                <w:p w14:paraId="5EC08CEA">
                  <w:pPr>
                    <w:pStyle w:val="34"/>
                    <w:bidi w:val="0"/>
                    <w:rPr>
                      <w:rFonts w:hint="eastAsia"/>
                      <w:color w:val="auto"/>
                      <w:highlight w:val="none"/>
                      <w:lang w:val="en-US" w:eastAsia="zh-CN"/>
                    </w:rPr>
                  </w:pPr>
                  <w:r>
                    <w:rPr>
                      <w:rFonts w:hint="eastAsia"/>
                      <w:color w:val="auto"/>
                      <w:highlight w:val="none"/>
                      <w:lang w:val="en-US" w:eastAsia="zh-CN"/>
                    </w:rPr>
                    <w:t>（t/a）</w:t>
                  </w:r>
                </w:p>
              </w:tc>
              <w:tc>
                <w:tcPr>
                  <w:tcW w:w="363" w:type="pct"/>
                  <w:tcBorders>
                    <w:tl2br w:val="nil"/>
                    <w:tr2bl w:val="nil"/>
                  </w:tcBorders>
                  <w:noWrap w:val="0"/>
                  <w:vAlign w:val="center"/>
                </w:tcPr>
                <w:p w14:paraId="58F7A70C">
                  <w:pPr>
                    <w:pStyle w:val="34"/>
                    <w:bidi w:val="0"/>
                    <w:rPr>
                      <w:color w:val="auto"/>
                      <w:highlight w:val="none"/>
                    </w:rPr>
                  </w:pPr>
                  <w:r>
                    <w:rPr>
                      <w:color w:val="auto"/>
                      <w:highlight w:val="none"/>
                    </w:rPr>
                    <w:t>工艺</w:t>
                  </w:r>
                </w:p>
              </w:tc>
              <w:tc>
                <w:tcPr>
                  <w:tcW w:w="269" w:type="pct"/>
                  <w:tcBorders>
                    <w:tl2br w:val="nil"/>
                    <w:tr2bl w:val="nil"/>
                  </w:tcBorders>
                  <w:noWrap w:val="0"/>
                  <w:vAlign w:val="center"/>
                </w:tcPr>
                <w:p w14:paraId="1F8E1EB5">
                  <w:pPr>
                    <w:pStyle w:val="34"/>
                    <w:bidi w:val="0"/>
                    <w:rPr>
                      <w:color w:val="auto"/>
                      <w:highlight w:val="none"/>
                    </w:rPr>
                  </w:pPr>
                  <w:r>
                    <w:rPr>
                      <w:color w:val="auto"/>
                      <w:highlight w:val="none"/>
                    </w:rPr>
                    <w:t>效率</w:t>
                  </w:r>
                </w:p>
                <w:p w14:paraId="00EC046C">
                  <w:pPr>
                    <w:pStyle w:val="34"/>
                    <w:bidi w:val="0"/>
                    <w:rPr>
                      <w:color w:val="auto"/>
                      <w:highlight w:val="none"/>
                    </w:rPr>
                  </w:pPr>
                  <w:r>
                    <w:rPr>
                      <w:color w:val="auto"/>
                      <w:highlight w:val="none"/>
                    </w:rPr>
                    <w:t>（%）</w:t>
                  </w:r>
                </w:p>
              </w:tc>
              <w:tc>
                <w:tcPr>
                  <w:tcW w:w="316" w:type="pct"/>
                  <w:tcBorders>
                    <w:tl2br w:val="nil"/>
                    <w:tr2bl w:val="nil"/>
                  </w:tcBorders>
                  <w:noWrap w:val="0"/>
                  <w:vAlign w:val="center"/>
                </w:tcPr>
                <w:p w14:paraId="7FFFEC24">
                  <w:pPr>
                    <w:pStyle w:val="34"/>
                    <w:bidi w:val="0"/>
                    <w:rPr>
                      <w:color w:val="auto"/>
                      <w:highlight w:val="none"/>
                    </w:rPr>
                  </w:pPr>
                  <w:r>
                    <w:rPr>
                      <w:color w:val="auto"/>
                      <w:highlight w:val="none"/>
                    </w:rPr>
                    <w:t>核算方法</w:t>
                  </w:r>
                </w:p>
              </w:tc>
              <w:tc>
                <w:tcPr>
                  <w:tcW w:w="316" w:type="pct"/>
                  <w:tcBorders>
                    <w:tl2br w:val="nil"/>
                    <w:tr2bl w:val="nil"/>
                  </w:tcBorders>
                  <w:noWrap w:val="0"/>
                  <w:vAlign w:val="center"/>
                </w:tcPr>
                <w:p w14:paraId="1CB7C8C9">
                  <w:pPr>
                    <w:pStyle w:val="34"/>
                    <w:bidi w:val="0"/>
                    <w:rPr>
                      <w:color w:val="auto"/>
                      <w:highlight w:val="none"/>
                    </w:rPr>
                  </w:pPr>
                  <w:r>
                    <w:rPr>
                      <w:color w:val="auto"/>
                      <w:highlight w:val="none"/>
                    </w:rPr>
                    <w:t>废气量</w:t>
                  </w:r>
                </w:p>
                <w:p w14:paraId="3D8C8F58">
                  <w:pPr>
                    <w:pStyle w:val="34"/>
                    <w:bidi w:val="0"/>
                    <w:rPr>
                      <w:rFonts w:hint="eastAsia" w:eastAsia="宋体"/>
                      <w:color w:val="auto"/>
                      <w:highlight w:val="none"/>
                      <w:lang w:eastAsia="zh-CN"/>
                    </w:rPr>
                  </w:pPr>
                  <w:r>
                    <w:rPr>
                      <w:rFonts w:hint="eastAsia"/>
                      <w:color w:val="auto"/>
                      <w:highlight w:val="none"/>
                      <w:lang w:eastAsia="zh-CN"/>
                    </w:rPr>
                    <w:t>（3</w:t>
                  </w:r>
                  <w:r>
                    <w:rPr>
                      <w:color w:val="auto"/>
                      <w:highlight w:val="none"/>
                    </w:rPr>
                    <w:t>/h</w:t>
                  </w:r>
                  <w:r>
                    <w:rPr>
                      <w:rFonts w:hint="eastAsia"/>
                      <w:color w:val="auto"/>
                      <w:highlight w:val="none"/>
                      <w:lang w:eastAsia="zh-CN"/>
                    </w:rPr>
                    <w:t>）</w:t>
                  </w:r>
                </w:p>
              </w:tc>
              <w:tc>
                <w:tcPr>
                  <w:tcW w:w="316" w:type="pct"/>
                  <w:tcBorders>
                    <w:tl2br w:val="nil"/>
                    <w:tr2bl w:val="nil"/>
                  </w:tcBorders>
                  <w:noWrap w:val="0"/>
                  <w:vAlign w:val="center"/>
                </w:tcPr>
                <w:p w14:paraId="73A5A375">
                  <w:pPr>
                    <w:pStyle w:val="34"/>
                    <w:bidi w:val="0"/>
                    <w:rPr>
                      <w:color w:val="auto"/>
                      <w:highlight w:val="none"/>
                    </w:rPr>
                  </w:pPr>
                  <w:r>
                    <w:rPr>
                      <w:color w:val="auto"/>
                      <w:highlight w:val="none"/>
                    </w:rPr>
                    <w:t>排放浓度</w:t>
                  </w:r>
                </w:p>
                <w:p w14:paraId="13BF96FF">
                  <w:pPr>
                    <w:pStyle w:val="34"/>
                    <w:bidi w:val="0"/>
                    <w:rPr>
                      <w:rFonts w:hint="eastAsia" w:eastAsia="宋体"/>
                      <w:color w:val="auto"/>
                      <w:highlight w:val="none"/>
                      <w:lang w:eastAsia="zh-CN"/>
                    </w:rPr>
                  </w:pPr>
                  <w:r>
                    <w:rPr>
                      <w:rFonts w:hint="eastAsia"/>
                      <w:color w:val="auto"/>
                      <w:highlight w:val="none"/>
                      <w:lang w:eastAsia="zh-CN"/>
                    </w:rPr>
                    <w:t>（</w:t>
                  </w:r>
                  <w:r>
                    <w:rPr>
                      <w:color w:val="auto"/>
                      <w:highlight w:val="none"/>
                    </w:rPr>
                    <w:t>mg/</w:t>
                  </w:r>
                  <w:r>
                    <w:rPr>
                      <w:rFonts w:hint="eastAsia"/>
                      <w:color w:val="auto"/>
                      <w:highlight w:val="none"/>
                      <w:lang w:val="en-US" w:eastAsia="zh-CN"/>
                    </w:rPr>
                    <w:t>m</w:t>
                  </w:r>
                  <w:r>
                    <w:rPr>
                      <w:rFonts w:hint="eastAsia"/>
                      <w:color w:val="auto"/>
                      <w:highlight w:val="none"/>
                      <w:vertAlign w:val="superscript"/>
                      <w:lang w:val="en-US" w:eastAsia="zh-CN"/>
                    </w:rPr>
                    <w:t>3</w:t>
                  </w:r>
                  <w:r>
                    <w:rPr>
                      <w:rFonts w:hint="eastAsia"/>
                      <w:color w:val="auto"/>
                      <w:highlight w:val="none"/>
                      <w:lang w:eastAsia="zh-CN"/>
                    </w:rPr>
                    <w:t>）</w:t>
                  </w:r>
                </w:p>
              </w:tc>
              <w:tc>
                <w:tcPr>
                  <w:tcW w:w="316" w:type="pct"/>
                  <w:tcBorders>
                    <w:tl2br w:val="nil"/>
                    <w:tr2bl w:val="nil"/>
                  </w:tcBorders>
                  <w:noWrap w:val="0"/>
                  <w:vAlign w:val="center"/>
                </w:tcPr>
                <w:p w14:paraId="00B65EDF">
                  <w:pPr>
                    <w:pStyle w:val="34"/>
                    <w:bidi w:val="0"/>
                    <w:rPr>
                      <w:rFonts w:hint="eastAsia" w:eastAsia="宋体"/>
                      <w:color w:val="auto"/>
                      <w:highlight w:val="none"/>
                      <w:lang w:eastAsia="zh-CN"/>
                    </w:rPr>
                  </w:pPr>
                  <w:r>
                    <w:rPr>
                      <w:rFonts w:hint="eastAsia"/>
                      <w:color w:val="auto"/>
                      <w:highlight w:val="none"/>
                      <w:lang w:val="en-US" w:eastAsia="zh-CN"/>
                    </w:rPr>
                    <w:t>排放速率</w:t>
                  </w:r>
                  <w:r>
                    <w:rPr>
                      <w:rFonts w:hint="eastAsia"/>
                      <w:color w:val="auto"/>
                      <w:highlight w:val="none"/>
                      <w:lang w:eastAsia="zh-CN"/>
                    </w:rPr>
                    <w:t>（</w:t>
                  </w:r>
                  <w:r>
                    <w:rPr>
                      <w:color w:val="auto"/>
                      <w:highlight w:val="none"/>
                    </w:rPr>
                    <w:t>kg/h</w:t>
                  </w:r>
                  <w:r>
                    <w:rPr>
                      <w:rFonts w:hint="eastAsia"/>
                      <w:color w:val="auto"/>
                      <w:highlight w:val="none"/>
                      <w:lang w:eastAsia="zh-CN"/>
                    </w:rPr>
                    <w:t>）</w:t>
                  </w:r>
                </w:p>
              </w:tc>
              <w:tc>
                <w:tcPr>
                  <w:tcW w:w="324" w:type="pct"/>
                  <w:tcBorders>
                    <w:tl2br w:val="nil"/>
                    <w:tr2bl w:val="nil"/>
                  </w:tcBorders>
                  <w:noWrap w:val="0"/>
                  <w:vAlign w:val="center"/>
                </w:tcPr>
                <w:p w14:paraId="168FA14C">
                  <w:pPr>
                    <w:pStyle w:val="34"/>
                    <w:bidi w:val="0"/>
                    <w:rPr>
                      <w:color w:val="auto"/>
                      <w:highlight w:val="none"/>
                    </w:rPr>
                  </w:pPr>
                  <w:r>
                    <w:rPr>
                      <w:color w:val="auto"/>
                      <w:highlight w:val="none"/>
                    </w:rPr>
                    <w:t>排放量</w:t>
                  </w:r>
                </w:p>
                <w:p w14:paraId="26512C36">
                  <w:pPr>
                    <w:pStyle w:val="34"/>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t/a</w:t>
                  </w:r>
                  <w:r>
                    <w:rPr>
                      <w:rFonts w:hint="eastAsia"/>
                      <w:color w:val="auto"/>
                      <w:highlight w:val="none"/>
                      <w:lang w:eastAsia="zh-CN"/>
                    </w:rPr>
                    <w:t>）</w:t>
                  </w:r>
                </w:p>
              </w:tc>
              <w:tc>
                <w:tcPr>
                  <w:tcW w:w="292" w:type="pct"/>
                  <w:vMerge w:val="continue"/>
                  <w:tcBorders>
                    <w:tl2br w:val="nil"/>
                    <w:tr2bl w:val="nil"/>
                  </w:tcBorders>
                  <w:noWrap w:val="0"/>
                  <w:vAlign w:val="center"/>
                </w:tcPr>
                <w:p w14:paraId="676952F0">
                  <w:pPr>
                    <w:pStyle w:val="34"/>
                    <w:bidi w:val="0"/>
                    <w:rPr>
                      <w:color w:val="auto"/>
                      <w:highlight w:val="none"/>
                    </w:rPr>
                  </w:pPr>
                </w:p>
              </w:tc>
            </w:tr>
            <w:tr w14:paraId="60DB0F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 w:type="pct"/>
                  <w:vMerge w:val="restart"/>
                  <w:tcBorders>
                    <w:tl2br w:val="nil"/>
                    <w:tr2bl w:val="nil"/>
                  </w:tcBorders>
                  <w:noWrap w:val="0"/>
                  <w:vAlign w:val="center"/>
                </w:tcPr>
                <w:p w14:paraId="4D8E0E3F">
                  <w:pPr>
                    <w:pStyle w:val="34"/>
                    <w:bidi w:val="0"/>
                    <w:rPr>
                      <w:rFonts w:hint="eastAsia"/>
                      <w:color w:val="auto"/>
                      <w:highlight w:val="none"/>
                      <w:lang w:val="en-US" w:eastAsia="zh-CN"/>
                    </w:rPr>
                  </w:pPr>
                  <w:r>
                    <w:rPr>
                      <w:rFonts w:hint="eastAsia"/>
                      <w:color w:val="auto"/>
                      <w:highlight w:val="none"/>
                      <w:lang w:val="en-US" w:eastAsia="zh-CN"/>
                    </w:rPr>
                    <w:t>无组织</w:t>
                  </w:r>
                </w:p>
              </w:tc>
              <w:tc>
                <w:tcPr>
                  <w:tcW w:w="370" w:type="pct"/>
                  <w:tcBorders>
                    <w:tl2br w:val="nil"/>
                    <w:tr2bl w:val="nil"/>
                  </w:tcBorders>
                  <w:noWrap w:val="0"/>
                  <w:vAlign w:val="center"/>
                </w:tcPr>
                <w:p w14:paraId="3BECE752">
                  <w:pPr>
                    <w:pStyle w:val="34"/>
                    <w:bidi w:val="0"/>
                    <w:rPr>
                      <w:color w:val="auto"/>
                      <w:highlight w:val="none"/>
                    </w:rPr>
                  </w:pPr>
                  <w:r>
                    <w:rPr>
                      <w:rFonts w:hint="eastAsia"/>
                      <w:color w:val="auto"/>
                      <w:highlight w:val="none"/>
                      <w:lang w:val="en-US" w:eastAsia="zh-CN"/>
                    </w:rPr>
                    <w:t>石子和砂子卸料及</w:t>
                  </w:r>
                  <w:r>
                    <w:rPr>
                      <w:rFonts w:hint="eastAsia"/>
                      <w:color w:val="auto"/>
                      <w:highlight w:val="none"/>
                      <w:lang w:val="en-US" w:eastAsia="zh-CN"/>
                    </w:rPr>
                    <w:t>贮存</w:t>
                  </w:r>
                  <w:r>
                    <w:rPr>
                      <w:rFonts w:hint="eastAsia"/>
                      <w:color w:val="auto"/>
                      <w:highlight w:val="none"/>
                      <w:lang w:val="en-US" w:eastAsia="zh-CN"/>
                    </w:rPr>
                    <w:t>粉尘</w:t>
                  </w:r>
                </w:p>
              </w:tc>
              <w:tc>
                <w:tcPr>
                  <w:tcW w:w="364" w:type="pct"/>
                  <w:tcBorders>
                    <w:tl2br w:val="nil"/>
                    <w:tr2bl w:val="nil"/>
                  </w:tcBorders>
                  <w:noWrap w:val="0"/>
                  <w:vAlign w:val="center"/>
                </w:tcPr>
                <w:p w14:paraId="52AABB76">
                  <w:pPr>
                    <w:pStyle w:val="34"/>
                    <w:bidi w:val="0"/>
                    <w:rPr>
                      <w:color w:val="auto"/>
                      <w:highlight w:val="none"/>
                    </w:rPr>
                  </w:pPr>
                  <w:r>
                    <w:rPr>
                      <w:rFonts w:hint="eastAsia"/>
                      <w:color w:val="auto"/>
                      <w:highlight w:val="none"/>
                      <w:lang w:val="en-US" w:eastAsia="zh-CN"/>
                    </w:rPr>
                    <w:t>颗粒物</w:t>
                  </w:r>
                </w:p>
              </w:tc>
              <w:tc>
                <w:tcPr>
                  <w:tcW w:w="316" w:type="pct"/>
                  <w:tcBorders>
                    <w:tl2br w:val="nil"/>
                    <w:tr2bl w:val="nil"/>
                  </w:tcBorders>
                  <w:noWrap w:val="0"/>
                  <w:vAlign w:val="center"/>
                </w:tcPr>
                <w:p w14:paraId="5A9DC5C3">
                  <w:pPr>
                    <w:pStyle w:val="34"/>
                    <w:bidi w:val="0"/>
                    <w:rPr>
                      <w:color w:val="auto"/>
                      <w:highlight w:val="none"/>
                    </w:rPr>
                  </w:pPr>
                  <w:r>
                    <w:rPr>
                      <w:rFonts w:hint="eastAsia"/>
                      <w:color w:val="auto"/>
                      <w:highlight w:val="none"/>
                      <w:lang w:val="en-US" w:eastAsia="zh-CN"/>
                    </w:rPr>
                    <w:t>系数法</w:t>
                  </w:r>
                </w:p>
              </w:tc>
              <w:tc>
                <w:tcPr>
                  <w:tcW w:w="316" w:type="pct"/>
                  <w:tcBorders>
                    <w:tl2br w:val="nil"/>
                    <w:tr2bl w:val="nil"/>
                  </w:tcBorders>
                  <w:noWrap w:val="0"/>
                  <w:vAlign w:val="center"/>
                </w:tcPr>
                <w:p w14:paraId="6383CC47">
                  <w:pPr>
                    <w:pStyle w:val="34"/>
                    <w:bidi w:val="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0E7413B4">
                  <w:pPr>
                    <w:pStyle w:val="34"/>
                    <w:bidi w:val="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67047733">
                  <w:pPr>
                    <w:pStyle w:val="34"/>
                    <w:bidi w:val="0"/>
                    <w:rPr>
                      <w:rFonts w:hint="default" w:eastAsia="宋体"/>
                      <w:color w:val="auto"/>
                      <w:highlight w:val="none"/>
                      <w:lang w:val="en-US" w:eastAsia="zh-CN"/>
                    </w:rPr>
                  </w:pPr>
                  <w:r>
                    <w:rPr>
                      <w:rFonts w:hint="eastAsia"/>
                      <w:color w:val="auto"/>
                      <w:highlight w:val="none"/>
                      <w:lang w:val="en-US" w:eastAsia="zh-CN"/>
                    </w:rPr>
                    <w:t>3.95</w:t>
                  </w:r>
                </w:p>
              </w:tc>
              <w:tc>
                <w:tcPr>
                  <w:tcW w:w="316" w:type="pct"/>
                  <w:tcBorders>
                    <w:tl2br w:val="nil"/>
                    <w:tr2bl w:val="nil"/>
                  </w:tcBorders>
                  <w:noWrap w:val="0"/>
                  <w:vAlign w:val="center"/>
                </w:tcPr>
                <w:p w14:paraId="120574AC">
                  <w:pPr>
                    <w:pStyle w:val="34"/>
                    <w:bidi w:val="0"/>
                    <w:rPr>
                      <w:rFonts w:hint="default" w:eastAsia="宋体"/>
                      <w:color w:val="auto"/>
                      <w:highlight w:val="none"/>
                      <w:lang w:val="en-US" w:eastAsia="zh-CN"/>
                    </w:rPr>
                  </w:pPr>
                  <w:r>
                    <w:rPr>
                      <w:rFonts w:hint="eastAsia"/>
                      <w:color w:val="auto"/>
                      <w:highlight w:val="none"/>
                      <w:lang w:val="en-US" w:eastAsia="zh-CN"/>
                    </w:rPr>
                    <w:t>17.06</w:t>
                  </w:r>
                </w:p>
              </w:tc>
              <w:tc>
                <w:tcPr>
                  <w:tcW w:w="363" w:type="pct"/>
                  <w:tcBorders>
                    <w:tl2br w:val="nil"/>
                    <w:tr2bl w:val="nil"/>
                  </w:tcBorders>
                  <w:noWrap w:val="0"/>
                  <w:vAlign w:val="center"/>
                </w:tcPr>
                <w:p w14:paraId="44FEB3E1">
                  <w:pPr>
                    <w:pStyle w:val="34"/>
                    <w:bidi w:val="0"/>
                    <w:rPr>
                      <w:color w:val="auto"/>
                      <w:highlight w:val="none"/>
                    </w:rPr>
                  </w:pPr>
                  <w:r>
                    <w:rPr>
                      <w:rFonts w:hint="eastAsia"/>
                      <w:color w:val="auto"/>
                      <w:highlight w:val="none"/>
                      <w:lang w:val="en-US" w:eastAsia="zh-CN"/>
                    </w:rPr>
                    <w:t>防风抑尘网+洒水抑尘</w:t>
                  </w:r>
                </w:p>
              </w:tc>
              <w:tc>
                <w:tcPr>
                  <w:tcW w:w="269" w:type="pct"/>
                  <w:tcBorders>
                    <w:tl2br w:val="nil"/>
                    <w:tr2bl w:val="nil"/>
                  </w:tcBorders>
                  <w:noWrap w:val="0"/>
                  <w:vAlign w:val="center"/>
                </w:tcPr>
                <w:p w14:paraId="1D0B7814">
                  <w:pPr>
                    <w:pStyle w:val="34"/>
                    <w:bidi w:val="0"/>
                    <w:rPr>
                      <w:rFonts w:hint="default" w:eastAsia="宋体"/>
                      <w:color w:val="auto"/>
                      <w:highlight w:val="none"/>
                      <w:lang w:val="en-US" w:eastAsia="zh-CN"/>
                    </w:rPr>
                  </w:pPr>
                  <w:r>
                    <w:rPr>
                      <w:rFonts w:hint="eastAsia"/>
                      <w:color w:val="auto"/>
                      <w:highlight w:val="none"/>
                      <w:lang w:val="en-US" w:eastAsia="zh-CN"/>
                    </w:rPr>
                    <w:t>89.6</w:t>
                  </w:r>
                </w:p>
              </w:tc>
              <w:tc>
                <w:tcPr>
                  <w:tcW w:w="316" w:type="pct"/>
                  <w:tcBorders>
                    <w:tl2br w:val="nil"/>
                    <w:tr2bl w:val="nil"/>
                  </w:tcBorders>
                  <w:noWrap w:val="0"/>
                  <w:vAlign w:val="center"/>
                </w:tcPr>
                <w:p w14:paraId="6931E23C">
                  <w:pPr>
                    <w:pStyle w:val="34"/>
                    <w:bidi w:val="0"/>
                    <w:ind w:firstLine="0" w:firstLineChars="0"/>
                    <w:rPr>
                      <w:color w:val="auto"/>
                      <w:highlight w:val="none"/>
                    </w:rPr>
                  </w:pPr>
                  <w:r>
                    <w:rPr>
                      <w:rFonts w:hint="eastAsia"/>
                      <w:color w:val="auto"/>
                      <w:highlight w:val="none"/>
                      <w:lang w:val="en-US" w:eastAsia="zh-CN"/>
                    </w:rPr>
                    <w:t>系数法</w:t>
                  </w:r>
                </w:p>
              </w:tc>
              <w:tc>
                <w:tcPr>
                  <w:tcW w:w="316" w:type="pct"/>
                  <w:tcBorders>
                    <w:tl2br w:val="nil"/>
                    <w:tr2bl w:val="nil"/>
                  </w:tcBorders>
                  <w:noWrap w:val="0"/>
                  <w:vAlign w:val="center"/>
                </w:tcPr>
                <w:p w14:paraId="614C52B6">
                  <w:pPr>
                    <w:pStyle w:val="34"/>
                    <w:bidi w:val="0"/>
                    <w:ind w:firstLine="0" w:firstLineChars="0"/>
                    <w:rPr>
                      <w:color w:val="auto"/>
                      <w:highlight w:val="none"/>
                    </w:rPr>
                  </w:pPr>
                  <w:r>
                    <w:rPr>
                      <w:rFonts w:hint="eastAsia"/>
                      <w:color w:val="auto"/>
                      <w:highlight w:val="none"/>
                      <w:lang w:val="en-US" w:eastAsia="zh-CN"/>
                    </w:rPr>
                    <w:t>/</w:t>
                  </w:r>
                </w:p>
              </w:tc>
              <w:tc>
                <w:tcPr>
                  <w:tcW w:w="316" w:type="pct"/>
                  <w:tcBorders>
                    <w:tl2br w:val="nil"/>
                    <w:tr2bl w:val="nil"/>
                  </w:tcBorders>
                  <w:noWrap w:val="0"/>
                  <w:vAlign w:val="center"/>
                </w:tcPr>
                <w:p w14:paraId="1CD57F44">
                  <w:pPr>
                    <w:pStyle w:val="34"/>
                    <w:bidi w:val="0"/>
                    <w:ind w:firstLine="0" w:firstLineChars="0"/>
                    <w:rPr>
                      <w:color w:val="auto"/>
                      <w:highlight w:val="none"/>
                    </w:rPr>
                  </w:pPr>
                  <w:r>
                    <w:rPr>
                      <w:rFonts w:hint="eastAsia"/>
                      <w:color w:val="auto"/>
                      <w:highlight w:val="none"/>
                      <w:lang w:val="en-US" w:eastAsia="zh-CN"/>
                    </w:rPr>
                    <w:t>/</w:t>
                  </w:r>
                </w:p>
              </w:tc>
              <w:tc>
                <w:tcPr>
                  <w:tcW w:w="316" w:type="pct"/>
                  <w:tcBorders>
                    <w:tl2br w:val="nil"/>
                    <w:tr2bl w:val="nil"/>
                  </w:tcBorders>
                  <w:noWrap w:val="0"/>
                  <w:vAlign w:val="center"/>
                </w:tcPr>
                <w:p w14:paraId="0801DEC0">
                  <w:pPr>
                    <w:pStyle w:val="34"/>
                    <w:bidi w:val="0"/>
                    <w:rPr>
                      <w:rFonts w:hint="default" w:eastAsia="宋体"/>
                      <w:color w:val="auto"/>
                      <w:highlight w:val="none"/>
                      <w:lang w:val="en-US" w:eastAsia="zh-CN"/>
                    </w:rPr>
                  </w:pPr>
                  <w:r>
                    <w:rPr>
                      <w:rFonts w:hint="eastAsia"/>
                      <w:color w:val="auto"/>
                      <w:highlight w:val="none"/>
                      <w:lang w:val="en-US" w:eastAsia="zh-CN"/>
                    </w:rPr>
                    <w:t>0.41</w:t>
                  </w:r>
                </w:p>
              </w:tc>
              <w:tc>
                <w:tcPr>
                  <w:tcW w:w="324" w:type="pct"/>
                  <w:tcBorders>
                    <w:tl2br w:val="nil"/>
                    <w:tr2bl w:val="nil"/>
                  </w:tcBorders>
                  <w:noWrap w:val="0"/>
                  <w:vAlign w:val="center"/>
                </w:tcPr>
                <w:p w14:paraId="5031B15E">
                  <w:pPr>
                    <w:pStyle w:val="34"/>
                    <w:bidi w:val="0"/>
                    <w:rPr>
                      <w:rFonts w:hint="default" w:eastAsia="宋体"/>
                      <w:color w:val="auto"/>
                      <w:highlight w:val="none"/>
                      <w:lang w:val="en-US" w:eastAsia="zh-CN"/>
                    </w:rPr>
                  </w:pPr>
                  <w:r>
                    <w:rPr>
                      <w:rFonts w:hint="eastAsia"/>
                      <w:color w:val="auto"/>
                      <w:highlight w:val="none"/>
                      <w:lang w:val="en-US" w:eastAsia="zh-CN"/>
                    </w:rPr>
                    <w:t>1.77</w:t>
                  </w:r>
                </w:p>
              </w:tc>
              <w:tc>
                <w:tcPr>
                  <w:tcW w:w="292" w:type="pct"/>
                  <w:tcBorders>
                    <w:tl2br w:val="nil"/>
                    <w:tr2bl w:val="nil"/>
                  </w:tcBorders>
                  <w:noWrap w:val="0"/>
                  <w:vAlign w:val="center"/>
                </w:tcPr>
                <w:p w14:paraId="79EBAAAE">
                  <w:pPr>
                    <w:pStyle w:val="34"/>
                    <w:bidi w:val="0"/>
                    <w:rPr>
                      <w:rFonts w:hint="default" w:eastAsia="宋体"/>
                      <w:color w:val="auto"/>
                      <w:highlight w:val="none"/>
                      <w:lang w:val="en-US" w:eastAsia="zh-CN"/>
                    </w:rPr>
                  </w:pPr>
                  <w:r>
                    <w:rPr>
                      <w:rFonts w:hint="eastAsia"/>
                      <w:color w:val="auto"/>
                      <w:highlight w:val="none"/>
                      <w:lang w:val="en-US" w:eastAsia="zh-CN"/>
                    </w:rPr>
                    <w:t>4320</w:t>
                  </w:r>
                </w:p>
              </w:tc>
            </w:tr>
            <w:tr w14:paraId="157B5D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 w:type="pct"/>
                  <w:vMerge w:val="continue"/>
                  <w:tcBorders>
                    <w:tl2br w:val="nil"/>
                    <w:tr2bl w:val="nil"/>
                  </w:tcBorders>
                  <w:noWrap w:val="0"/>
                  <w:vAlign w:val="center"/>
                </w:tcPr>
                <w:p w14:paraId="1A26EFF6">
                  <w:pPr>
                    <w:pStyle w:val="34"/>
                    <w:bidi w:val="0"/>
                    <w:rPr>
                      <w:rFonts w:hint="eastAsia"/>
                      <w:color w:val="auto"/>
                      <w:highlight w:val="none"/>
                      <w:lang w:val="en-US" w:eastAsia="zh-CN"/>
                    </w:rPr>
                  </w:pPr>
                </w:p>
              </w:tc>
              <w:tc>
                <w:tcPr>
                  <w:tcW w:w="370" w:type="pct"/>
                  <w:tcBorders>
                    <w:tl2br w:val="nil"/>
                    <w:tr2bl w:val="nil"/>
                  </w:tcBorders>
                  <w:noWrap w:val="0"/>
                  <w:vAlign w:val="center"/>
                </w:tcPr>
                <w:p w14:paraId="6913A99F">
                  <w:pPr>
                    <w:pStyle w:val="34"/>
                    <w:bidi w:val="0"/>
                    <w:rPr>
                      <w:rFonts w:hint="eastAsia"/>
                      <w:color w:val="auto"/>
                      <w:highlight w:val="none"/>
                      <w:lang w:val="en-US" w:eastAsia="zh-CN"/>
                    </w:rPr>
                  </w:pPr>
                  <w:r>
                    <w:rPr>
                      <w:rFonts w:hint="eastAsia"/>
                      <w:color w:val="auto"/>
                      <w:highlight w:val="none"/>
                      <w:lang w:val="en-US" w:eastAsia="zh-CN"/>
                    </w:rPr>
                    <w:t>水泥筒仓粉尘</w:t>
                  </w:r>
                </w:p>
              </w:tc>
              <w:tc>
                <w:tcPr>
                  <w:tcW w:w="364" w:type="pct"/>
                  <w:tcBorders>
                    <w:tl2br w:val="nil"/>
                    <w:tr2bl w:val="nil"/>
                  </w:tcBorders>
                  <w:noWrap w:val="0"/>
                  <w:vAlign w:val="center"/>
                </w:tcPr>
                <w:p w14:paraId="0FACAB32">
                  <w:pPr>
                    <w:pStyle w:val="34"/>
                    <w:bidi w:val="0"/>
                    <w:ind w:firstLine="0" w:firstLineChars="0"/>
                    <w:rPr>
                      <w:rFonts w:hint="eastAsia"/>
                      <w:color w:val="auto"/>
                      <w:highlight w:val="none"/>
                      <w:lang w:val="en-US" w:eastAsia="zh-CN"/>
                    </w:rPr>
                  </w:pPr>
                  <w:r>
                    <w:rPr>
                      <w:rFonts w:hint="eastAsia"/>
                      <w:color w:val="auto"/>
                      <w:highlight w:val="none"/>
                      <w:lang w:val="en-US" w:eastAsia="zh-CN"/>
                    </w:rPr>
                    <w:t>颗粒物</w:t>
                  </w:r>
                </w:p>
              </w:tc>
              <w:tc>
                <w:tcPr>
                  <w:tcW w:w="316" w:type="pct"/>
                  <w:tcBorders>
                    <w:tl2br w:val="nil"/>
                    <w:tr2bl w:val="nil"/>
                  </w:tcBorders>
                  <w:noWrap w:val="0"/>
                  <w:vAlign w:val="center"/>
                </w:tcPr>
                <w:p w14:paraId="01B42709">
                  <w:pPr>
                    <w:pStyle w:val="34"/>
                    <w:bidi w:val="0"/>
                    <w:ind w:firstLine="0" w:firstLineChars="0"/>
                    <w:rPr>
                      <w:rFonts w:hint="eastAsia"/>
                      <w:color w:val="auto"/>
                      <w:highlight w:val="none"/>
                      <w:lang w:val="en-US" w:eastAsia="zh-CN"/>
                    </w:rPr>
                  </w:pPr>
                  <w:r>
                    <w:rPr>
                      <w:rFonts w:hint="eastAsia"/>
                      <w:color w:val="auto"/>
                      <w:highlight w:val="none"/>
                      <w:lang w:val="en-US" w:eastAsia="zh-CN"/>
                    </w:rPr>
                    <w:t>系数法</w:t>
                  </w:r>
                </w:p>
              </w:tc>
              <w:tc>
                <w:tcPr>
                  <w:tcW w:w="316" w:type="pct"/>
                  <w:tcBorders>
                    <w:tl2br w:val="nil"/>
                    <w:tr2bl w:val="nil"/>
                  </w:tcBorders>
                  <w:noWrap w:val="0"/>
                  <w:vAlign w:val="center"/>
                </w:tcPr>
                <w:p w14:paraId="601B11C3">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343D1E3B">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58C5E248">
                  <w:pPr>
                    <w:pStyle w:val="34"/>
                    <w:bidi w:val="0"/>
                    <w:ind w:firstLine="0" w:firstLineChars="0"/>
                    <w:rPr>
                      <w:rFonts w:hint="default"/>
                      <w:color w:val="auto"/>
                      <w:highlight w:val="none"/>
                      <w:lang w:val="en-US" w:eastAsia="zh-CN"/>
                    </w:rPr>
                  </w:pPr>
                  <w:r>
                    <w:rPr>
                      <w:rFonts w:hint="eastAsia"/>
                      <w:color w:val="auto"/>
                      <w:highlight w:val="none"/>
                      <w:lang w:val="en-US" w:eastAsia="zh-CN"/>
                    </w:rPr>
                    <w:t>7.19</w:t>
                  </w:r>
                </w:p>
              </w:tc>
              <w:tc>
                <w:tcPr>
                  <w:tcW w:w="316" w:type="pct"/>
                  <w:tcBorders>
                    <w:tl2br w:val="nil"/>
                    <w:tr2bl w:val="nil"/>
                  </w:tcBorders>
                  <w:noWrap w:val="0"/>
                  <w:vAlign w:val="center"/>
                </w:tcPr>
                <w:p w14:paraId="5FE26F6E">
                  <w:pPr>
                    <w:pStyle w:val="34"/>
                    <w:bidi w:val="0"/>
                    <w:ind w:firstLine="0" w:firstLineChars="0"/>
                    <w:rPr>
                      <w:rFonts w:hint="default"/>
                      <w:color w:val="auto"/>
                      <w:highlight w:val="none"/>
                      <w:lang w:val="en-US" w:eastAsia="zh-CN"/>
                    </w:rPr>
                  </w:pPr>
                  <w:r>
                    <w:rPr>
                      <w:rFonts w:hint="eastAsia"/>
                      <w:color w:val="auto"/>
                      <w:highlight w:val="none"/>
                      <w:lang w:val="en-US" w:eastAsia="zh-CN"/>
                    </w:rPr>
                    <w:t>1.92</w:t>
                  </w:r>
                </w:p>
              </w:tc>
              <w:tc>
                <w:tcPr>
                  <w:tcW w:w="363" w:type="pct"/>
                  <w:tcBorders>
                    <w:tl2br w:val="nil"/>
                    <w:tr2bl w:val="nil"/>
                  </w:tcBorders>
                  <w:noWrap w:val="0"/>
                  <w:vAlign w:val="center"/>
                </w:tcPr>
                <w:p w14:paraId="74A7B2DF">
                  <w:pPr>
                    <w:pStyle w:val="34"/>
                    <w:bidi w:val="0"/>
                    <w:ind w:firstLine="0" w:firstLineChars="0"/>
                    <w:rPr>
                      <w:rFonts w:hint="eastAsia"/>
                      <w:color w:val="auto"/>
                      <w:highlight w:val="none"/>
                      <w:lang w:val="en-US" w:eastAsia="zh-CN"/>
                    </w:rPr>
                  </w:pPr>
                  <w:r>
                    <w:rPr>
                      <w:rFonts w:hint="eastAsia"/>
                      <w:color w:val="auto"/>
                      <w:highlight w:val="none"/>
                      <w:lang w:val="en-US" w:eastAsia="zh-CN"/>
                    </w:rPr>
                    <w:t>布袋除尘器</w:t>
                  </w:r>
                </w:p>
              </w:tc>
              <w:tc>
                <w:tcPr>
                  <w:tcW w:w="269" w:type="pct"/>
                  <w:tcBorders>
                    <w:tl2br w:val="nil"/>
                    <w:tr2bl w:val="nil"/>
                  </w:tcBorders>
                  <w:noWrap w:val="0"/>
                  <w:vAlign w:val="center"/>
                </w:tcPr>
                <w:p w14:paraId="2C2D3B27">
                  <w:pPr>
                    <w:pStyle w:val="34"/>
                    <w:bidi w:val="0"/>
                    <w:ind w:firstLine="0" w:firstLineChars="0"/>
                    <w:rPr>
                      <w:rFonts w:hint="eastAsia"/>
                      <w:color w:val="auto"/>
                      <w:highlight w:val="none"/>
                      <w:lang w:val="en-US" w:eastAsia="zh-CN"/>
                    </w:rPr>
                  </w:pPr>
                  <w:r>
                    <w:rPr>
                      <w:rFonts w:hint="eastAsia"/>
                      <w:color w:val="auto"/>
                      <w:highlight w:val="none"/>
                      <w:lang w:val="en-US" w:eastAsia="zh-CN"/>
                    </w:rPr>
                    <w:t>99</w:t>
                  </w:r>
                </w:p>
              </w:tc>
              <w:tc>
                <w:tcPr>
                  <w:tcW w:w="316" w:type="pct"/>
                  <w:tcBorders>
                    <w:tl2br w:val="nil"/>
                    <w:tr2bl w:val="nil"/>
                  </w:tcBorders>
                  <w:noWrap w:val="0"/>
                  <w:vAlign w:val="center"/>
                </w:tcPr>
                <w:p w14:paraId="64C54E0E">
                  <w:pPr>
                    <w:pStyle w:val="34"/>
                    <w:bidi w:val="0"/>
                    <w:ind w:firstLine="0" w:firstLineChars="0"/>
                    <w:rPr>
                      <w:rFonts w:hint="eastAsia"/>
                      <w:color w:val="auto"/>
                      <w:highlight w:val="none"/>
                      <w:lang w:val="en-US" w:eastAsia="zh-CN"/>
                    </w:rPr>
                  </w:pPr>
                  <w:r>
                    <w:rPr>
                      <w:rFonts w:hint="eastAsia"/>
                      <w:color w:val="auto"/>
                      <w:highlight w:val="none"/>
                      <w:lang w:val="en-US" w:eastAsia="zh-CN"/>
                    </w:rPr>
                    <w:t>系数法</w:t>
                  </w:r>
                </w:p>
              </w:tc>
              <w:tc>
                <w:tcPr>
                  <w:tcW w:w="316" w:type="pct"/>
                  <w:tcBorders>
                    <w:tl2br w:val="nil"/>
                    <w:tr2bl w:val="nil"/>
                  </w:tcBorders>
                  <w:noWrap w:val="0"/>
                  <w:vAlign w:val="center"/>
                </w:tcPr>
                <w:p w14:paraId="641F0CC6">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24200D6C">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7A1B77FD">
                  <w:pPr>
                    <w:pStyle w:val="34"/>
                    <w:bidi w:val="0"/>
                    <w:ind w:firstLine="0" w:firstLineChars="0"/>
                    <w:rPr>
                      <w:rFonts w:hint="default"/>
                      <w:color w:val="auto"/>
                      <w:highlight w:val="none"/>
                      <w:lang w:val="en-US" w:eastAsia="zh-CN"/>
                    </w:rPr>
                  </w:pPr>
                  <w:r>
                    <w:rPr>
                      <w:rFonts w:hint="eastAsia"/>
                      <w:color w:val="auto"/>
                      <w:highlight w:val="none"/>
                      <w:lang w:val="en-US" w:eastAsia="zh-CN"/>
                    </w:rPr>
                    <w:t>0.07</w:t>
                  </w:r>
                </w:p>
              </w:tc>
              <w:tc>
                <w:tcPr>
                  <w:tcW w:w="324" w:type="pct"/>
                  <w:tcBorders>
                    <w:tl2br w:val="nil"/>
                    <w:tr2bl w:val="nil"/>
                  </w:tcBorders>
                  <w:noWrap w:val="0"/>
                  <w:vAlign w:val="center"/>
                </w:tcPr>
                <w:p w14:paraId="7765864E">
                  <w:pPr>
                    <w:pStyle w:val="34"/>
                    <w:bidi w:val="0"/>
                    <w:ind w:firstLine="0" w:firstLineChars="0"/>
                    <w:rPr>
                      <w:rFonts w:hint="default"/>
                      <w:color w:val="auto"/>
                      <w:highlight w:val="none"/>
                      <w:lang w:val="en-US" w:eastAsia="zh-CN"/>
                    </w:rPr>
                  </w:pPr>
                  <w:r>
                    <w:rPr>
                      <w:rFonts w:hint="eastAsia"/>
                      <w:color w:val="auto"/>
                      <w:highlight w:val="none"/>
                      <w:lang w:val="en-US" w:eastAsia="zh-CN"/>
                    </w:rPr>
                    <w:t>0.02</w:t>
                  </w:r>
                </w:p>
              </w:tc>
              <w:tc>
                <w:tcPr>
                  <w:tcW w:w="292" w:type="pct"/>
                  <w:tcBorders>
                    <w:tl2br w:val="nil"/>
                    <w:tr2bl w:val="nil"/>
                  </w:tcBorders>
                  <w:noWrap w:val="0"/>
                  <w:vAlign w:val="center"/>
                </w:tcPr>
                <w:p w14:paraId="31AF2EC1">
                  <w:pPr>
                    <w:pStyle w:val="34"/>
                    <w:bidi w:val="0"/>
                    <w:ind w:firstLine="0" w:firstLineChars="0"/>
                    <w:rPr>
                      <w:rFonts w:hint="default"/>
                      <w:color w:val="auto"/>
                      <w:highlight w:val="none"/>
                      <w:lang w:val="en-US" w:eastAsia="zh-CN"/>
                    </w:rPr>
                  </w:pPr>
                  <w:r>
                    <w:rPr>
                      <w:rFonts w:hint="eastAsia"/>
                      <w:color w:val="auto"/>
                      <w:highlight w:val="none"/>
                      <w:lang w:val="en-US" w:eastAsia="zh-CN"/>
                    </w:rPr>
                    <w:t>267</w:t>
                  </w:r>
                </w:p>
              </w:tc>
            </w:tr>
            <w:tr w14:paraId="15F104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 w:type="pct"/>
                  <w:vMerge w:val="continue"/>
                  <w:tcBorders>
                    <w:tl2br w:val="nil"/>
                    <w:tr2bl w:val="nil"/>
                  </w:tcBorders>
                  <w:noWrap w:val="0"/>
                  <w:vAlign w:val="center"/>
                </w:tcPr>
                <w:p w14:paraId="16B115E0">
                  <w:pPr>
                    <w:pStyle w:val="34"/>
                    <w:bidi w:val="0"/>
                    <w:rPr>
                      <w:rFonts w:hint="eastAsia"/>
                      <w:color w:val="auto"/>
                      <w:highlight w:val="none"/>
                      <w:lang w:val="en-US" w:eastAsia="zh-CN"/>
                    </w:rPr>
                  </w:pPr>
                </w:p>
              </w:tc>
              <w:tc>
                <w:tcPr>
                  <w:tcW w:w="370" w:type="pct"/>
                  <w:tcBorders>
                    <w:tl2br w:val="nil"/>
                    <w:tr2bl w:val="nil"/>
                  </w:tcBorders>
                  <w:noWrap w:val="0"/>
                  <w:vAlign w:val="center"/>
                </w:tcPr>
                <w:p w14:paraId="7A7EAF15">
                  <w:pPr>
                    <w:pStyle w:val="34"/>
                    <w:bidi w:val="0"/>
                    <w:rPr>
                      <w:rFonts w:hint="eastAsia"/>
                      <w:color w:val="auto"/>
                      <w:highlight w:val="none"/>
                      <w:lang w:val="en-US" w:eastAsia="zh-CN"/>
                    </w:rPr>
                  </w:pPr>
                  <w:r>
                    <w:rPr>
                      <w:rFonts w:hint="eastAsia"/>
                      <w:color w:val="auto"/>
                      <w:highlight w:val="none"/>
                      <w:lang w:val="en-US" w:eastAsia="zh-CN"/>
                    </w:rPr>
                    <w:t>粉煤灰筒仓</w:t>
                  </w:r>
                  <w:r>
                    <w:rPr>
                      <w:rFonts w:hint="eastAsia"/>
                      <w:color w:val="auto"/>
                      <w:highlight w:val="none"/>
                      <w:lang w:val="en-US" w:eastAsia="zh-CN"/>
                    </w:rPr>
                    <w:t>粉尘</w:t>
                  </w:r>
                </w:p>
              </w:tc>
              <w:tc>
                <w:tcPr>
                  <w:tcW w:w="364" w:type="pct"/>
                  <w:tcBorders>
                    <w:tl2br w:val="nil"/>
                    <w:tr2bl w:val="nil"/>
                  </w:tcBorders>
                  <w:noWrap w:val="0"/>
                  <w:vAlign w:val="center"/>
                </w:tcPr>
                <w:p w14:paraId="5608BB19">
                  <w:pPr>
                    <w:pStyle w:val="34"/>
                    <w:bidi w:val="0"/>
                    <w:ind w:firstLine="0" w:firstLineChars="0"/>
                    <w:rPr>
                      <w:rFonts w:hint="eastAsia"/>
                      <w:color w:val="auto"/>
                      <w:highlight w:val="none"/>
                      <w:lang w:val="en-US" w:eastAsia="zh-CN"/>
                    </w:rPr>
                  </w:pPr>
                  <w:r>
                    <w:rPr>
                      <w:rFonts w:hint="eastAsia"/>
                      <w:color w:val="auto"/>
                      <w:highlight w:val="none"/>
                      <w:lang w:val="en-US" w:eastAsia="zh-CN"/>
                    </w:rPr>
                    <w:t>颗粒物</w:t>
                  </w:r>
                </w:p>
              </w:tc>
              <w:tc>
                <w:tcPr>
                  <w:tcW w:w="316" w:type="pct"/>
                  <w:tcBorders>
                    <w:tl2br w:val="nil"/>
                    <w:tr2bl w:val="nil"/>
                  </w:tcBorders>
                  <w:noWrap w:val="0"/>
                  <w:vAlign w:val="center"/>
                </w:tcPr>
                <w:p w14:paraId="1E3B9B0E">
                  <w:pPr>
                    <w:pStyle w:val="34"/>
                    <w:bidi w:val="0"/>
                    <w:ind w:firstLine="0" w:firstLineChars="0"/>
                    <w:rPr>
                      <w:rFonts w:hint="eastAsia"/>
                      <w:color w:val="auto"/>
                      <w:highlight w:val="none"/>
                      <w:lang w:val="en-US" w:eastAsia="zh-CN"/>
                    </w:rPr>
                  </w:pPr>
                  <w:r>
                    <w:rPr>
                      <w:rFonts w:hint="eastAsia"/>
                      <w:color w:val="auto"/>
                      <w:highlight w:val="none"/>
                      <w:lang w:val="en-US" w:eastAsia="zh-CN"/>
                    </w:rPr>
                    <w:t>系数法</w:t>
                  </w:r>
                </w:p>
              </w:tc>
              <w:tc>
                <w:tcPr>
                  <w:tcW w:w="316" w:type="pct"/>
                  <w:tcBorders>
                    <w:tl2br w:val="nil"/>
                    <w:tr2bl w:val="nil"/>
                  </w:tcBorders>
                  <w:noWrap w:val="0"/>
                  <w:vAlign w:val="center"/>
                </w:tcPr>
                <w:p w14:paraId="597C2C46">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12257F5B">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63BEB67B">
                  <w:pPr>
                    <w:pStyle w:val="34"/>
                    <w:bidi w:val="0"/>
                    <w:ind w:firstLine="0" w:firstLineChars="0"/>
                    <w:rPr>
                      <w:rFonts w:hint="default"/>
                      <w:color w:val="auto"/>
                      <w:highlight w:val="none"/>
                      <w:lang w:val="en-US" w:eastAsia="zh-CN"/>
                    </w:rPr>
                  </w:pPr>
                  <w:r>
                    <w:rPr>
                      <w:rFonts w:hint="eastAsia"/>
                      <w:color w:val="auto"/>
                      <w:highlight w:val="none"/>
                      <w:lang w:val="en-US" w:eastAsia="zh-CN"/>
                    </w:rPr>
                    <w:t>7.14</w:t>
                  </w:r>
                </w:p>
              </w:tc>
              <w:tc>
                <w:tcPr>
                  <w:tcW w:w="316" w:type="pct"/>
                  <w:tcBorders>
                    <w:tl2br w:val="nil"/>
                    <w:tr2bl w:val="nil"/>
                  </w:tcBorders>
                  <w:noWrap w:val="0"/>
                  <w:vAlign w:val="center"/>
                </w:tcPr>
                <w:p w14:paraId="19682043">
                  <w:pPr>
                    <w:pStyle w:val="34"/>
                    <w:bidi w:val="0"/>
                    <w:ind w:firstLine="0" w:firstLineChars="0"/>
                    <w:rPr>
                      <w:rFonts w:hint="default"/>
                      <w:color w:val="auto"/>
                      <w:highlight w:val="none"/>
                      <w:lang w:val="en-US" w:eastAsia="zh-CN"/>
                    </w:rPr>
                  </w:pPr>
                  <w:r>
                    <w:rPr>
                      <w:rFonts w:hint="eastAsia"/>
                      <w:color w:val="auto"/>
                      <w:highlight w:val="none"/>
                      <w:lang w:val="en-US" w:eastAsia="zh-CN"/>
                    </w:rPr>
                    <w:t>0.60</w:t>
                  </w:r>
                </w:p>
              </w:tc>
              <w:tc>
                <w:tcPr>
                  <w:tcW w:w="363" w:type="pct"/>
                  <w:tcBorders>
                    <w:tl2br w:val="nil"/>
                    <w:tr2bl w:val="nil"/>
                  </w:tcBorders>
                  <w:noWrap w:val="0"/>
                  <w:vAlign w:val="center"/>
                </w:tcPr>
                <w:p w14:paraId="1328A54E">
                  <w:pPr>
                    <w:pStyle w:val="34"/>
                    <w:bidi w:val="0"/>
                    <w:ind w:firstLine="0" w:firstLineChars="0"/>
                    <w:rPr>
                      <w:rFonts w:hint="eastAsia"/>
                      <w:color w:val="auto"/>
                      <w:highlight w:val="none"/>
                      <w:lang w:val="en-US" w:eastAsia="zh-CN"/>
                    </w:rPr>
                  </w:pPr>
                  <w:r>
                    <w:rPr>
                      <w:rFonts w:hint="eastAsia"/>
                      <w:color w:val="auto"/>
                      <w:highlight w:val="none"/>
                      <w:lang w:val="en-US" w:eastAsia="zh-CN"/>
                    </w:rPr>
                    <w:t>布袋除尘器</w:t>
                  </w:r>
                </w:p>
              </w:tc>
              <w:tc>
                <w:tcPr>
                  <w:tcW w:w="269" w:type="pct"/>
                  <w:tcBorders>
                    <w:tl2br w:val="nil"/>
                    <w:tr2bl w:val="nil"/>
                  </w:tcBorders>
                  <w:noWrap w:val="0"/>
                  <w:vAlign w:val="center"/>
                </w:tcPr>
                <w:p w14:paraId="0FBB27D2">
                  <w:pPr>
                    <w:pStyle w:val="34"/>
                    <w:bidi w:val="0"/>
                    <w:ind w:firstLine="0" w:firstLineChars="0"/>
                    <w:rPr>
                      <w:rFonts w:hint="eastAsia"/>
                      <w:color w:val="auto"/>
                      <w:highlight w:val="none"/>
                      <w:lang w:val="en-US" w:eastAsia="zh-CN"/>
                    </w:rPr>
                  </w:pPr>
                  <w:r>
                    <w:rPr>
                      <w:rFonts w:hint="eastAsia"/>
                      <w:color w:val="auto"/>
                      <w:highlight w:val="none"/>
                      <w:lang w:val="en-US" w:eastAsia="zh-CN"/>
                    </w:rPr>
                    <w:t>99</w:t>
                  </w:r>
                </w:p>
              </w:tc>
              <w:tc>
                <w:tcPr>
                  <w:tcW w:w="316" w:type="pct"/>
                  <w:tcBorders>
                    <w:tl2br w:val="nil"/>
                    <w:tr2bl w:val="nil"/>
                  </w:tcBorders>
                  <w:noWrap w:val="0"/>
                  <w:vAlign w:val="center"/>
                </w:tcPr>
                <w:p w14:paraId="353410B6">
                  <w:pPr>
                    <w:pStyle w:val="34"/>
                    <w:bidi w:val="0"/>
                    <w:ind w:firstLine="0" w:firstLineChars="0"/>
                    <w:rPr>
                      <w:rFonts w:hint="eastAsia"/>
                      <w:color w:val="auto"/>
                      <w:highlight w:val="none"/>
                      <w:lang w:val="en-US" w:eastAsia="zh-CN"/>
                    </w:rPr>
                  </w:pPr>
                  <w:r>
                    <w:rPr>
                      <w:rFonts w:hint="eastAsia"/>
                      <w:color w:val="auto"/>
                      <w:highlight w:val="none"/>
                      <w:lang w:val="en-US" w:eastAsia="zh-CN"/>
                    </w:rPr>
                    <w:t>系数法</w:t>
                  </w:r>
                </w:p>
              </w:tc>
              <w:tc>
                <w:tcPr>
                  <w:tcW w:w="316" w:type="pct"/>
                  <w:tcBorders>
                    <w:tl2br w:val="nil"/>
                    <w:tr2bl w:val="nil"/>
                  </w:tcBorders>
                  <w:noWrap w:val="0"/>
                  <w:vAlign w:val="center"/>
                </w:tcPr>
                <w:p w14:paraId="1030A19E">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0DA9F8AE">
                  <w:pPr>
                    <w:pStyle w:val="34"/>
                    <w:bidi w:val="0"/>
                    <w:ind w:firstLine="0" w:firstLineChars="0"/>
                    <w:rPr>
                      <w:rFonts w:hint="default"/>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64E5947E">
                  <w:pPr>
                    <w:pStyle w:val="34"/>
                    <w:bidi w:val="0"/>
                    <w:ind w:firstLine="0" w:firstLineChars="0"/>
                    <w:rPr>
                      <w:rFonts w:hint="default"/>
                      <w:color w:val="auto"/>
                      <w:highlight w:val="none"/>
                      <w:lang w:val="en-US" w:eastAsia="zh-CN"/>
                    </w:rPr>
                  </w:pPr>
                  <w:r>
                    <w:rPr>
                      <w:rFonts w:hint="eastAsia"/>
                      <w:color w:val="auto"/>
                      <w:highlight w:val="none"/>
                      <w:lang w:val="en-US" w:eastAsia="zh-CN"/>
                    </w:rPr>
                    <w:t>0.07</w:t>
                  </w:r>
                </w:p>
              </w:tc>
              <w:tc>
                <w:tcPr>
                  <w:tcW w:w="324" w:type="pct"/>
                  <w:tcBorders>
                    <w:tl2br w:val="nil"/>
                    <w:tr2bl w:val="nil"/>
                  </w:tcBorders>
                  <w:noWrap w:val="0"/>
                  <w:vAlign w:val="center"/>
                </w:tcPr>
                <w:p w14:paraId="029AD72C">
                  <w:pPr>
                    <w:pStyle w:val="34"/>
                    <w:bidi w:val="0"/>
                    <w:ind w:firstLine="0" w:firstLineChars="0"/>
                    <w:rPr>
                      <w:rFonts w:hint="default"/>
                      <w:color w:val="auto"/>
                      <w:highlight w:val="none"/>
                      <w:lang w:val="en-US" w:eastAsia="zh-CN"/>
                    </w:rPr>
                  </w:pPr>
                  <w:r>
                    <w:rPr>
                      <w:rFonts w:hint="eastAsia"/>
                      <w:color w:val="auto"/>
                      <w:highlight w:val="none"/>
                      <w:lang w:val="en-US" w:eastAsia="zh-CN"/>
                    </w:rPr>
                    <w:t>0.006</w:t>
                  </w:r>
                </w:p>
              </w:tc>
              <w:tc>
                <w:tcPr>
                  <w:tcW w:w="292" w:type="pct"/>
                  <w:tcBorders>
                    <w:tl2br w:val="nil"/>
                    <w:tr2bl w:val="nil"/>
                  </w:tcBorders>
                  <w:noWrap w:val="0"/>
                  <w:vAlign w:val="center"/>
                </w:tcPr>
                <w:p w14:paraId="1932B054">
                  <w:pPr>
                    <w:pStyle w:val="34"/>
                    <w:bidi w:val="0"/>
                    <w:ind w:firstLine="0" w:firstLineChars="0"/>
                    <w:rPr>
                      <w:rFonts w:hint="default"/>
                      <w:color w:val="auto"/>
                      <w:highlight w:val="none"/>
                      <w:lang w:val="en-US" w:eastAsia="zh-CN"/>
                    </w:rPr>
                  </w:pPr>
                  <w:r>
                    <w:rPr>
                      <w:rFonts w:hint="eastAsia"/>
                      <w:color w:val="auto"/>
                      <w:highlight w:val="none"/>
                      <w:lang w:val="en-US" w:eastAsia="zh-CN"/>
                    </w:rPr>
                    <w:t>84</w:t>
                  </w:r>
                </w:p>
              </w:tc>
            </w:tr>
            <w:tr w14:paraId="3F9A23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 w:type="pct"/>
                  <w:vMerge w:val="continue"/>
                  <w:tcBorders>
                    <w:tl2br w:val="nil"/>
                    <w:tr2bl w:val="nil"/>
                  </w:tcBorders>
                  <w:noWrap w:val="0"/>
                  <w:vAlign w:val="center"/>
                </w:tcPr>
                <w:p w14:paraId="0FBF8379">
                  <w:pPr>
                    <w:pStyle w:val="34"/>
                    <w:bidi w:val="0"/>
                    <w:rPr>
                      <w:rFonts w:hint="eastAsia"/>
                      <w:color w:val="auto"/>
                      <w:highlight w:val="none"/>
                      <w:lang w:val="en-US" w:eastAsia="zh-CN"/>
                    </w:rPr>
                  </w:pPr>
                </w:p>
              </w:tc>
              <w:tc>
                <w:tcPr>
                  <w:tcW w:w="370" w:type="pct"/>
                  <w:tcBorders>
                    <w:tl2br w:val="nil"/>
                    <w:tr2bl w:val="nil"/>
                  </w:tcBorders>
                  <w:noWrap w:val="0"/>
                  <w:vAlign w:val="center"/>
                </w:tcPr>
                <w:p w14:paraId="247ACE0B">
                  <w:pPr>
                    <w:pStyle w:val="34"/>
                    <w:bidi w:val="0"/>
                    <w:rPr>
                      <w:rFonts w:hint="default"/>
                      <w:color w:val="auto"/>
                      <w:highlight w:val="none"/>
                      <w:lang w:val="en-US"/>
                    </w:rPr>
                  </w:pPr>
                  <w:r>
                    <w:rPr>
                      <w:rFonts w:hint="eastAsia"/>
                      <w:color w:val="auto"/>
                      <w:highlight w:val="none"/>
                      <w:lang w:val="en-US" w:eastAsia="zh-CN"/>
                    </w:rPr>
                    <w:t>外加剂罐粉尘</w:t>
                  </w:r>
                </w:p>
              </w:tc>
              <w:tc>
                <w:tcPr>
                  <w:tcW w:w="364" w:type="pct"/>
                  <w:tcBorders>
                    <w:tl2br w:val="nil"/>
                    <w:tr2bl w:val="nil"/>
                  </w:tcBorders>
                  <w:noWrap w:val="0"/>
                  <w:vAlign w:val="center"/>
                </w:tcPr>
                <w:p w14:paraId="23FE2519">
                  <w:pPr>
                    <w:pStyle w:val="34"/>
                    <w:bidi w:val="0"/>
                    <w:ind w:firstLine="0" w:firstLineChars="0"/>
                    <w:rPr>
                      <w:rFonts w:hint="eastAsia"/>
                      <w:color w:val="auto"/>
                      <w:highlight w:val="none"/>
                      <w:lang w:val="en-US" w:eastAsia="zh-CN"/>
                    </w:rPr>
                  </w:pPr>
                  <w:r>
                    <w:rPr>
                      <w:rFonts w:hint="eastAsia"/>
                      <w:color w:val="auto"/>
                      <w:highlight w:val="none"/>
                      <w:lang w:val="en-US" w:eastAsia="zh-CN"/>
                    </w:rPr>
                    <w:t>颗粒物</w:t>
                  </w:r>
                </w:p>
              </w:tc>
              <w:tc>
                <w:tcPr>
                  <w:tcW w:w="316" w:type="pct"/>
                  <w:tcBorders>
                    <w:tl2br w:val="nil"/>
                    <w:tr2bl w:val="nil"/>
                  </w:tcBorders>
                  <w:noWrap w:val="0"/>
                  <w:vAlign w:val="center"/>
                </w:tcPr>
                <w:p w14:paraId="22FEA447">
                  <w:pPr>
                    <w:pStyle w:val="34"/>
                    <w:bidi w:val="0"/>
                    <w:ind w:firstLine="0" w:firstLineChars="0"/>
                    <w:rPr>
                      <w:color w:val="auto"/>
                      <w:highlight w:val="none"/>
                    </w:rPr>
                  </w:pPr>
                  <w:r>
                    <w:rPr>
                      <w:rFonts w:hint="eastAsia"/>
                      <w:color w:val="auto"/>
                      <w:highlight w:val="none"/>
                      <w:lang w:val="en-US" w:eastAsia="zh-CN"/>
                    </w:rPr>
                    <w:t>系数法</w:t>
                  </w:r>
                </w:p>
              </w:tc>
              <w:tc>
                <w:tcPr>
                  <w:tcW w:w="316" w:type="pct"/>
                  <w:tcBorders>
                    <w:tl2br w:val="nil"/>
                    <w:tr2bl w:val="nil"/>
                  </w:tcBorders>
                  <w:noWrap w:val="0"/>
                  <w:vAlign w:val="center"/>
                </w:tcPr>
                <w:p w14:paraId="55EE5206">
                  <w:pPr>
                    <w:pStyle w:val="34"/>
                    <w:bidi w:val="0"/>
                    <w:ind w:firstLine="0" w:firstLineChars="0"/>
                    <w:rPr>
                      <w:rFonts w:hint="default"/>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2A85F4AC">
                  <w:pPr>
                    <w:pStyle w:val="34"/>
                    <w:bidi w:val="0"/>
                    <w:ind w:firstLine="0" w:firstLineChars="0"/>
                    <w:rPr>
                      <w:rFonts w:hint="default"/>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394352B9">
                  <w:pPr>
                    <w:pStyle w:val="34"/>
                    <w:bidi w:val="0"/>
                    <w:ind w:firstLine="0" w:firstLineChars="0"/>
                    <w:rPr>
                      <w:rFonts w:hint="default"/>
                      <w:color w:val="auto"/>
                      <w:highlight w:val="none"/>
                      <w:lang w:val="en-US" w:eastAsia="zh-CN"/>
                    </w:rPr>
                  </w:pPr>
                  <w:r>
                    <w:rPr>
                      <w:rFonts w:hint="eastAsia"/>
                      <w:color w:val="auto"/>
                      <w:highlight w:val="none"/>
                      <w:lang w:val="en-US" w:eastAsia="zh-CN"/>
                    </w:rPr>
                    <w:t>6.67</w:t>
                  </w:r>
                </w:p>
              </w:tc>
              <w:tc>
                <w:tcPr>
                  <w:tcW w:w="316" w:type="pct"/>
                  <w:tcBorders>
                    <w:tl2br w:val="nil"/>
                    <w:tr2bl w:val="nil"/>
                  </w:tcBorders>
                  <w:noWrap w:val="0"/>
                  <w:vAlign w:val="center"/>
                </w:tcPr>
                <w:p w14:paraId="3E88B285">
                  <w:pPr>
                    <w:pStyle w:val="34"/>
                    <w:bidi w:val="0"/>
                    <w:ind w:firstLine="0" w:firstLineChars="0"/>
                    <w:rPr>
                      <w:rFonts w:hint="default"/>
                      <w:color w:val="auto"/>
                      <w:highlight w:val="none"/>
                      <w:lang w:val="en-US" w:eastAsia="zh-CN"/>
                    </w:rPr>
                  </w:pPr>
                  <w:r>
                    <w:rPr>
                      <w:rFonts w:hint="eastAsia"/>
                      <w:color w:val="auto"/>
                      <w:highlight w:val="none"/>
                      <w:lang w:val="en-US" w:eastAsia="zh-CN"/>
                    </w:rPr>
                    <w:t>0.06</w:t>
                  </w:r>
                </w:p>
              </w:tc>
              <w:tc>
                <w:tcPr>
                  <w:tcW w:w="363" w:type="pct"/>
                  <w:tcBorders>
                    <w:tl2br w:val="nil"/>
                    <w:tr2bl w:val="nil"/>
                  </w:tcBorders>
                  <w:noWrap w:val="0"/>
                  <w:vAlign w:val="center"/>
                </w:tcPr>
                <w:p w14:paraId="6DBB35A9">
                  <w:pPr>
                    <w:pStyle w:val="34"/>
                    <w:bidi w:val="0"/>
                    <w:ind w:firstLine="0" w:firstLineChars="0"/>
                    <w:rPr>
                      <w:rFonts w:hint="default"/>
                      <w:color w:val="auto"/>
                      <w:highlight w:val="none"/>
                      <w:lang w:val="en-US"/>
                    </w:rPr>
                  </w:pPr>
                  <w:r>
                    <w:rPr>
                      <w:rFonts w:hint="eastAsia"/>
                      <w:color w:val="auto"/>
                      <w:highlight w:val="none"/>
                      <w:lang w:val="en-US" w:eastAsia="zh-CN"/>
                    </w:rPr>
                    <w:t>布袋除尘器</w:t>
                  </w:r>
                </w:p>
              </w:tc>
              <w:tc>
                <w:tcPr>
                  <w:tcW w:w="269" w:type="pct"/>
                  <w:tcBorders>
                    <w:tl2br w:val="nil"/>
                    <w:tr2bl w:val="nil"/>
                  </w:tcBorders>
                  <w:noWrap w:val="0"/>
                  <w:vAlign w:val="center"/>
                </w:tcPr>
                <w:p w14:paraId="66987C03">
                  <w:pPr>
                    <w:pStyle w:val="34"/>
                    <w:bidi w:val="0"/>
                    <w:ind w:firstLine="0" w:firstLineChars="0"/>
                    <w:rPr>
                      <w:rFonts w:hint="default"/>
                      <w:color w:val="auto"/>
                      <w:highlight w:val="none"/>
                      <w:lang w:val="en-US" w:eastAsia="zh-CN"/>
                    </w:rPr>
                  </w:pPr>
                  <w:r>
                    <w:rPr>
                      <w:rFonts w:hint="eastAsia"/>
                      <w:color w:val="auto"/>
                      <w:highlight w:val="none"/>
                      <w:lang w:val="en-US" w:eastAsia="zh-CN"/>
                    </w:rPr>
                    <w:t>99</w:t>
                  </w:r>
                </w:p>
              </w:tc>
              <w:tc>
                <w:tcPr>
                  <w:tcW w:w="316" w:type="pct"/>
                  <w:tcBorders>
                    <w:tl2br w:val="nil"/>
                    <w:tr2bl w:val="nil"/>
                  </w:tcBorders>
                  <w:noWrap w:val="0"/>
                  <w:vAlign w:val="center"/>
                </w:tcPr>
                <w:p w14:paraId="107B0D9C">
                  <w:pPr>
                    <w:pStyle w:val="34"/>
                    <w:bidi w:val="0"/>
                    <w:ind w:firstLine="0" w:firstLineChars="0"/>
                    <w:rPr>
                      <w:color w:val="auto"/>
                      <w:highlight w:val="none"/>
                    </w:rPr>
                  </w:pPr>
                  <w:r>
                    <w:rPr>
                      <w:rFonts w:hint="eastAsia"/>
                      <w:color w:val="auto"/>
                      <w:highlight w:val="none"/>
                      <w:lang w:val="en-US" w:eastAsia="zh-CN"/>
                    </w:rPr>
                    <w:t>系数法</w:t>
                  </w:r>
                </w:p>
              </w:tc>
              <w:tc>
                <w:tcPr>
                  <w:tcW w:w="316" w:type="pct"/>
                  <w:tcBorders>
                    <w:tl2br w:val="nil"/>
                    <w:tr2bl w:val="nil"/>
                  </w:tcBorders>
                  <w:noWrap w:val="0"/>
                  <w:vAlign w:val="center"/>
                </w:tcPr>
                <w:p w14:paraId="33D649BB">
                  <w:pPr>
                    <w:pStyle w:val="34"/>
                    <w:bidi w:val="0"/>
                    <w:ind w:firstLine="0" w:firstLineChars="0"/>
                    <w:rPr>
                      <w:rFonts w:hint="default"/>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544FA6B0">
                  <w:pPr>
                    <w:pStyle w:val="34"/>
                    <w:bidi w:val="0"/>
                    <w:ind w:firstLine="0" w:firstLineChars="0"/>
                    <w:rPr>
                      <w:rFonts w:hint="default"/>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5238CC25">
                  <w:pPr>
                    <w:pStyle w:val="34"/>
                    <w:bidi w:val="0"/>
                    <w:ind w:firstLine="0" w:firstLineChars="0"/>
                    <w:rPr>
                      <w:rFonts w:hint="default"/>
                      <w:color w:val="auto"/>
                      <w:highlight w:val="none"/>
                      <w:lang w:val="en-US" w:eastAsia="zh-CN"/>
                    </w:rPr>
                  </w:pPr>
                  <w:r>
                    <w:rPr>
                      <w:rFonts w:hint="eastAsia"/>
                      <w:color w:val="auto"/>
                      <w:highlight w:val="none"/>
                      <w:lang w:val="en-US" w:eastAsia="zh-CN"/>
                    </w:rPr>
                    <w:t>0.07</w:t>
                  </w:r>
                </w:p>
              </w:tc>
              <w:tc>
                <w:tcPr>
                  <w:tcW w:w="324" w:type="pct"/>
                  <w:tcBorders>
                    <w:tl2br w:val="nil"/>
                    <w:tr2bl w:val="nil"/>
                  </w:tcBorders>
                  <w:noWrap w:val="0"/>
                  <w:vAlign w:val="center"/>
                </w:tcPr>
                <w:p w14:paraId="053749C4">
                  <w:pPr>
                    <w:pStyle w:val="34"/>
                    <w:bidi w:val="0"/>
                    <w:ind w:firstLine="0" w:firstLineChars="0"/>
                    <w:rPr>
                      <w:rFonts w:hint="default"/>
                      <w:color w:val="auto"/>
                      <w:highlight w:val="none"/>
                      <w:lang w:val="en-US" w:eastAsia="zh-CN"/>
                    </w:rPr>
                  </w:pPr>
                  <w:r>
                    <w:rPr>
                      <w:rFonts w:hint="eastAsia"/>
                      <w:color w:val="auto"/>
                      <w:highlight w:val="none"/>
                      <w:lang w:val="en-US" w:eastAsia="zh-CN"/>
                    </w:rPr>
                    <w:t>0.0006</w:t>
                  </w:r>
                </w:p>
              </w:tc>
              <w:tc>
                <w:tcPr>
                  <w:tcW w:w="292" w:type="pct"/>
                  <w:tcBorders>
                    <w:tl2br w:val="nil"/>
                    <w:tr2bl w:val="nil"/>
                  </w:tcBorders>
                  <w:noWrap w:val="0"/>
                  <w:vAlign w:val="center"/>
                </w:tcPr>
                <w:p w14:paraId="29FCD883">
                  <w:pPr>
                    <w:pStyle w:val="34"/>
                    <w:bidi w:val="0"/>
                    <w:ind w:firstLine="0" w:firstLineChars="0"/>
                    <w:rPr>
                      <w:rFonts w:hint="default"/>
                      <w:color w:val="auto"/>
                      <w:highlight w:val="none"/>
                      <w:lang w:val="en-US" w:eastAsia="zh-CN"/>
                    </w:rPr>
                  </w:pPr>
                  <w:r>
                    <w:rPr>
                      <w:rFonts w:hint="eastAsia"/>
                      <w:color w:val="auto"/>
                      <w:highlight w:val="none"/>
                      <w:lang w:val="en-US" w:eastAsia="zh-CN"/>
                    </w:rPr>
                    <w:t>9</w:t>
                  </w:r>
                </w:p>
              </w:tc>
            </w:tr>
            <w:tr w14:paraId="76B3DF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 w:type="pct"/>
                  <w:vMerge w:val="continue"/>
                  <w:tcBorders>
                    <w:tl2br w:val="nil"/>
                    <w:tr2bl w:val="nil"/>
                  </w:tcBorders>
                  <w:noWrap w:val="0"/>
                  <w:vAlign w:val="center"/>
                </w:tcPr>
                <w:p w14:paraId="4E6C5108">
                  <w:pPr>
                    <w:pStyle w:val="34"/>
                    <w:bidi w:val="0"/>
                    <w:rPr>
                      <w:rFonts w:hint="eastAsia"/>
                      <w:color w:val="auto"/>
                      <w:highlight w:val="none"/>
                      <w:lang w:val="en-US" w:eastAsia="zh-CN"/>
                    </w:rPr>
                  </w:pPr>
                </w:p>
              </w:tc>
              <w:tc>
                <w:tcPr>
                  <w:tcW w:w="370" w:type="pct"/>
                  <w:tcBorders>
                    <w:tl2br w:val="nil"/>
                    <w:tr2bl w:val="nil"/>
                  </w:tcBorders>
                  <w:noWrap w:val="0"/>
                  <w:vAlign w:val="center"/>
                </w:tcPr>
                <w:p w14:paraId="3AF34E1C">
                  <w:pPr>
                    <w:pStyle w:val="34"/>
                    <w:bidi w:val="0"/>
                    <w:rPr>
                      <w:rFonts w:hint="eastAsia"/>
                      <w:color w:val="auto"/>
                      <w:highlight w:val="none"/>
                      <w:lang w:val="en-US" w:eastAsia="zh-CN"/>
                    </w:rPr>
                  </w:pPr>
                  <w:r>
                    <w:rPr>
                      <w:rFonts w:hint="eastAsia"/>
                      <w:color w:val="auto"/>
                      <w:highlight w:val="none"/>
                      <w:lang w:val="en-US" w:eastAsia="zh-CN"/>
                    </w:rPr>
                    <w:t>输送计量投料粉尘</w:t>
                  </w:r>
                </w:p>
              </w:tc>
              <w:tc>
                <w:tcPr>
                  <w:tcW w:w="364" w:type="pct"/>
                  <w:tcBorders>
                    <w:tl2br w:val="nil"/>
                    <w:tr2bl w:val="nil"/>
                  </w:tcBorders>
                  <w:noWrap w:val="0"/>
                  <w:vAlign w:val="center"/>
                </w:tcPr>
                <w:p w14:paraId="561E8F70">
                  <w:pPr>
                    <w:pStyle w:val="34"/>
                    <w:bidi w:val="0"/>
                    <w:ind w:firstLine="0" w:firstLineChars="0"/>
                    <w:rPr>
                      <w:rFonts w:hint="eastAsia"/>
                      <w:color w:val="auto"/>
                      <w:highlight w:val="none"/>
                      <w:lang w:val="en-US" w:eastAsia="zh-CN"/>
                    </w:rPr>
                  </w:pPr>
                  <w:r>
                    <w:rPr>
                      <w:rFonts w:hint="eastAsia"/>
                      <w:color w:val="auto"/>
                      <w:highlight w:val="none"/>
                      <w:lang w:val="en-US" w:eastAsia="zh-CN"/>
                    </w:rPr>
                    <w:t>颗粒物</w:t>
                  </w:r>
                </w:p>
              </w:tc>
              <w:tc>
                <w:tcPr>
                  <w:tcW w:w="316" w:type="pct"/>
                  <w:tcBorders>
                    <w:tl2br w:val="nil"/>
                    <w:tr2bl w:val="nil"/>
                  </w:tcBorders>
                  <w:noWrap w:val="0"/>
                  <w:vAlign w:val="center"/>
                </w:tcPr>
                <w:p w14:paraId="66ED5E24">
                  <w:pPr>
                    <w:pStyle w:val="34"/>
                    <w:bidi w:val="0"/>
                    <w:ind w:firstLine="0" w:firstLineChars="0"/>
                    <w:rPr>
                      <w:rFonts w:hint="eastAsia"/>
                      <w:color w:val="auto"/>
                      <w:highlight w:val="none"/>
                      <w:lang w:val="en-US" w:eastAsia="zh-CN"/>
                    </w:rPr>
                  </w:pPr>
                  <w:r>
                    <w:rPr>
                      <w:rFonts w:hint="eastAsia"/>
                      <w:color w:val="auto"/>
                      <w:highlight w:val="none"/>
                      <w:lang w:val="en-US" w:eastAsia="zh-CN"/>
                    </w:rPr>
                    <w:t>系数法</w:t>
                  </w:r>
                </w:p>
              </w:tc>
              <w:tc>
                <w:tcPr>
                  <w:tcW w:w="316" w:type="pct"/>
                  <w:tcBorders>
                    <w:tl2br w:val="nil"/>
                    <w:tr2bl w:val="nil"/>
                  </w:tcBorders>
                  <w:noWrap w:val="0"/>
                  <w:vAlign w:val="center"/>
                </w:tcPr>
                <w:p w14:paraId="0BE5978C">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079431C9">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746EF595">
                  <w:pPr>
                    <w:pStyle w:val="34"/>
                    <w:bidi w:val="0"/>
                    <w:ind w:firstLine="0" w:firstLineChars="0"/>
                    <w:rPr>
                      <w:rFonts w:hint="default"/>
                      <w:color w:val="auto"/>
                      <w:highlight w:val="none"/>
                      <w:lang w:val="en-US" w:eastAsia="zh-CN"/>
                    </w:rPr>
                  </w:pPr>
                  <w:r>
                    <w:rPr>
                      <w:rFonts w:hint="eastAsia"/>
                      <w:color w:val="auto"/>
                      <w:highlight w:val="none"/>
                      <w:lang w:val="en-US" w:eastAsia="zh-CN"/>
                    </w:rPr>
                    <w:t>2.12</w:t>
                  </w:r>
                </w:p>
              </w:tc>
              <w:tc>
                <w:tcPr>
                  <w:tcW w:w="316" w:type="pct"/>
                  <w:tcBorders>
                    <w:tl2br w:val="nil"/>
                    <w:tr2bl w:val="nil"/>
                  </w:tcBorders>
                  <w:noWrap w:val="0"/>
                  <w:vAlign w:val="center"/>
                </w:tcPr>
                <w:p w14:paraId="7F1C2E84">
                  <w:pPr>
                    <w:pStyle w:val="34"/>
                    <w:bidi w:val="0"/>
                    <w:ind w:firstLine="0" w:firstLineChars="0"/>
                    <w:rPr>
                      <w:rFonts w:hint="default"/>
                      <w:color w:val="auto"/>
                      <w:highlight w:val="none"/>
                      <w:lang w:val="en-US" w:eastAsia="zh-CN"/>
                    </w:rPr>
                  </w:pPr>
                  <w:r>
                    <w:rPr>
                      <w:rFonts w:hint="eastAsia"/>
                      <w:color w:val="auto"/>
                      <w:highlight w:val="none"/>
                      <w:lang w:val="en-US" w:eastAsia="zh-CN"/>
                    </w:rPr>
                    <w:t>1.91</w:t>
                  </w:r>
                </w:p>
              </w:tc>
              <w:tc>
                <w:tcPr>
                  <w:tcW w:w="363" w:type="pct"/>
                  <w:tcBorders>
                    <w:tl2br w:val="nil"/>
                    <w:tr2bl w:val="nil"/>
                  </w:tcBorders>
                  <w:noWrap w:val="0"/>
                  <w:vAlign w:val="center"/>
                </w:tcPr>
                <w:p w14:paraId="328089A1">
                  <w:pPr>
                    <w:pStyle w:val="34"/>
                    <w:bidi w:val="0"/>
                    <w:ind w:firstLine="0" w:firstLineChars="0"/>
                    <w:rPr>
                      <w:rFonts w:hint="eastAsia"/>
                      <w:color w:val="auto"/>
                      <w:highlight w:val="none"/>
                      <w:lang w:val="en-US" w:eastAsia="zh-CN"/>
                    </w:rPr>
                  </w:pPr>
                  <w:r>
                    <w:rPr>
                      <w:rFonts w:hint="eastAsia"/>
                      <w:color w:val="auto"/>
                      <w:highlight w:val="none"/>
                      <w:lang w:val="en-US" w:eastAsia="zh-CN"/>
                    </w:rPr>
                    <w:t>半封闭式罩棚+雾化喷淋装置</w:t>
                  </w:r>
                </w:p>
              </w:tc>
              <w:tc>
                <w:tcPr>
                  <w:tcW w:w="269" w:type="pct"/>
                  <w:tcBorders>
                    <w:tl2br w:val="nil"/>
                    <w:tr2bl w:val="nil"/>
                  </w:tcBorders>
                  <w:noWrap w:val="0"/>
                  <w:vAlign w:val="center"/>
                </w:tcPr>
                <w:p w14:paraId="4448DA2E">
                  <w:pPr>
                    <w:pStyle w:val="34"/>
                    <w:bidi w:val="0"/>
                    <w:ind w:firstLine="0" w:firstLineChars="0"/>
                    <w:rPr>
                      <w:rFonts w:hint="default"/>
                      <w:color w:val="auto"/>
                      <w:highlight w:val="none"/>
                      <w:lang w:val="en-US" w:eastAsia="zh-CN"/>
                    </w:rPr>
                  </w:pPr>
                  <w:r>
                    <w:rPr>
                      <w:rFonts w:hint="eastAsia"/>
                      <w:color w:val="auto"/>
                      <w:highlight w:val="none"/>
                      <w:lang w:val="en-US" w:eastAsia="zh-CN"/>
                    </w:rPr>
                    <w:t>90</w:t>
                  </w:r>
                </w:p>
              </w:tc>
              <w:tc>
                <w:tcPr>
                  <w:tcW w:w="316" w:type="pct"/>
                  <w:tcBorders>
                    <w:tl2br w:val="nil"/>
                    <w:tr2bl w:val="nil"/>
                  </w:tcBorders>
                  <w:noWrap w:val="0"/>
                  <w:vAlign w:val="center"/>
                </w:tcPr>
                <w:p w14:paraId="4B2BE2C8">
                  <w:pPr>
                    <w:pStyle w:val="34"/>
                    <w:bidi w:val="0"/>
                    <w:ind w:firstLine="0" w:firstLineChars="0"/>
                    <w:rPr>
                      <w:rFonts w:hint="eastAsia"/>
                      <w:color w:val="auto"/>
                      <w:highlight w:val="none"/>
                      <w:lang w:val="en-US" w:eastAsia="zh-CN"/>
                    </w:rPr>
                  </w:pPr>
                  <w:r>
                    <w:rPr>
                      <w:rFonts w:hint="eastAsia"/>
                      <w:color w:val="auto"/>
                      <w:highlight w:val="none"/>
                      <w:lang w:val="en-US" w:eastAsia="zh-CN"/>
                    </w:rPr>
                    <w:t>系数法</w:t>
                  </w:r>
                </w:p>
              </w:tc>
              <w:tc>
                <w:tcPr>
                  <w:tcW w:w="316" w:type="pct"/>
                  <w:tcBorders>
                    <w:tl2br w:val="nil"/>
                    <w:tr2bl w:val="nil"/>
                  </w:tcBorders>
                  <w:noWrap w:val="0"/>
                  <w:vAlign w:val="center"/>
                </w:tcPr>
                <w:p w14:paraId="2092E00A">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29AB0D13">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17C3B3AF">
                  <w:pPr>
                    <w:pStyle w:val="34"/>
                    <w:bidi w:val="0"/>
                    <w:ind w:firstLine="0" w:firstLineChars="0"/>
                    <w:rPr>
                      <w:rFonts w:hint="default"/>
                      <w:color w:val="auto"/>
                      <w:highlight w:val="none"/>
                      <w:lang w:val="en-US" w:eastAsia="zh-CN"/>
                    </w:rPr>
                  </w:pPr>
                  <w:r>
                    <w:rPr>
                      <w:rFonts w:hint="eastAsia"/>
                      <w:color w:val="auto"/>
                      <w:highlight w:val="none"/>
                      <w:lang w:val="en-US" w:eastAsia="zh-CN"/>
                    </w:rPr>
                    <w:t>0.21</w:t>
                  </w:r>
                </w:p>
              </w:tc>
              <w:tc>
                <w:tcPr>
                  <w:tcW w:w="324" w:type="pct"/>
                  <w:tcBorders>
                    <w:tl2br w:val="nil"/>
                    <w:tr2bl w:val="nil"/>
                  </w:tcBorders>
                  <w:noWrap w:val="0"/>
                  <w:vAlign w:val="center"/>
                </w:tcPr>
                <w:p w14:paraId="438CE8B2">
                  <w:pPr>
                    <w:pStyle w:val="34"/>
                    <w:bidi w:val="0"/>
                    <w:ind w:firstLine="0" w:firstLineChars="0"/>
                    <w:rPr>
                      <w:rFonts w:hint="default"/>
                      <w:color w:val="auto"/>
                      <w:highlight w:val="none"/>
                      <w:lang w:val="en-US" w:eastAsia="zh-CN"/>
                    </w:rPr>
                  </w:pPr>
                  <w:r>
                    <w:rPr>
                      <w:rFonts w:hint="eastAsia"/>
                      <w:color w:val="auto"/>
                      <w:highlight w:val="none"/>
                      <w:lang w:val="en-US" w:eastAsia="zh-CN"/>
                    </w:rPr>
                    <w:t>0.19</w:t>
                  </w:r>
                </w:p>
              </w:tc>
              <w:tc>
                <w:tcPr>
                  <w:tcW w:w="292" w:type="pct"/>
                  <w:tcBorders>
                    <w:tl2br w:val="nil"/>
                    <w:tr2bl w:val="nil"/>
                  </w:tcBorders>
                  <w:noWrap w:val="0"/>
                  <w:vAlign w:val="center"/>
                </w:tcPr>
                <w:p w14:paraId="1BEA9C04">
                  <w:pPr>
                    <w:pStyle w:val="34"/>
                    <w:bidi w:val="0"/>
                    <w:ind w:firstLine="0" w:firstLineChars="0"/>
                    <w:rPr>
                      <w:rFonts w:hint="default"/>
                      <w:color w:val="auto"/>
                      <w:highlight w:val="none"/>
                      <w:lang w:val="en-US" w:eastAsia="zh-CN"/>
                    </w:rPr>
                  </w:pPr>
                  <w:r>
                    <w:rPr>
                      <w:rFonts w:hint="eastAsia"/>
                      <w:color w:val="auto"/>
                      <w:highlight w:val="none"/>
                      <w:lang w:val="en-US" w:eastAsia="zh-CN"/>
                    </w:rPr>
                    <w:t>900</w:t>
                  </w:r>
                </w:p>
              </w:tc>
            </w:tr>
            <w:tr w14:paraId="2A891F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 w:type="pct"/>
                  <w:vMerge w:val="continue"/>
                  <w:tcBorders>
                    <w:tl2br w:val="nil"/>
                    <w:tr2bl w:val="nil"/>
                  </w:tcBorders>
                  <w:noWrap w:val="0"/>
                  <w:vAlign w:val="center"/>
                </w:tcPr>
                <w:p w14:paraId="7EBFA7AA">
                  <w:pPr>
                    <w:pStyle w:val="34"/>
                    <w:bidi w:val="0"/>
                    <w:rPr>
                      <w:rFonts w:hint="eastAsia"/>
                      <w:color w:val="auto"/>
                      <w:highlight w:val="none"/>
                      <w:lang w:val="en-US" w:eastAsia="zh-CN"/>
                    </w:rPr>
                  </w:pPr>
                </w:p>
              </w:tc>
              <w:tc>
                <w:tcPr>
                  <w:tcW w:w="370" w:type="pct"/>
                  <w:tcBorders>
                    <w:tl2br w:val="nil"/>
                    <w:tr2bl w:val="nil"/>
                  </w:tcBorders>
                  <w:noWrap w:val="0"/>
                  <w:vAlign w:val="center"/>
                </w:tcPr>
                <w:p w14:paraId="3BF83F46">
                  <w:pPr>
                    <w:pStyle w:val="34"/>
                    <w:bidi w:val="0"/>
                    <w:rPr>
                      <w:color w:val="auto"/>
                      <w:highlight w:val="none"/>
                    </w:rPr>
                  </w:pPr>
                  <w:r>
                    <w:rPr>
                      <w:rFonts w:hint="eastAsia"/>
                      <w:color w:val="auto"/>
                      <w:highlight w:val="none"/>
                      <w:lang w:val="en-US" w:eastAsia="zh-CN"/>
                    </w:rPr>
                    <w:t>物料混合搅拌粉尘</w:t>
                  </w:r>
                </w:p>
              </w:tc>
              <w:tc>
                <w:tcPr>
                  <w:tcW w:w="364" w:type="pct"/>
                  <w:tcBorders>
                    <w:tl2br w:val="nil"/>
                    <w:tr2bl w:val="nil"/>
                  </w:tcBorders>
                  <w:noWrap w:val="0"/>
                  <w:vAlign w:val="center"/>
                </w:tcPr>
                <w:p w14:paraId="4F9B7700">
                  <w:pPr>
                    <w:pStyle w:val="34"/>
                    <w:bidi w:val="0"/>
                    <w:ind w:firstLine="0" w:firstLineChars="0"/>
                    <w:rPr>
                      <w:rFonts w:hint="eastAsia"/>
                      <w:color w:val="auto"/>
                      <w:highlight w:val="none"/>
                      <w:lang w:val="en-US" w:eastAsia="zh-CN"/>
                    </w:rPr>
                  </w:pPr>
                  <w:r>
                    <w:rPr>
                      <w:rFonts w:hint="eastAsia"/>
                      <w:color w:val="auto"/>
                      <w:highlight w:val="none"/>
                      <w:lang w:val="en-US" w:eastAsia="zh-CN"/>
                    </w:rPr>
                    <w:t>颗粒物</w:t>
                  </w:r>
                </w:p>
              </w:tc>
              <w:tc>
                <w:tcPr>
                  <w:tcW w:w="316" w:type="pct"/>
                  <w:tcBorders>
                    <w:tl2br w:val="nil"/>
                    <w:tr2bl w:val="nil"/>
                  </w:tcBorders>
                  <w:noWrap w:val="0"/>
                  <w:vAlign w:val="center"/>
                </w:tcPr>
                <w:p w14:paraId="39D29981">
                  <w:pPr>
                    <w:pStyle w:val="34"/>
                    <w:bidi w:val="0"/>
                    <w:ind w:firstLine="0" w:firstLineChars="0"/>
                    <w:rPr>
                      <w:color w:val="auto"/>
                      <w:highlight w:val="none"/>
                    </w:rPr>
                  </w:pPr>
                  <w:r>
                    <w:rPr>
                      <w:rFonts w:hint="eastAsia"/>
                      <w:color w:val="auto"/>
                      <w:highlight w:val="none"/>
                      <w:lang w:val="en-US" w:eastAsia="zh-CN"/>
                    </w:rPr>
                    <w:t>系数法</w:t>
                  </w:r>
                </w:p>
              </w:tc>
              <w:tc>
                <w:tcPr>
                  <w:tcW w:w="316" w:type="pct"/>
                  <w:tcBorders>
                    <w:tl2br w:val="nil"/>
                    <w:tr2bl w:val="nil"/>
                  </w:tcBorders>
                  <w:noWrap w:val="0"/>
                  <w:vAlign w:val="center"/>
                </w:tcPr>
                <w:p w14:paraId="462406AF">
                  <w:pPr>
                    <w:pStyle w:val="34"/>
                    <w:bidi w:val="0"/>
                    <w:ind w:firstLine="0" w:firstLineChars="0"/>
                    <w:rPr>
                      <w:rFonts w:hint="default"/>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7996FAEA">
                  <w:pPr>
                    <w:pStyle w:val="34"/>
                    <w:bidi w:val="0"/>
                    <w:ind w:firstLine="0" w:firstLineChars="0"/>
                    <w:rPr>
                      <w:rFonts w:hint="default"/>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2C598E8C">
                  <w:pPr>
                    <w:pStyle w:val="34"/>
                    <w:bidi w:val="0"/>
                    <w:ind w:firstLine="0" w:firstLineChars="0"/>
                    <w:rPr>
                      <w:rFonts w:hint="default"/>
                      <w:color w:val="auto"/>
                      <w:highlight w:val="none"/>
                      <w:lang w:val="en-US" w:eastAsia="zh-CN"/>
                    </w:rPr>
                  </w:pPr>
                  <w:r>
                    <w:rPr>
                      <w:rFonts w:hint="eastAsia"/>
                      <w:color w:val="auto"/>
                      <w:highlight w:val="none"/>
                      <w:lang w:val="en-US" w:eastAsia="zh-CN"/>
                    </w:rPr>
                    <w:t>8.92</w:t>
                  </w:r>
                </w:p>
              </w:tc>
              <w:tc>
                <w:tcPr>
                  <w:tcW w:w="316" w:type="pct"/>
                  <w:tcBorders>
                    <w:tl2br w:val="nil"/>
                    <w:tr2bl w:val="nil"/>
                  </w:tcBorders>
                  <w:noWrap w:val="0"/>
                  <w:vAlign w:val="center"/>
                </w:tcPr>
                <w:p w14:paraId="7128FB8B">
                  <w:pPr>
                    <w:pStyle w:val="34"/>
                    <w:bidi w:val="0"/>
                    <w:ind w:firstLine="0" w:firstLineChars="0"/>
                    <w:rPr>
                      <w:rFonts w:hint="default"/>
                      <w:color w:val="auto"/>
                      <w:highlight w:val="none"/>
                      <w:lang w:val="en-US" w:eastAsia="zh-CN"/>
                    </w:rPr>
                  </w:pPr>
                  <w:r>
                    <w:rPr>
                      <w:rFonts w:hint="eastAsia"/>
                      <w:color w:val="auto"/>
                      <w:highlight w:val="none"/>
                      <w:lang w:val="en-US" w:eastAsia="zh-CN"/>
                    </w:rPr>
                    <w:t>16.06</w:t>
                  </w:r>
                </w:p>
              </w:tc>
              <w:tc>
                <w:tcPr>
                  <w:tcW w:w="363" w:type="pct"/>
                  <w:tcBorders>
                    <w:tl2br w:val="nil"/>
                    <w:tr2bl w:val="nil"/>
                  </w:tcBorders>
                  <w:noWrap w:val="0"/>
                  <w:vAlign w:val="center"/>
                </w:tcPr>
                <w:p w14:paraId="48955584">
                  <w:pPr>
                    <w:pStyle w:val="34"/>
                    <w:bidi w:val="0"/>
                    <w:ind w:firstLine="0" w:firstLineChars="0"/>
                    <w:rPr>
                      <w:rFonts w:hint="eastAsia"/>
                      <w:color w:val="auto"/>
                      <w:highlight w:val="none"/>
                      <w:lang w:val="en-US" w:eastAsia="zh-CN"/>
                    </w:rPr>
                  </w:pPr>
                  <w:r>
                    <w:rPr>
                      <w:rFonts w:hint="eastAsia"/>
                      <w:color w:val="auto"/>
                      <w:highlight w:val="none"/>
                      <w:lang w:val="en-US" w:eastAsia="zh-CN"/>
                    </w:rPr>
                    <w:t>布袋除尘器</w:t>
                  </w:r>
                </w:p>
              </w:tc>
              <w:tc>
                <w:tcPr>
                  <w:tcW w:w="269" w:type="pct"/>
                  <w:tcBorders>
                    <w:tl2br w:val="nil"/>
                    <w:tr2bl w:val="nil"/>
                  </w:tcBorders>
                  <w:noWrap w:val="0"/>
                  <w:vAlign w:val="center"/>
                </w:tcPr>
                <w:p w14:paraId="55D3193B">
                  <w:pPr>
                    <w:pStyle w:val="34"/>
                    <w:bidi w:val="0"/>
                    <w:ind w:firstLine="0" w:firstLineChars="0"/>
                    <w:rPr>
                      <w:rFonts w:hint="default"/>
                      <w:color w:val="auto"/>
                      <w:highlight w:val="none"/>
                      <w:lang w:val="en-US" w:eastAsia="zh-CN"/>
                    </w:rPr>
                  </w:pPr>
                  <w:r>
                    <w:rPr>
                      <w:rFonts w:hint="eastAsia"/>
                      <w:color w:val="auto"/>
                      <w:highlight w:val="none"/>
                      <w:lang w:val="en-US" w:eastAsia="zh-CN"/>
                    </w:rPr>
                    <w:t>99</w:t>
                  </w:r>
                </w:p>
              </w:tc>
              <w:tc>
                <w:tcPr>
                  <w:tcW w:w="316" w:type="pct"/>
                  <w:tcBorders>
                    <w:tl2br w:val="nil"/>
                    <w:tr2bl w:val="nil"/>
                  </w:tcBorders>
                  <w:noWrap w:val="0"/>
                  <w:vAlign w:val="center"/>
                </w:tcPr>
                <w:p w14:paraId="0C12F8E7">
                  <w:pPr>
                    <w:pStyle w:val="34"/>
                    <w:bidi w:val="0"/>
                    <w:ind w:firstLine="0" w:firstLineChars="0"/>
                    <w:rPr>
                      <w:color w:val="auto"/>
                      <w:highlight w:val="none"/>
                    </w:rPr>
                  </w:pPr>
                  <w:r>
                    <w:rPr>
                      <w:rFonts w:hint="eastAsia"/>
                      <w:color w:val="auto"/>
                      <w:highlight w:val="none"/>
                      <w:lang w:val="en-US" w:eastAsia="zh-CN"/>
                    </w:rPr>
                    <w:t>系数法</w:t>
                  </w:r>
                </w:p>
              </w:tc>
              <w:tc>
                <w:tcPr>
                  <w:tcW w:w="316" w:type="pct"/>
                  <w:tcBorders>
                    <w:tl2br w:val="nil"/>
                    <w:tr2bl w:val="nil"/>
                  </w:tcBorders>
                  <w:noWrap w:val="0"/>
                  <w:vAlign w:val="center"/>
                </w:tcPr>
                <w:p w14:paraId="44044CBE">
                  <w:pPr>
                    <w:pStyle w:val="34"/>
                    <w:bidi w:val="0"/>
                    <w:ind w:firstLine="0" w:firstLineChars="0"/>
                    <w:rPr>
                      <w:rFonts w:hint="default"/>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56F62352">
                  <w:pPr>
                    <w:pStyle w:val="34"/>
                    <w:bidi w:val="0"/>
                    <w:ind w:firstLine="0" w:firstLineChars="0"/>
                    <w:rPr>
                      <w:rFonts w:hint="default"/>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7460AC02">
                  <w:pPr>
                    <w:pStyle w:val="34"/>
                    <w:bidi w:val="0"/>
                    <w:ind w:firstLine="0" w:firstLineChars="0"/>
                    <w:rPr>
                      <w:rFonts w:hint="default"/>
                      <w:color w:val="auto"/>
                      <w:highlight w:val="none"/>
                      <w:lang w:val="en-US" w:eastAsia="zh-CN"/>
                    </w:rPr>
                  </w:pPr>
                  <w:r>
                    <w:rPr>
                      <w:rFonts w:hint="eastAsia"/>
                      <w:color w:val="auto"/>
                      <w:highlight w:val="none"/>
                      <w:lang w:val="en-US" w:eastAsia="zh-CN"/>
                    </w:rPr>
                    <w:t>0.09</w:t>
                  </w:r>
                </w:p>
              </w:tc>
              <w:tc>
                <w:tcPr>
                  <w:tcW w:w="324" w:type="pct"/>
                  <w:tcBorders>
                    <w:tl2br w:val="nil"/>
                    <w:tr2bl w:val="nil"/>
                  </w:tcBorders>
                  <w:noWrap w:val="0"/>
                  <w:vAlign w:val="center"/>
                </w:tcPr>
                <w:p w14:paraId="265D04F4">
                  <w:pPr>
                    <w:pStyle w:val="34"/>
                    <w:bidi w:val="0"/>
                    <w:ind w:firstLine="0" w:firstLineChars="0"/>
                    <w:rPr>
                      <w:rFonts w:hint="default"/>
                      <w:color w:val="auto"/>
                      <w:highlight w:val="none"/>
                      <w:lang w:val="en-US" w:eastAsia="zh-CN"/>
                    </w:rPr>
                  </w:pPr>
                  <w:r>
                    <w:rPr>
                      <w:rFonts w:hint="eastAsia"/>
                      <w:color w:val="auto"/>
                      <w:highlight w:val="none"/>
                      <w:lang w:val="en-US" w:eastAsia="zh-CN"/>
                    </w:rPr>
                    <w:t>0.16</w:t>
                  </w:r>
                </w:p>
              </w:tc>
              <w:tc>
                <w:tcPr>
                  <w:tcW w:w="292" w:type="pct"/>
                  <w:tcBorders>
                    <w:tl2br w:val="nil"/>
                    <w:tr2bl w:val="nil"/>
                  </w:tcBorders>
                  <w:noWrap w:val="0"/>
                  <w:vAlign w:val="center"/>
                </w:tcPr>
                <w:p w14:paraId="4E1ED2A3">
                  <w:pPr>
                    <w:pStyle w:val="34"/>
                    <w:bidi w:val="0"/>
                    <w:ind w:firstLine="0" w:firstLineChars="0"/>
                    <w:rPr>
                      <w:rFonts w:hint="default"/>
                      <w:color w:val="auto"/>
                      <w:highlight w:val="none"/>
                      <w:lang w:val="en-US" w:eastAsia="zh-CN"/>
                    </w:rPr>
                  </w:pPr>
                  <w:r>
                    <w:rPr>
                      <w:rFonts w:hint="eastAsia"/>
                      <w:color w:val="auto"/>
                      <w:highlight w:val="none"/>
                      <w:lang w:val="en-US" w:eastAsia="zh-CN"/>
                    </w:rPr>
                    <w:t>1800</w:t>
                  </w:r>
                </w:p>
              </w:tc>
            </w:tr>
            <w:tr w14:paraId="2783FE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 w:type="pct"/>
                  <w:vMerge w:val="continue"/>
                  <w:tcBorders>
                    <w:tl2br w:val="nil"/>
                    <w:tr2bl w:val="nil"/>
                  </w:tcBorders>
                  <w:noWrap w:val="0"/>
                  <w:vAlign w:val="center"/>
                </w:tcPr>
                <w:p w14:paraId="5FDFB52C">
                  <w:pPr>
                    <w:pStyle w:val="34"/>
                    <w:bidi w:val="0"/>
                    <w:rPr>
                      <w:rFonts w:hint="eastAsia"/>
                      <w:color w:val="auto"/>
                      <w:highlight w:val="none"/>
                      <w:lang w:val="en-US" w:eastAsia="zh-CN"/>
                    </w:rPr>
                  </w:pPr>
                </w:p>
              </w:tc>
              <w:tc>
                <w:tcPr>
                  <w:tcW w:w="370" w:type="pct"/>
                  <w:tcBorders>
                    <w:tl2br w:val="nil"/>
                    <w:tr2bl w:val="nil"/>
                  </w:tcBorders>
                  <w:noWrap w:val="0"/>
                  <w:vAlign w:val="center"/>
                </w:tcPr>
                <w:p w14:paraId="0C526ABD">
                  <w:pPr>
                    <w:pStyle w:val="34"/>
                    <w:bidi w:val="0"/>
                    <w:rPr>
                      <w:rFonts w:hint="eastAsia"/>
                      <w:color w:val="auto"/>
                      <w:highlight w:val="none"/>
                      <w:lang w:val="en-US" w:eastAsia="zh-CN"/>
                    </w:rPr>
                  </w:pPr>
                  <w:r>
                    <w:rPr>
                      <w:rFonts w:hint="eastAsia"/>
                      <w:color w:val="auto"/>
                      <w:highlight w:val="none"/>
                      <w:lang w:val="en-US" w:eastAsia="zh-CN"/>
                    </w:rPr>
                    <w:t>运输扬尘</w:t>
                  </w:r>
                </w:p>
              </w:tc>
              <w:tc>
                <w:tcPr>
                  <w:tcW w:w="364" w:type="pct"/>
                  <w:tcBorders>
                    <w:tl2br w:val="nil"/>
                    <w:tr2bl w:val="nil"/>
                  </w:tcBorders>
                  <w:noWrap w:val="0"/>
                  <w:vAlign w:val="center"/>
                </w:tcPr>
                <w:p w14:paraId="59D0D04A">
                  <w:pPr>
                    <w:pStyle w:val="34"/>
                    <w:bidi w:val="0"/>
                    <w:ind w:firstLine="0" w:firstLineChars="0"/>
                    <w:rPr>
                      <w:rFonts w:hint="eastAsia"/>
                      <w:color w:val="auto"/>
                      <w:highlight w:val="none"/>
                      <w:lang w:val="en-US" w:eastAsia="zh-CN"/>
                    </w:rPr>
                  </w:pPr>
                  <w:r>
                    <w:rPr>
                      <w:rFonts w:hint="eastAsia"/>
                      <w:color w:val="auto"/>
                      <w:highlight w:val="none"/>
                      <w:lang w:val="en-US" w:eastAsia="zh-CN"/>
                    </w:rPr>
                    <w:t>颗粒物</w:t>
                  </w:r>
                </w:p>
              </w:tc>
              <w:tc>
                <w:tcPr>
                  <w:tcW w:w="316" w:type="pct"/>
                  <w:tcBorders>
                    <w:tl2br w:val="nil"/>
                    <w:tr2bl w:val="nil"/>
                  </w:tcBorders>
                  <w:noWrap w:val="0"/>
                  <w:vAlign w:val="center"/>
                </w:tcPr>
                <w:p w14:paraId="1D570C81">
                  <w:pPr>
                    <w:pStyle w:val="34"/>
                    <w:bidi w:val="0"/>
                    <w:ind w:firstLine="0" w:firstLineChars="0"/>
                    <w:rPr>
                      <w:rFonts w:hint="default"/>
                      <w:color w:val="auto"/>
                      <w:highlight w:val="none"/>
                      <w:lang w:val="en-US" w:eastAsia="zh-CN"/>
                    </w:rPr>
                  </w:pPr>
                  <w:r>
                    <w:rPr>
                      <w:rFonts w:hint="eastAsia"/>
                      <w:color w:val="auto"/>
                      <w:highlight w:val="none"/>
                      <w:lang w:val="en-US" w:eastAsia="zh-CN"/>
                    </w:rPr>
                    <w:t>经验公式</w:t>
                  </w:r>
                </w:p>
              </w:tc>
              <w:tc>
                <w:tcPr>
                  <w:tcW w:w="316" w:type="pct"/>
                  <w:tcBorders>
                    <w:tl2br w:val="nil"/>
                    <w:tr2bl w:val="nil"/>
                  </w:tcBorders>
                  <w:noWrap w:val="0"/>
                  <w:vAlign w:val="center"/>
                </w:tcPr>
                <w:p w14:paraId="2063FA67">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306BF455">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4D358C83">
                  <w:pPr>
                    <w:pStyle w:val="34"/>
                    <w:bidi w:val="0"/>
                    <w:ind w:firstLine="0" w:firstLineChars="0"/>
                    <w:rPr>
                      <w:rFonts w:hint="default"/>
                      <w:color w:val="auto"/>
                      <w:highlight w:val="none"/>
                      <w:lang w:val="en-US" w:eastAsia="zh-CN"/>
                    </w:rPr>
                  </w:pPr>
                  <w:r>
                    <w:rPr>
                      <w:rFonts w:hint="eastAsia"/>
                      <w:color w:val="auto"/>
                      <w:highlight w:val="none"/>
                      <w:lang w:val="en-US" w:eastAsia="zh-CN"/>
                    </w:rPr>
                    <w:t>0.37</w:t>
                  </w:r>
                </w:p>
              </w:tc>
              <w:tc>
                <w:tcPr>
                  <w:tcW w:w="316" w:type="pct"/>
                  <w:tcBorders>
                    <w:tl2br w:val="nil"/>
                    <w:tr2bl w:val="nil"/>
                  </w:tcBorders>
                  <w:noWrap w:val="0"/>
                  <w:vAlign w:val="center"/>
                </w:tcPr>
                <w:p w14:paraId="1B66C1C2">
                  <w:pPr>
                    <w:pStyle w:val="34"/>
                    <w:bidi w:val="0"/>
                    <w:ind w:firstLine="0" w:firstLineChars="0"/>
                    <w:rPr>
                      <w:rFonts w:hint="default"/>
                      <w:color w:val="auto"/>
                      <w:highlight w:val="none"/>
                      <w:lang w:val="en-US" w:eastAsia="zh-CN"/>
                    </w:rPr>
                  </w:pPr>
                  <w:r>
                    <w:rPr>
                      <w:rFonts w:hint="eastAsia"/>
                      <w:color w:val="auto"/>
                      <w:highlight w:val="none"/>
                      <w:lang w:val="en-US" w:eastAsia="zh-CN"/>
                    </w:rPr>
                    <w:t>0.02</w:t>
                  </w:r>
                </w:p>
              </w:tc>
              <w:tc>
                <w:tcPr>
                  <w:tcW w:w="363" w:type="pct"/>
                  <w:tcBorders>
                    <w:tl2br w:val="nil"/>
                    <w:tr2bl w:val="nil"/>
                  </w:tcBorders>
                  <w:noWrap w:val="0"/>
                  <w:vAlign w:val="center"/>
                </w:tcPr>
                <w:p w14:paraId="0A36B70F">
                  <w:pPr>
                    <w:pStyle w:val="34"/>
                    <w:bidi w:val="0"/>
                    <w:ind w:firstLine="0" w:firstLineChars="0"/>
                    <w:rPr>
                      <w:rFonts w:hint="eastAsia"/>
                      <w:color w:val="auto"/>
                      <w:highlight w:val="none"/>
                      <w:lang w:val="en-US" w:eastAsia="zh-CN"/>
                    </w:rPr>
                  </w:pPr>
                  <w:r>
                    <w:rPr>
                      <w:rFonts w:hint="eastAsia"/>
                      <w:color w:val="auto"/>
                      <w:highlight w:val="none"/>
                      <w:lang w:val="en-US" w:eastAsia="zh-CN"/>
                    </w:rPr>
                    <w:t>洒水抑尘、</w:t>
                  </w:r>
                  <w:r>
                    <w:rPr>
                      <w:rFonts w:hint="eastAsia"/>
                      <w:color w:val="auto"/>
                      <w:highlight w:val="none"/>
                    </w:rPr>
                    <w:t>车辆采用</w:t>
                  </w:r>
                  <w:r>
                    <w:rPr>
                      <w:rFonts w:hint="eastAsia"/>
                      <w:color w:val="auto"/>
                      <w:highlight w:val="none"/>
                      <w:lang w:val="en-US" w:eastAsia="zh-CN"/>
                    </w:rPr>
                    <w:t>苫盖、</w:t>
                  </w:r>
                  <w:r>
                    <w:rPr>
                      <w:rFonts w:hint="eastAsia"/>
                      <w:color w:val="auto"/>
                      <w:highlight w:val="none"/>
                      <w:lang w:eastAsia="zh-CN"/>
                    </w:rPr>
                    <w:t>密闭</w:t>
                  </w:r>
                </w:p>
              </w:tc>
              <w:tc>
                <w:tcPr>
                  <w:tcW w:w="269" w:type="pct"/>
                  <w:tcBorders>
                    <w:tl2br w:val="nil"/>
                    <w:tr2bl w:val="nil"/>
                  </w:tcBorders>
                  <w:noWrap w:val="0"/>
                  <w:vAlign w:val="center"/>
                </w:tcPr>
                <w:p w14:paraId="31E2AEB0">
                  <w:pPr>
                    <w:pStyle w:val="34"/>
                    <w:bidi w:val="0"/>
                    <w:ind w:firstLine="0" w:firstLineChars="0"/>
                    <w:rPr>
                      <w:rFonts w:hint="default"/>
                      <w:color w:val="auto"/>
                      <w:highlight w:val="none"/>
                      <w:lang w:val="en-US" w:eastAsia="zh-CN"/>
                    </w:rPr>
                  </w:pPr>
                  <w:r>
                    <w:rPr>
                      <w:rFonts w:hint="eastAsia"/>
                      <w:color w:val="auto"/>
                      <w:highlight w:val="none"/>
                      <w:lang w:val="en-US" w:eastAsia="zh-CN"/>
                    </w:rPr>
                    <w:t>66</w:t>
                  </w:r>
                </w:p>
              </w:tc>
              <w:tc>
                <w:tcPr>
                  <w:tcW w:w="316" w:type="pct"/>
                  <w:tcBorders>
                    <w:tl2br w:val="nil"/>
                    <w:tr2bl w:val="nil"/>
                  </w:tcBorders>
                  <w:noWrap w:val="0"/>
                  <w:vAlign w:val="center"/>
                </w:tcPr>
                <w:p w14:paraId="17746F2D">
                  <w:pPr>
                    <w:pStyle w:val="34"/>
                    <w:bidi w:val="0"/>
                    <w:ind w:firstLine="0" w:firstLineChars="0"/>
                    <w:rPr>
                      <w:rFonts w:hint="eastAsia"/>
                      <w:color w:val="auto"/>
                      <w:highlight w:val="none"/>
                      <w:lang w:val="en-US" w:eastAsia="zh-CN"/>
                    </w:rPr>
                  </w:pPr>
                  <w:r>
                    <w:rPr>
                      <w:rFonts w:hint="eastAsia"/>
                      <w:color w:val="auto"/>
                      <w:highlight w:val="none"/>
                      <w:lang w:val="en-US" w:eastAsia="zh-CN"/>
                    </w:rPr>
                    <w:t>经验公式</w:t>
                  </w:r>
                </w:p>
              </w:tc>
              <w:tc>
                <w:tcPr>
                  <w:tcW w:w="316" w:type="pct"/>
                  <w:tcBorders>
                    <w:tl2br w:val="nil"/>
                    <w:tr2bl w:val="nil"/>
                  </w:tcBorders>
                  <w:noWrap w:val="0"/>
                  <w:vAlign w:val="center"/>
                </w:tcPr>
                <w:p w14:paraId="49454820">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2392B8CD">
                  <w:pPr>
                    <w:pStyle w:val="34"/>
                    <w:bidi w:val="0"/>
                    <w:ind w:firstLine="0" w:firstLineChars="0"/>
                    <w:rPr>
                      <w:rFonts w:hint="eastAsia"/>
                      <w:color w:val="auto"/>
                      <w:highlight w:val="none"/>
                      <w:lang w:val="en-US" w:eastAsia="zh-CN"/>
                    </w:rPr>
                  </w:pPr>
                  <w:r>
                    <w:rPr>
                      <w:rFonts w:hint="eastAsia"/>
                      <w:color w:val="auto"/>
                      <w:highlight w:val="none"/>
                      <w:lang w:val="en-US" w:eastAsia="zh-CN"/>
                    </w:rPr>
                    <w:t>/</w:t>
                  </w:r>
                </w:p>
              </w:tc>
              <w:tc>
                <w:tcPr>
                  <w:tcW w:w="316" w:type="pct"/>
                  <w:tcBorders>
                    <w:tl2br w:val="nil"/>
                    <w:tr2bl w:val="nil"/>
                  </w:tcBorders>
                  <w:noWrap w:val="0"/>
                  <w:vAlign w:val="center"/>
                </w:tcPr>
                <w:p w14:paraId="5E3085BF">
                  <w:pPr>
                    <w:pStyle w:val="34"/>
                    <w:bidi w:val="0"/>
                    <w:ind w:firstLine="0" w:firstLineChars="0"/>
                    <w:rPr>
                      <w:rFonts w:hint="default"/>
                      <w:color w:val="auto"/>
                      <w:highlight w:val="none"/>
                      <w:lang w:val="en-US" w:eastAsia="zh-CN"/>
                    </w:rPr>
                  </w:pPr>
                  <w:r>
                    <w:rPr>
                      <w:rFonts w:hint="eastAsia"/>
                      <w:color w:val="auto"/>
                      <w:highlight w:val="none"/>
                      <w:lang w:val="en-US" w:eastAsia="zh-CN"/>
                    </w:rPr>
                    <w:t>0.13</w:t>
                  </w:r>
                </w:p>
              </w:tc>
              <w:tc>
                <w:tcPr>
                  <w:tcW w:w="324" w:type="pct"/>
                  <w:tcBorders>
                    <w:tl2br w:val="nil"/>
                    <w:tr2bl w:val="nil"/>
                  </w:tcBorders>
                  <w:noWrap w:val="0"/>
                  <w:vAlign w:val="center"/>
                </w:tcPr>
                <w:p w14:paraId="22E28C85">
                  <w:pPr>
                    <w:pStyle w:val="34"/>
                    <w:bidi w:val="0"/>
                    <w:ind w:firstLine="0" w:firstLineChars="0"/>
                    <w:rPr>
                      <w:rFonts w:hint="default"/>
                      <w:color w:val="auto"/>
                      <w:highlight w:val="none"/>
                      <w:lang w:val="en-US" w:eastAsia="zh-CN"/>
                    </w:rPr>
                  </w:pPr>
                  <w:r>
                    <w:rPr>
                      <w:rFonts w:hint="eastAsia"/>
                      <w:color w:val="auto"/>
                      <w:highlight w:val="none"/>
                      <w:lang w:val="en-US" w:eastAsia="zh-CN"/>
                    </w:rPr>
                    <w:t>0.0068</w:t>
                  </w:r>
                </w:p>
              </w:tc>
              <w:tc>
                <w:tcPr>
                  <w:tcW w:w="292" w:type="pct"/>
                  <w:tcBorders>
                    <w:tl2br w:val="nil"/>
                    <w:tr2bl w:val="nil"/>
                  </w:tcBorders>
                  <w:noWrap w:val="0"/>
                  <w:vAlign w:val="center"/>
                </w:tcPr>
                <w:p w14:paraId="4B248166">
                  <w:pPr>
                    <w:pStyle w:val="34"/>
                    <w:bidi w:val="0"/>
                    <w:ind w:firstLine="0" w:firstLineChars="0"/>
                    <w:rPr>
                      <w:rFonts w:hint="default"/>
                      <w:color w:val="auto"/>
                      <w:highlight w:val="none"/>
                      <w:lang w:val="en-US" w:eastAsia="zh-CN"/>
                    </w:rPr>
                  </w:pPr>
                  <w:r>
                    <w:rPr>
                      <w:rFonts w:hint="eastAsia"/>
                      <w:color w:val="auto"/>
                      <w:highlight w:val="none"/>
                      <w:lang w:val="en-US" w:eastAsia="zh-CN"/>
                    </w:rPr>
                    <w:t>54</w:t>
                  </w:r>
                </w:p>
              </w:tc>
            </w:tr>
          </w:tbl>
          <w:p w14:paraId="1EB2B687">
            <w:pPr>
              <w:pStyle w:val="42"/>
              <w:rPr>
                <w:rFonts w:hint="eastAsia"/>
                <w:color w:val="auto"/>
                <w:highlight w:val="none"/>
                <w:lang w:eastAsia="zh-CN"/>
              </w:rPr>
            </w:pPr>
          </w:p>
        </w:tc>
      </w:tr>
    </w:tbl>
    <w:p w14:paraId="0182C4F5">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sectPr>
          <w:pgSz w:w="16840" w:h="11907" w:orient="landscape"/>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tbl>
      <w:tblPr>
        <w:tblStyle w:val="23"/>
        <w:tblW w:w="504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5"/>
        <w:gridCol w:w="7846"/>
      </w:tblGrid>
      <w:tr w14:paraId="3B2619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04" w:hRule="atLeast"/>
          <w:jc w:val="center"/>
        </w:trPr>
        <w:tc>
          <w:tcPr>
            <w:tcW w:w="396" w:type="pct"/>
            <w:noWrap w:val="0"/>
            <w:tcMar>
              <w:left w:w="28" w:type="dxa"/>
              <w:right w:w="28" w:type="dxa"/>
            </w:tcMar>
            <w:vAlign w:val="center"/>
          </w:tcPr>
          <w:p w14:paraId="3B3380CC">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运营</w:t>
            </w:r>
          </w:p>
          <w:p w14:paraId="3429AB5B">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期环</w:t>
            </w:r>
          </w:p>
          <w:p w14:paraId="4BBC5541">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境影</w:t>
            </w:r>
          </w:p>
          <w:p w14:paraId="1D435388">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响和</w:t>
            </w:r>
          </w:p>
          <w:p w14:paraId="496526A0">
            <w:pPr>
              <w:keepNext w:val="0"/>
              <w:keepLines w:val="0"/>
              <w:pageBreakBefore w:val="0"/>
              <w:widowControl w:val="0"/>
              <w:kinsoku/>
              <w:wordWrap/>
              <w:overflowPunct w:val="0"/>
              <w:topLinePunct/>
              <w:autoSpaceDE/>
              <w:autoSpaceDN/>
              <w:bidi w:val="0"/>
              <w:adjustRightInd/>
              <w:snapToGrid/>
              <w:spacing w:line="240" w:lineRule="auto"/>
              <w:jc w:val="center"/>
              <w:textAlignment w:val="auto"/>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保护</w:t>
            </w:r>
          </w:p>
          <w:p w14:paraId="283D5684">
            <w:pPr>
              <w:pStyle w:val="42"/>
              <w:rPr>
                <w:rFonts w:hint="eastAsia"/>
                <w:color w:val="auto"/>
                <w:highlight w:val="none"/>
              </w:rPr>
            </w:pPr>
            <w:r>
              <w:rPr>
                <w:rFonts w:hint="eastAsia" w:ascii="Times New Roman" w:hAnsi="Times New Roman" w:eastAsia="宋体" w:cs="宋体"/>
                <w:bCs/>
                <w:color w:val="auto"/>
                <w:sz w:val="24"/>
                <w:szCs w:val="24"/>
                <w:highlight w:val="none"/>
              </w:rPr>
              <w:t>措施</w:t>
            </w:r>
          </w:p>
        </w:tc>
        <w:tc>
          <w:tcPr>
            <w:tcW w:w="4603" w:type="pct"/>
            <w:noWrap w:val="0"/>
            <w:vAlign w:val="center"/>
          </w:tcPr>
          <w:p w14:paraId="37BA7E17">
            <w:pPr>
              <w:pStyle w:val="31"/>
              <w:bidi w:val="0"/>
              <w:rPr>
                <w:b/>
                <w:bCs/>
                <w:color w:val="auto"/>
                <w:highlight w:val="none"/>
              </w:rPr>
            </w:pPr>
            <w:r>
              <w:rPr>
                <w:rFonts w:hint="eastAsia"/>
                <w:b/>
                <w:bCs/>
                <w:color w:val="auto"/>
                <w:highlight w:val="none"/>
                <w:lang w:val="en-US" w:eastAsia="zh-CN"/>
              </w:rPr>
              <w:t>2、</w:t>
            </w:r>
            <w:r>
              <w:rPr>
                <w:b/>
                <w:bCs/>
                <w:color w:val="auto"/>
                <w:highlight w:val="none"/>
              </w:rPr>
              <w:t>非正常工况废气排放</w:t>
            </w:r>
          </w:p>
          <w:p w14:paraId="146CC70B">
            <w:pPr>
              <w:pStyle w:val="31"/>
              <w:bidi w:val="0"/>
              <w:rPr>
                <w:rFonts w:hint="eastAsia"/>
                <w:color w:val="auto"/>
                <w:highlight w:val="none"/>
                <w:lang w:val="en-US" w:eastAsia="zh-CN"/>
              </w:rPr>
            </w:pPr>
            <w:r>
              <w:rPr>
                <w:color w:val="auto"/>
                <w:highlight w:val="none"/>
              </w:rPr>
              <w:t>本项目非正常工况</w:t>
            </w:r>
            <w:r>
              <w:rPr>
                <w:rFonts w:hint="eastAsia"/>
                <w:color w:val="auto"/>
                <w:highlight w:val="none"/>
                <w:lang w:val="en-US" w:eastAsia="zh-CN"/>
              </w:rPr>
              <w:t>设定如下：</w:t>
            </w:r>
          </w:p>
          <w:p w14:paraId="43175A26">
            <w:pPr>
              <w:pStyle w:val="31"/>
              <w:bidi w:val="0"/>
              <w:rPr>
                <w:color w:val="auto"/>
                <w:highlight w:val="none"/>
              </w:rPr>
            </w:pPr>
            <w:r>
              <w:rPr>
                <w:color w:val="auto"/>
                <w:highlight w:val="none"/>
              </w:rPr>
              <w:t>废气</w:t>
            </w:r>
            <w:r>
              <w:rPr>
                <w:rFonts w:hint="eastAsia"/>
                <w:color w:val="auto"/>
                <w:highlight w:val="none"/>
              </w:rPr>
              <w:t>布袋除尘器</w:t>
            </w:r>
            <w:r>
              <w:rPr>
                <w:rFonts w:hint="eastAsia"/>
                <w:color w:val="auto"/>
                <w:highlight w:val="none"/>
                <w:lang w:val="en-US" w:eastAsia="zh-CN"/>
              </w:rPr>
              <w:t>破损（效率为90%）</w:t>
            </w:r>
            <w:r>
              <w:rPr>
                <w:color w:val="auto"/>
                <w:highlight w:val="none"/>
              </w:rPr>
              <w:t>，本项目非正常工况下大气污染物排放参数见表</w:t>
            </w:r>
            <w:r>
              <w:rPr>
                <w:rFonts w:hint="eastAsia"/>
                <w:color w:val="auto"/>
                <w:highlight w:val="none"/>
              </w:rPr>
              <w:t>4-</w:t>
            </w:r>
            <w:r>
              <w:rPr>
                <w:rFonts w:hint="eastAsia"/>
                <w:color w:val="auto"/>
                <w:highlight w:val="none"/>
                <w:lang w:val="en-US" w:eastAsia="zh-CN"/>
              </w:rPr>
              <w:t>2</w:t>
            </w:r>
            <w:r>
              <w:rPr>
                <w:color w:val="auto"/>
                <w:highlight w:val="none"/>
              </w:rPr>
              <w:t>。</w:t>
            </w:r>
          </w:p>
          <w:p w14:paraId="7E4BEEAD">
            <w:pPr>
              <w:pStyle w:val="36"/>
              <w:bidi w:val="0"/>
              <w:rPr>
                <w:color w:val="auto"/>
                <w:highlight w:val="none"/>
              </w:rPr>
            </w:pPr>
            <w:r>
              <w:rPr>
                <w:color w:val="auto"/>
                <w:highlight w:val="none"/>
              </w:rPr>
              <w:t>表</w:t>
            </w:r>
            <w:r>
              <w:rPr>
                <w:rFonts w:hint="eastAsia"/>
                <w:color w:val="auto"/>
                <w:highlight w:val="none"/>
                <w:lang w:val="en-US"/>
              </w:rPr>
              <w:t>4-</w:t>
            </w:r>
            <w:r>
              <w:rPr>
                <w:rFonts w:hint="eastAsia"/>
                <w:color w:val="auto"/>
                <w:highlight w:val="none"/>
                <w:lang w:val="en-US" w:eastAsia="zh-CN"/>
              </w:rPr>
              <w:t>2</w:t>
            </w:r>
            <w:r>
              <w:rPr>
                <w:color w:val="auto"/>
                <w:highlight w:val="none"/>
              </w:rPr>
              <w:t>本项目非正常工况下废气估算模式参数值</w:t>
            </w:r>
          </w:p>
          <w:tbl>
            <w:tblPr>
              <w:tblStyle w:val="23"/>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45"/>
              <w:gridCol w:w="1078"/>
              <w:gridCol w:w="1365"/>
              <w:gridCol w:w="930"/>
              <w:gridCol w:w="1365"/>
              <w:gridCol w:w="765"/>
              <w:gridCol w:w="780"/>
              <w:gridCol w:w="701"/>
            </w:tblGrid>
            <w:tr w14:paraId="31CDF3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29" w:type="pct"/>
                  <w:gridSpan w:val="2"/>
                  <w:noWrap w:val="0"/>
                  <w:vAlign w:val="center"/>
                </w:tcPr>
                <w:p w14:paraId="16A35132">
                  <w:pPr>
                    <w:pStyle w:val="34"/>
                    <w:bidi w:val="0"/>
                    <w:rPr>
                      <w:rFonts w:hint="default"/>
                      <w:color w:val="auto"/>
                      <w:highlight w:val="none"/>
                    </w:rPr>
                  </w:pPr>
                  <w:r>
                    <w:rPr>
                      <w:rFonts w:hint="default"/>
                      <w:color w:val="auto"/>
                      <w:highlight w:val="none"/>
                    </w:rPr>
                    <w:t>非正常排放源</w:t>
                  </w:r>
                </w:p>
              </w:tc>
              <w:tc>
                <w:tcPr>
                  <w:tcW w:w="894" w:type="pct"/>
                  <w:noWrap w:val="0"/>
                  <w:vAlign w:val="center"/>
                </w:tcPr>
                <w:p w14:paraId="77FAB01B">
                  <w:pPr>
                    <w:pStyle w:val="34"/>
                    <w:bidi w:val="0"/>
                    <w:rPr>
                      <w:rFonts w:hint="default"/>
                      <w:color w:val="auto"/>
                      <w:highlight w:val="none"/>
                    </w:rPr>
                  </w:pPr>
                  <w:r>
                    <w:rPr>
                      <w:rFonts w:hint="default"/>
                      <w:color w:val="auto"/>
                      <w:highlight w:val="none"/>
                    </w:rPr>
                    <w:t>非正常排放原因</w:t>
                  </w:r>
                </w:p>
              </w:tc>
              <w:tc>
                <w:tcPr>
                  <w:tcW w:w="609" w:type="pct"/>
                  <w:noWrap w:val="0"/>
                  <w:vAlign w:val="center"/>
                </w:tcPr>
                <w:p w14:paraId="4EB461E4">
                  <w:pPr>
                    <w:pStyle w:val="34"/>
                    <w:bidi w:val="0"/>
                    <w:rPr>
                      <w:rFonts w:hint="default"/>
                      <w:color w:val="auto"/>
                      <w:highlight w:val="none"/>
                    </w:rPr>
                  </w:pPr>
                  <w:r>
                    <w:rPr>
                      <w:rFonts w:hint="default"/>
                      <w:color w:val="auto"/>
                      <w:highlight w:val="none"/>
                    </w:rPr>
                    <w:t>污染物</w:t>
                  </w:r>
                </w:p>
              </w:tc>
              <w:tc>
                <w:tcPr>
                  <w:tcW w:w="894" w:type="pct"/>
                  <w:noWrap w:val="0"/>
                  <w:vAlign w:val="center"/>
                </w:tcPr>
                <w:p w14:paraId="7B081964">
                  <w:pPr>
                    <w:pStyle w:val="34"/>
                    <w:bidi w:val="0"/>
                    <w:rPr>
                      <w:rFonts w:hint="default"/>
                      <w:color w:val="auto"/>
                      <w:highlight w:val="none"/>
                    </w:rPr>
                  </w:pPr>
                  <w:r>
                    <w:rPr>
                      <w:rFonts w:hint="default"/>
                      <w:color w:val="auto"/>
                      <w:highlight w:val="none"/>
                    </w:rPr>
                    <w:t>非正常排放速率（kg/h）</w:t>
                  </w:r>
                </w:p>
              </w:tc>
              <w:tc>
                <w:tcPr>
                  <w:tcW w:w="501" w:type="pct"/>
                  <w:noWrap w:val="0"/>
                  <w:vAlign w:val="center"/>
                </w:tcPr>
                <w:p w14:paraId="244151C8">
                  <w:pPr>
                    <w:pStyle w:val="34"/>
                    <w:bidi w:val="0"/>
                    <w:rPr>
                      <w:rFonts w:hint="default"/>
                      <w:color w:val="auto"/>
                      <w:highlight w:val="none"/>
                    </w:rPr>
                  </w:pPr>
                  <w:r>
                    <w:rPr>
                      <w:rFonts w:hint="default"/>
                      <w:color w:val="auto"/>
                      <w:highlight w:val="none"/>
                    </w:rPr>
                    <w:t>单次持续时间/h</w:t>
                  </w:r>
                </w:p>
              </w:tc>
              <w:tc>
                <w:tcPr>
                  <w:tcW w:w="511" w:type="pct"/>
                  <w:tcBorders>
                    <w:right w:val="single" w:color="auto" w:sz="4" w:space="0"/>
                  </w:tcBorders>
                  <w:noWrap w:val="0"/>
                  <w:vAlign w:val="center"/>
                </w:tcPr>
                <w:p w14:paraId="10A6C77A">
                  <w:pPr>
                    <w:pStyle w:val="34"/>
                    <w:bidi w:val="0"/>
                    <w:rPr>
                      <w:rFonts w:hint="default"/>
                      <w:color w:val="auto"/>
                      <w:highlight w:val="none"/>
                    </w:rPr>
                  </w:pPr>
                  <w:r>
                    <w:rPr>
                      <w:rFonts w:hint="default"/>
                      <w:color w:val="auto"/>
                      <w:highlight w:val="none"/>
                    </w:rPr>
                    <w:t>年发生频次/次</w:t>
                  </w:r>
                </w:p>
              </w:tc>
              <w:tc>
                <w:tcPr>
                  <w:tcW w:w="459" w:type="pct"/>
                  <w:tcBorders>
                    <w:left w:val="single" w:color="auto" w:sz="4" w:space="0"/>
                  </w:tcBorders>
                  <w:noWrap w:val="0"/>
                  <w:vAlign w:val="center"/>
                </w:tcPr>
                <w:p w14:paraId="6286B09C">
                  <w:pPr>
                    <w:pStyle w:val="34"/>
                    <w:bidi w:val="0"/>
                    <w:rPr>
                      <w:rFonts w:hint="default"/>
                      <w:color w:val="auto"/>
                      <w:highlight w:val="none"/>
                    </w:rPr>
                  </w:pPr>
                  <w:r>
                    <w:rPr>
                      <w:rFonts w:hint="default"/>
                      <w:color w:val="auto"/>
                      <w:highlight w:val="none"/>
                    </w:rPr>
                    <w:t>应对措施</w:t>
                  </w:r>
                </w:p>
              </w:tc>
            </w:tr>
            <w:tr w14:paraId="2E13BA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22" w:type="pct"/>
                  <w:vMerge w:val="restart"/>
                  <w:noWrap w:val="0"/>
                  <w:vAlign w:val="center"/>
                </w:tcPr>
                <w:p w14:paraId="12724914">
                  <w:pPr>
                    <w:pStyle w:val="34"/>
                    <w:bidi w:val="0"/>
                    <w:ind w:firstLine="0" w:firstLineChars="0"/>
                    <w:rPr>
                      <w:rFonts w:hint="default"/>
                      <w:color w:val="auto"/>
                      <w:highlight w:val="none"/>
                    </w:rPr>
                  </w:pPr>
                  <w:r>
                    <w:rPr>
                      <w:rFonts w:hint="eastAsia"/>
                      <w:color w:val="auto"/>
                      <w:sz w:val="21"/>
                      <w:szCs w:val="21"/>
                      <w:highlight w:val="none"/>
                      <w:lang w:val="en-US" w:eastAsia="zh-CN"/>
                    </w:rPr>
                    <w:t>商品混凝土生产线</w:t>
                  </w:r>
                </w:p>
              </w:tc>
              <w:tc>
                <w:tcPr>
                  <w:tcW w:w="706" w:type="pct"/>
                  <w:shd w:val="clear" w:color="auto" w:fill="auto"/>
                  <w:noWrap w:val="0"/>
                  <w:vAlign w:val="center"/>
                </w:tcPr>
                <w:p w14:paraId="39079CE6">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水泥筒仓粉尘</w:t>
                  </w:r>
                </w:p>
              </w:tc>
              <w:tc>
                <w:tcPr>
                  <w:tcW w:w="894" w:type="pct"/>
                  <w:shd w:val="clear" w:color="auto" w:fill="auto"/>
                  <w:noWrap w:val="0"/>
                  <w:vAlign w:val="center"/>
                </w:tcPr>
                <w:p w14:paraId="01023362">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除尘器</w:t>
                  </w:r>
                  <w:r>
                    <w:rPr>
                      <w:rFonts w:hint="default"/>
                      <w:color w:val="auto"/>
                      <w:highlight w:val="none"/>
                      <w:lang w:val="en-US" w:eastAsia="zh-CN"/>
                    </w:rPr>
                    <w:t>故障</w:t>
                  </w:r>
                </w:p>
              </w:tc>
              <w:tc>
                <w:tcPr>
                  <w:tcW w:w="609" w:type="pct"/>
                  <w:shd w:val="clear" w:color="auto" w:fill="auto"/>
                  <w:noWrap w:val="0"/>
                  <w:vAlign w:val="center"/>
                </w:tcPr>
                <w:p w14:paraId="0335B347">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颗粒物</w:t>
                  </w:r>
                </w:p>
              </w:tc>
              <w:tc>
                <w:tcPr>
                  <w:tcW w:w="894" w:type="pct"/>
                  <w:shd w:val="clear" w:color="auto" w:fill="auto"/>
                  <w:noWrap w:val="0"/>
                  <w:vAlign w:val="center"/>
                </w:tcPr>
                <w:p w14:paraId="268E5250">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0.719</w:t>
                  </w:r>
                </w:p>
              </w:tc>
              <w:tc>
                <w:tcPr>
                  <w:tcW w:w="501" w:type="pct"/>
                  <w:vMerge w:val="restart"/>
                  <w:noWrap w:val="0"/>
                  <w:vAlign w:val="center"/>
                </w:tcPr>
                <w:p w14:paraId="3BD1256B">
                  <w:pPr>
                    <w:pStyle w:val="34"/>
                    <w:bidi w:val="0"/>
                    <w:rPr>
                      <w:rFonts w:hint="default"/>
                      <w:color w:val="auto"/>
                      <w:highlight w:val="none"/>
                      <w:lang w:val="en-US" w:eastAsia="zh-CN"/>
                    </w:rPr>
                  </w:pPr>
                  <w:r>
                    <w:rPr>
                      <w:rFonts w:hint="default"/>
                      <w:color w:val="auto"/>
                      <w:highlight w:val="none"/>
                      <w:lang w:val="en-US" w:eastAsia="zh-CN"/>
                    </w:rPr>
                    <w:t>＜1</w:t>
                  </w:r>
                </w:p>
              </w:tc>
              <w:tc>
                <w:tcPr>
                  <w:tcW w:w="511" w:type="pct"/>
                  <w:vMerge w:val="restart"/>
                  <w:tcBorders>
                    <w:right w:val="single" w:color="auto" w:sz="4" w:space="0"/>
                  </w:tcBorders>
                  <w:noWrap w:val="0"/>
                  <w:vAlign w:val="center"/>
                </w:tcPr>
                <w:p w14:paraId="0BDB5B42">
                  <w:pPr>
                    <w:pStyle w:val="34"/>
                    <w:bidi w:val="0"/>
                    <w:rPr>
                      <w:rFonts w:hint="default"/>
                      <w:color w:val="auto"/>
                      <w:highlight w:val="none"/>
                      <w:lang w:val="en-US" w:eastAsia="zh-CN"/>
                    </w:rPr>
                  </w:pPr>
                  <w:r>
                    <w:rPr>
                      <w:rFonts w:hint="default"/>
                      <w:color w:val="auto"/>
                      <w:highlight w:val="none"/>
                      <w:lang w:val="en-US" w:eastAsia="zh-CN"/>
                    </w:rPr>
                    <w:t>1</w:t>
                  </w:r>
                </w:p>
              </w:tc>
              <w:tc>
                <w:tcPr>
                  <w:tcW w:w="459" w:type="pct"/>
                  <w:vMerge w:val="restart"/>
                  <w:tcBorders>
                    <w:left w:val="single" w:color="auto" w:sz="4" w:space="0"/>
                  </w:tcBorders>
                  <w:noWrap w:val="0"/>
                  <w:vAlign w:val="center"/>
                </w:tcPr>
                <w:p w14:paraId="5186F762">
                  <w:pPr>
                    <w:pStyle w:val="34"/>
                    <w:bidi w:val="0"/>
                    <w:rPr>
                      <w:rFonts w:hint="default"/>
                      <w:color w:val="auto"/>
                      <w:highlight w:val="none"/>
                    </w:rPr>
                  </w:pPr>
                  <w:r>
                    <w:rPr>
                      <w:rFonts w:hint="default"/>
                      <w:color w:val="auto"/>
                      <w:highlight w:val="none"/>
                    </w:rPr>
                    <w:t>及时检修，加强维护</w:t>
                  </w:r>
                </w:p>
              </w:tc>
            </w:tr>
            <w:tr w14:paraId="765E1C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22" w:type="pct"/>
                  <w:vMerge w:val="continue"/>
                  <w:noWrap w:val="0"/>
                  <w:vAlign w:val="center"/>
                </w:tcPr>
                <w:p w14:paraId="442C8CE3">
                  <w:pPr>
                    <w:pStyle w:val="34"/>
                    <w:bidi w:val="0"/>
                    <w:ind w:firstLine="0" w:firstLineChars="0"/>
                    <w:rPr>
                      <w:rFonts w:hint="eastAsia" w:eastAsia="宋体"/>
                      <w:color w:val="auto"/>
                      <w:highlight w:val="none"/>
                      <w:lang w:val="en-US" w:eastAsia="zh-CN"/>
                    </w:rPr>
                  </w:pPr>
                </w:p>
              </w:tc>
              <w:tc>
                <w:tcPr>
                  <w:tcW w:w="706" w:type="pct"/>
                  <w:shd w:val="clear" w:color="auto" w:fill="auto"/>
                  <w:noWrap w:val="0"/>
                  <w:vAlign w:val="center"/>
                </w:tcPr>
                <w:p w14:paraId="369FDFF5">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粉煤灰筒仓</w:t>
                  </w:r>
                  <w:r>
                    <w:rPr>
                      <w:rFonts w:hint="eastAsia"/>
                      <w:color w:val="auto"/>
                      <w:highlight w:val="none"/>
                      <w:lang w:val="en-US" w:eastAsia="zh-CN"/>
                    </w:rPr>
                    <w:t>粉尘</w:t>
                  </w:r>
                </w:p>
              </w:tc>
              <w:tc>
                <w:tcPr>
                  <w:tcW w:w="894" w:type="pct"/>
                  <w:shd w:val="clear" w:color="auto" w:fill="auto"/>
                  <w:noWrap w:val="0"/>
                  <w:vAlign w:val="center"/>
                </w:tcPr>
                <w:p w14:paraId="24ED3F3F">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除尘器</w:t>
                  </w:r>
                  <w:r>
                    <w:rPr>
                      <w:rFonts w:hint="default"/>
                      <w:color w:val="auto"/>
                      <w:highlight w:val="none"/>
                      <w:lang w:val="en-US" w:eastAsia="zh-CN"/>
                    </w:rPr>
                    <w:t>故障</w:t>
                  </w:r>
                </w:p>
              </w:tc>
              <w:tc>
                <w:tcPr>
                  <w:tcW w:w="609" w:type="pct"/>
                  <w:shd w:val="clear" w:color="auto" w:fill="auto"/>
                  <w:noWrap w:val="0"/>
                  <w:vAlign w:val="center"/>
                </w:tcPr>
                <w:p w14:paraId="2BF0AD5D">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ascii="Times New Roman" w:hAnsi="Times New Roman" w:eastAsia="宋体" w:cs="宋体"/>
                      <w:color w:val="auto"/>
                      <w:highlight w:val="none"/>
                      <w:lang w:val="en-US" w:eastAsia="zh-CN"/>
                    </w:rPr>
                    <w:t>颗粒物</w:t>
                  </w:r>
                </w:p>
              </w:tc>
              <w:tc>
                <w:tcPr>
                  <w:tcW w:w="894" w:type="pct"/>
                  <w:shd w:val="clear" w:color="auto" w:fill="auto"/>
                  <w:noWrap w:val="0"/>
                  <w:vAlign w:val="center"/>
                </w:tcPr>
                <w:p w14:paraId="6DD47E17">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0.714</w:t>
                  </w:r>
                </w:p>
              </w:tc>
              <w:tc>
                <w:tcPr>
                  <w:tcW w:w="501" w:type="pct"/>
                  <w:vMerge w:val="continue"/>
                  <w:noWrap w:val="0"/>
                  <w:vAlign w:val="center"/>
                </w:tcPr>
                <w:p w14:paraId="53788E7B">
                  <w:pPr>
                    <w:pStyle w:val="34"/>
                    <w:bidi w:val="0"/>
                    <w:rPr>
                      <w:rFonts w:hint="default"/>
                      <w:color w:val="auto"/>
                      <w:highlight w:val="none"/>
                    </w:rPr>
                  </w:pPr>
                </w:p>
              </w:tc>
              <w:tc>
                <w:tcPr>
                  <w:tcW w:w="511" w:type="pct"/>
                  <w:vMerge w:val="continue"/>
                  <w:tcBorders>
                    <w:right w:val="single" w:color="auto" w:sz="4" w:space="0"/>
                  </w:tcBorders>
                  <w:noWrap w:val="0"/>
                  <w:vAlign w:val="center"/>
                </w:tcPr>
                <w:p w14:paraId="75F0B178">
                  <w:pPr>
                    <w:pStyle w:val="34"/>
                    <w:bidi w:val="0"/>
                    <w:rPr>
                      <w:rFonts w:hint="default"/>
                      <w:color w:val="auto"/>
                      <w:highlight w:val="none"/>
                    </w:rPr>
                  </w:pPr>
                </w:p>
              </w:tc>
              <w:tc>
                <w:tcPr>
                  <w:tcW w:w="459" w:type="pct"/>
                  <w:vMerge w:val="continue"/>
                  <w:tcBorders>
                    <w:left w:val="single" w:color="auto" w:sz="4" w:space="0"/>
                  </w:tcBorders>
                  <w:noWrap w:val="0"/>
                  <w:vAlign w:val="center"/>
                </w:tcPr>
                <w:p w14:paraId="4BFB3F7C">
                  <w:pPr>
                    <w:pStyle w:val="34"/>
                    <w:bidi w:val="0"/>
                    <w:rPr>
                      <w:rFonts w:hint="default"/>
                      <w:color w:val="auto"/>
                      <w:highlight w:val="none"/>
                    </w:rPr>
                  </w:pPr>
                </w:p>
              </w:tc>
            </w:tr>
            <w:tr w14:paraId="415609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22" w:type="pct"/>
                  <w:vMerge w:val="continue"/>
                  <w:noWrap w:val="0"/>
                  <w:vAlign w:val="center"/>
                </w:tcPr>
                <w:p w14:paraId="35FD0BC7">
                  <w:pPr>
                    <w:pStyle w:val="34"/>
                    <w:bidi w:val="0"/>
                    <w:ind w:firstLine="0" w:firstLineChars="0"/>
                    <w:rPr>
                      <w:rFonts w:hint="eastAsia" w:eastAsia="宋体"/>
                      <w:color w:val="auto"/>
                      <w:highlight w:val="none"/>
                      <w:lang w:val="en-US" w:eastAsia="zh-CN"/>
                    </w:rPr>
                  </w:pPr>
                </w:p>
              </w:tc>
              <w:tc>
                <w:tcPr>
                  <w:tcW w:w="706" w:type="pct"/>
                  <w:shd w:val="clear" w:color="auto" w:fill="auto"/>
                  <w:noWrap w:val="0"/>
                  <w:vAlign w:val="center"/>
                </w:tcPr>
                <w:p w14:paraId="09D78C99">
                  <w:pPr>
                    <w:pStyle w:val="34"/>
                    <w:bidi w:val="0"/>
                    <w:ind w:firstLine="0" w:firstLineChars="0"/>
                    <w:rPr>
                      <w:rFonts w:hint="eastAsia" w:ascii="Times New Roman" w:hAnsi="Times New Roman" w:eastAsia="宋体" w:cs="宋体"/>
                      <w:color w:val="auto"/>
                      <w:sz w:val="21"/>
                      <w:szCs w:val="21"/>
                      <w:highlight w:val="none"/>
                      <w:lang w:val="en-US" w:eastAsia="zh-CN"/>
                    </w:rPr>
                  </w:pPr>
                  <w:r>
                    <w:rPr>
                      <w:rFonts w:hint="eastAsia"/>
                      <w:color w:val="auto"/>
                      <w:highlight w:val="none"/>
                      <w:lang w:val="en-US" w:eastAsia="zh-CN"/>
                    </w:rPr>
                    <w:t>外加剂罐粉尘</w:t>
                  </w:r>
                </w:p>
              </w:tc>
              <w:tc>
                <w:tcPr>
                  <w:tcW w:w="894" w:type="pct"/>
                  <w:shd w:val="clear" w:color="auto" w:fill="auto"/>
                  <w:noWrap w:val="0"/>
                  <w:vAlign w:val="center"/>
                </w:tcPr>
                <w:p w14:paraId="1B46282F">
                  <w:pPr>
                    <w:pStyle w:val="34"/>
                    <w:bidi w:val="0"/>
                    <w:ind w:firstLine="0" w:firstLineChars="0"/>
                    <w:rPr>
                      <w:rFonts w:hint="eastAsia"/>
                      <w:color w:val="auto"/>
                      <w:highlight w:val="none"/>
                      <w:lang w:val="en-US" w:eastAsia="zh-CN"/>
                    </w:rPr>
                  </w:pPr>
                  <w:r>
                    <w:rPr>
                      <w:rFonts w:hint="eastAsia"/>
                      <w:color w:val="auto"/>
                      <w:highlight w:val="none"/>
                      <w:lang w:val="en-US" w:eastAsia="zh-CN"/>
                    </w:rPr>
                    <w:t>除尘器</w:t>
                  </w:r>
                  <w:r>
                    <w:rPr>
                      <w:rFonts w:hint="default"/>
                      <w:color w:val="auto"/>
                      <w:highlight w:val="none"/>
                      <w:lang w:val="en-US" w:eastAsia="zh-CN"/>
                    </w:rPr>
                    <w:t>故障</w:t>
                  </w:r>
                </w:p>
              </w:tc>
              <w:tc>
                <w:tcPr>
                  <w:tcW w:w="609" w:type="pct"/>
                  <w:shd w:val="clear" w:color="auto" w:fill="auto"/>
                  <w:noWrap w:val="0"/>
                  <w:vAlign w:val="center"/>
                </w:tcPr>
                <w:p w14:paraId="71185F08">
                  <w:pPr>
                    <w:pStyle w:val="34"/>
                    <w:bidi w:val="0"/>
                    <w:ind w:firstLine="0" w:firstLineChars="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颗粒物</w:t>
                  </w:r>
                </w:p>
              </w:tc>
              <w:tc>
                <w:tcPr>
                  <w:tcW w:w="894" w:type="pct"/>
                  <w:shd w:val="clear" w:color="auto" w:fill="auto"/>
                  <w:noWrap w:val="0"/>
                  <w:vAlign w:val="center"/>
                </w:tcPr>
                <w:p w14:paraId="2989912D">
                  <w:pPr>
                    <w:pStyle w:val="34"/>
                    <w:bidi w:val="0"/>
                    <w:ind w:firstLine="0" w:firstLineChars="0"/>
                    <w:rPr>
                      <w:rFonts w:hint="eastAsia" w:ascii="Times New Roman" w:hAnsi="Times New Roman" w:eastAsia="宋体" w:cs="宋体"/>
                      <w:color w:val="auto"/>
                      <w:highlight w:val="none"/>
                      <w:lang w:val="en-US" w:eastAsia="zh-CN"/>
                    </w:rPr>
                  </w:pPr>
                  <w:r>
                    <w:rPr>
                      <w:rFonts w:hint="eastAsia"/>
                      <w:color w:val="auto"/>
                      <w:highlight w:val="none"/>
                      <w:lang w:val="en-US" w:eastAsia="zh-CN"/>
                    </w:rPr>
                    <w:t>0.667</w:t>
                  </w:r>
                </w:p>
              </w:tc>
              <w:tc>
                <w:tcPr>
                  <w:tcW w:w="501" w:type="pct"/>
                  <w:vMerge w:val="continue"/>
                  <w:noWrap w:val="0"/>
                  <w:vAlign w:val="center"/>
                </w:tcPr>
                <w:p w14:paraId="039B15C6">
                  <w:pPr>
                    <w:pStyle w:val="34"/>
                    <w:bidi w:val="0"/>
                    <w:rPr>
                      <w:rFonts w:hint="default"/>
                      <w:color w:val="auto"/>
                      <w:highlight w:val="none"/>
                    </w:rPr>
                  </w:pPr>
                </w:p>
              </w:tc>
              <w:tc>
                <w:tcPr>
                  <w:tcW w:w="511" w:type="pct"/>
                  <w:vMerge w:val="continue"/>
                  <w:tcBorders>
                    <w:right w:val="single" w:color="auto" w:sz="4" w:space="0"/>
                  </w:tcBorders>
                  <w:noWrap w:val="0"/>
                  <w:vAlign w:val="center"/>
                </w:tcPr>
                <w:p w14:paraId="72054108">
                  <w:pPr>
                    <w:pStyle w:val="34"/>
                    <w:bidi w:val="0"/>
                    <w:rPr>
                      <w:rFonts w:hint="default"/>
                      <w:color w:val="auto"/>
                      <w:highlight w:val="none"/>
                    </w:rPr>
                  </w:pPr>
                </w:p>
              </w:tc>
              <w:tc>
                <w:tcPr>
                  <w:tcW w:w="459" w:type="pct"/>
                  <w:vMerge w:val="continue"/>
                  <w:tcBorders>
                    <w:left w:val="single" w:color="auto" w:sz="4" w:space="0"/>
                  </w:tcBorders>
                  <w:noWrap w:val="0"/>
                  <w:vAlign w:val="center"/>
                </w:tcPr>
                <w:p w14:paraId="37FBC8F8">
                  <w:pPr>
                    <w:pStyle w:val="34"/>
                    <w:bidi w:val="0"/>
                    <w:rPr>
                      <w:rFonts w:hint="default"/>
                      <w:color w:val="auto"/>
                      <w:highlight w:val="none"/>
                    </w:rPr>
                  </w:pPr>
                </w:p>
              </w:tc>
            </w:tr>
            <w:tr w14:paraId="09EB61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22" w:type="pct"/>
                  <w:vMerge w:val="continue"/>
                  <w:noWrap w:val="0"/>
                  <w:vAlign w:val="center"/>
                </w:tcPr>
                <w:p w14:paraId="16A7AEDC">
                  <w:pPr>
                    <w:pStyle w:val="34"/>
                    <w:bidi w:val="0"/>
                    <w:ind w:firstLine="0" w:firstLineChars="0"/>
                    <w:rPr>
                      <w:rFonts w:hint="default"/>
                      <w:color w:val="auto"/>
                      <w:highlight w:val="none"/>
                    </w:rPr>
                  </w:pPr>
                </w:p>
              </w:tc>
              <w:tc>
                <w:tcPr>
                  <w:tcW w:w="706" w:type="pct"/>
                  <w:shd w:val="clear" w:color="auto" w:fill="auto"/>
                  <w:noWrap w:val="0"/>
                  <w:vAlign w:val="center"/>
                </w:tcPr>
                <w:p w14:paraId="4C7E2035">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物料混合搅拌粉尘</w:t>
                  </w:r>
                </w:p>
              </w:tc>
              <w:tc>
                <w:tcPr>
                  <w:tcW w:w="894" w:type="pct"/>
                  <w:shd w:val="clear" w:color="auto" w:fill="auto"/>
                  <w:noWrap w:val="0"/>
                  <w:vAlign w:val="center"/>
                </w:tcPr>
                <w:p w14:paraId="13F6D396">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除尘器</w:t>
                  </w:r>
                  <w:r>
                    <w:rPr>
                      <w:rFonts w:hint="default"/>
                      <w:color w:val="auto"/>
                      <w:highlight w:val="none"/>
                      <w:lang w:val="en-US" w:eastAsia="zh-CN"/>
                    </w:rPr>
                    <w:t>故障</w:t>
                  </w:r>
                </w:p>
              </w:tc>
              <w:tc>
                <w:tcPr>
                  <w:tcW w:w="609" w:type="pct"/>
                  <w:shd w:val="clear" w:color="auto" w:fill="auto"/>
                  <w:noWrap w:val="0"/>
                  <w:vAlign w:val="center"/>
                </w:tcPr>
                <w:p w14:paraId="52A67C37">
                  <w:pPr>
                    <w:pStyle w:val="34"/>
                    <w:bidi w:val="0"/>
                    <w:ind w:firstLine="0" w:firstLineChars="0"/>
                    <w:rPr>
                      <w:rFonts w:hint="eastAsia" w:ascii="Times New Roman" w:hAnsi="Times New Roman" w:eastAsia="宋体" w:cs="宋体"/>
                      <w:color w:val="auto"/>
                      <w:kern w:val="2"/>
                      <w:sz w:val="21"/>
                      <w:szCs w:val="21"/>
                      <w:highlight w:val="none"/>
                      <w:lang w:val="en-US" w:eastAsia="zh-CN" w:bidi="ar-SA"/>
                    </w:rPr>
                  </w:pPr>
                  <w:r>
                    <w:rPr>
                      <w:rFonts w:hint="eastAsia" w:ascii="Times New Roman" w:hAnsi="Times New Roman" w:eastAsia="宋体" w:cs="宋体"/>
                      <w:color w:val="auto"/>
                      <w:highlight w:val="none"/>
                      <w:lang w:val="en-US" w:eastAsia="zh-CN"/>
                    </w:rPr>
                    <w:t>颗粒物</w:t>
                  </w:r>
                </w:p>
              </w:tc>
              <w:tc>
                <w:tcPr>
                  <w:tcW w:w="894" w:type="pct"/>
                  <w:shd w:val="clear" w:color="auto" w:fill="auto"/>
                  <w:noWrap w:val="0"/>
                  <w:vAlign w:val="center"/>
                </w:tcPr>
                <w:p w14:paraId="442148EC">
                  <w:pPr>
                    <w:pStyle w:val="34"/>
                    <w:bidi w:val="0"/>
                    <w:ind w:firstLine="0" w:firstLineChars="0"/>
                    <w:rPr>
                      <w:rFonts w:hint="default" w:ascii="Times New Roman" w:hAnsi="Times New Roman" w:eastAsia="宋体" w:cs="宋体"/>
                      <w:color w:val="auto"/>
                      <w:kern w:val="2"/>
                      <w:sz w:val="21"/>
                      <w:szCs w:val="21"/>
                      <w:highlight w:val="none"/>
                      <w:lang w:val="en-US" w:eastAsia="zh-CN" w:bidi="ar-SA"/>
                    </w:rPr>
                  </w:pPr>
                  <w:r>
                    <w:rPr>
                      <w:rFonts w:hint="eastAsia"/>
                      <w:color w:val="auto"/>
                      <w:highlight w:val="none"/>
                      <w:lang w:val="en-US" w:eastAsia="zh-CN"/>
                    </w:rPr>
                    <w:t>0.892</w:t>
                  </w:r>
                </w:p>
              </w:tc>
              <w:tc>
                <w:tcPr>
                  <w:tcW w:w="501" w:type="pct"/>
                  <w:vMerge w:val="continue"/>
                  <w:noWrap w:val="0"/>
                  <w:vAlign w:val="center"/>
                </w:tcPr>
                <w:p w14:paraId="535C0490">
                  <w:pPr>
                    <w:pStyle w:val="34"/>
                    <w:bidi w:val="0"/>
                    <w:rPr>
                      <w:rFonts w:hint="default"/>
                      <w:color w:val="auto"/>
                      <w:highlight w:val="none"/>
                      <w:lang w:val="en-US" w:eastAsia="zh-CN"/>
                    </w:rPr>
                  </w:pPr>
                </w:p>
              </w:tc>
              <w:tc>
                <w:tcPr>
                  <w:tcW w:w="511" w:type="pct"/>
                  <w:vMerge w:val="continue"/>
                  <w:tcBorders>
                    <w:right w:val="single" w:color="auto" w:sz="4" w:space="0"/>
                  </w:tcBorders>
                  <w:noWrap w:val="0"/>
                  <w:vAlign w:val="center"/>
                </w:tcPr>
                <w:p w14:paraId="2DB0F167">
                  <w:pPr>
                    <w:pStyle w:val="34"/>
                    <w:bidi w:val="0"/>
                    <w:rPr>
                      <w:rFonts w:hint="default"/>
                      <w:color w:val="auto"/>
                      <w:highlight w:val="none"/>
                      <w:lang w:val="en-US" w:eastAsia="zh-CN"/>
                    </w:rPr>
                  </w:pPr>
                </w:p>
              </w:tc>
              <w:tc>
                <w:tcPr>
                  <w:tcW w:w="459" w:type="pct"/>
                  <w:vMerge w:val="continue"/>
                  <w:tcBorders>
                    <w:left w:val="single" w:color="auto" w:sz="4" w:space="0"/>
                  </w:tcBorders>
                  <w:noWrap w:val="0"/>
                  <w:vAlign w:val="center"/>
                </w:tcPr>
                <w:p w14:paraId="045A6C41">
                  <w:pPr>
                    <w:pStyle w:val="34"/>
                    <w:bidi w:val="0"/>
                    <w:rPr>
                      <w:rFonts w:hint="default"/>
                      <w:color w:val="auto"/>
                      <w:highlight w:val="none"/>
                    </w:rPr>
                  </w:pPr>
                </w:p>
              </w:tc>
            </w:tr>
          </w:tbl>
          <w:p w14:paraId="0C2C87E4">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bCs/>
                <w:color w:val="auto"/>
                <w:sz w:val="24"/>
                <w:szCs w:val="24"/>
                <w:highlight w:val="none"/>
                <w:lang w:val="en-GB"/>
              </w:rPr>
            </w:pPr>
            <w:r>
              <w:rPr>
                <w:bCs/>
                <w:color w:val="auto"/>
                <w:sz w:val="24"/>
                <w:szCs w:val="24"/>
                <w:highlight w:val="none"/>
                <w:lang w:val="en-GB"/>
              </w:rPr>
              <w:t>建设单位在运营期应加强环保设备系统的运行维护，定期对</w:t>
            </w:r>
            <w:r>
              <w:rPr>
                <w:rFonts w:hint="eastAsia"/>
                <w:bCs/>
                <w:color w:val="auto"/>
                <w:sz w:val="24"/>
                <w:szCs w:val="24"/>
                <w:highlight w:val="none"/>
              </w:rPr>
              <w:t>布袋除尘器的布袋</w:t>
            </w:r>
            <w:r>
              <w:rPr>
                <w:bCs/>
                <w:color w:val="auto"/>
                <w:sz w:val="24"/>
                <w:szCs w:val="24"/>
                <w:highlight w:val="none"/>
              </w:rPr>
              <w:t>进行及时更换</w:t>
            </w:r>
            <w:r>
              <w:rPr>
                <w:bCs/>
                <w:color w:val="auto"/>
                <w:sz w:val="24"/>
                <w:szCs w:val="24"/>
                <w:highlight w:val="none"/>
                <w:lang w:val="en-GB"/>
              </w:rPr>
              <w:t>，制订巡检和定期检测制度，监控设备运行是否正常及其处理效率。杜绝非正常工况的发生，确保废气处理装置安全、正常运行，减少污染物排放。</w:t>
            </w:r>
          </w:p>
          <w:p w14:paraId="261D7D98">
            <w:pPr>
              <w:pStyle w:val="14"/>
              <w:bidi w:val="0"/>
              <w:rPr>
                <w:b/>
                <w:bCs/>
                <w:color w:val="auto"/>
                <w:highlight w:val="none"/>
              </w:rPr>
            </w:pPr>
            <w:r>
              <w:rPr>
                <w:rFonts w:hint="eastAsia"/>
                <w:b/>
                <w:bCs/>
                <w:color w:val="auto"/>
                <w:highlight w:val="none"/>
                <w:lang w:val="en-US" w:eastAsia="zh-CN"/>
              </w:rPr>
              <w:t>3、</w:t>
            </w:r>
            <w:r>
              <w:rPr>
                <w:b/>
                <w:bCs/>
                <w:color w:val="auto"/>
                <w:highlight w:val="none"/>
              </w:rPr>
              <w:t>废气环境影响</w:t>
            </w:r>
          </w:p>
          <w:p w14:paraId="5E4BE482">
            <w:pPr>
              <w:pStyle w:val="31"/>
              <w:bidi w:val="0"/>
              <w:rPr>
                <w:rFonts w:hint="default"/>
                <w:color w:val="auto"/>
                <w:highlight w:val="none"/>
                <w:lang w:val="en-US" w:eastAsia="zh-CN"/>
              </w:rPr>
            </w:pPr>
            <w:r>
              <w:rPr>
                <w:rFonts w:hint="eastAsia"/>
                <w:color w:val="auto"/>
                <w:highlight w:val="none"/>
                <w:lang w:val="en-US" w:eastAsia="zh-CN"/>
              </w:rPr>
              <w:t>本项目所属行业无对应的排污许可证申请与核发技术规范，故本项目采取的废气治理措施可行性分析如下：</w:t>
            </w:r>
          </w:p>
          <w:p w14:paraId="3F067CC5">
            <w:pPr>
              <w:widowControl/>
              <w:spacing w:line="360" w:lineRule="auto"/>
              <w:ind w:firstLine="480" w:firstLineChars="200"/>
              <w:rPr>
                <w:color w:val="auto"/>
                <w:sz w:val="24"/>
                <w:highlight w:val="none"/>
              </w:rPr>
            </w:pPr>
            <w:r>
              <w:rPr>
                <w:color w:val="auto"/>
                <w:sz w:val="24"/>
                <w:highlight w:val="none"/>
              </w:rPr>
              <w:t>袋式除尘技术是一种干式滤尘技术，它适用于捕集细小、干燥、非纤维性粉尘。其工作原理是利用滤袋对含尘气体进行过滤，颗粒大、比重大的粉尘，由于重力的作用沉降下来，落入灰斗，含有较细小粉尘的气体在通过滤料时，粉尘被阻留，使气体得到净化。过滤材料捕集粗粒粉尘主要靠惯性碰撞作用，捕集细粒粉尘主要靠扩散和</w:t>
            </w:r>
            <w:r>
              <w:rPr>
                <w:rFonts w:hint="eastAsia"/>
                <w:color w:val="auto"/>
                <w:sz w:val="24"/>
                <w:highlight w:val="none"/>
              </w:rPr>
              <w:t>筛选</w:t>
            </w:r>
            <w:r>
              <w:rPr>
                <w:color w:val="auto"/>
                <w:sz w:val="24"/>
                <w:highlight w:val="none"/>
              </w:rPr>
              <w:t>作用。滤料的粉尘层也有一定的过滤作用，除尘效率可达99%以上。</w:t>
            </w:r>
            <w:r>
              <w:rPr>
                <w:rFonts w:hint="eastAsia"/>
                <w:color w:val="auto"/>
                <w:sz w:val="24"/>
                <w:highlight w:val="none"/>
                <w:lang w:eastAsia="zh-CN"/>
              </w:rPr>
              <w:t>脉冲布袋除尘器</w:t>
            </w:r>
            <w:r>
              <w:rPr>
                <w:color w:val="auto"/>
                <w:sz w:val="24"/>
                <w:highlight w:val="none"/>
              </w:rPr>
              <w:t>滤袋材质设计选用PPS滤料，具有使用寿命长、稳定可靠等特点；同时，</w:t>
            </w:r>
            <w:r>
              <w:rPr>
                <w:rFonts w:hint="eastAsia"/>
                <w:color w:val="auto"/>
                <w:sz w:val="24"/>
                <w:highlight w:val="none"/>
                <w:lang w:eastAsia="zh-CN"/>
              </w:rPr>
              <w:t>脉冲布袋除尘器</w:t>
            </w:r>
            <w:r>
              <w:rPr>
                <w:color w:val="auto"/>
                <w:sz w:val="24"/>
                <w:highlight w:val="none"/>
              </w:rPr>
              <w:t>还具有不停机在线检修、喷吹压力小等特点，在除尘效率、系统运行能耗和滤袋寿命等指标上都达到先进水平。</w:t>
            </w:r>
          </w:p>
          <w:p w14:paraId="04F31E99">
            <w:pPr>
              <w:pStyle w:val="44"/>
              <w:rPr>
                <w:color w:val="auto"/>
                <w:highlight w:val="none"/>
              </w:rPr>
            </w:pPr>
            <w:r>
              <w:rPr>
                <w:rFonts w:hint="eastAsia" w:ascii="Times New Roman" w:hAnsi="Times New Roman" w:cs="Times New Roman"/>
                <w:b w:val="0"/>
                <w:bCs/>
                <w:color w:val="auto"/>
                <w:spacing w:val="0"/>
                <w:sz w:val="24"/>
                <w:szCs w:val="24"/>
                <w:highlight w:val="none"/>
                <w:lang w:val="en-US" w:eastAsia="zh-CN"/>
              </w:rPr>
              <w:t>参照</w:t>
            </w:r>
            <w:r>
              <w:rPr>
                <w:rFonts w:hint="default" w:ascii="Times New Roman" w:hAnsi="Times New Roman" w:eastAsia="宋体" w:cs="Times New Roman"/>
                <w:b w:val="0"/>
                <w:bCs/>
                <w:color w:val="auto"/>
                <w:spacing w:val="0"/>
                <w:sz w:val="24"/>
                <w:szCs w:val="24"/>
                <w:highlight w:val="none"/>
              </w:rPr>
              <w:t>《排污许可证申请与核发技术规范 水泥工业》（HJ847</w:t>
            </w:r>
            <w:r>
              <w:rPr>
                <w:rFonts w:hint="eastAsia" w:ascii="Times New Roman" w:hAnsi="Times New Roman" w:cs="Times New Roman"/>
                <w:b w:val="0"/>
                <w:bCs/>
                <w:color w:val="auto"/>
                <w:spacing w:val="0"/>
                <w:sz w:val="24"/>
                <w:szCs w:val="24"/>
                <w:highlight w:val="none"/>
                <w:lang w:val="en-US" w:eastAsia="zh-CN"/>
              </w:rPr>
              <w:t>-</w:t>
            </w:r>
            <w:r>
              <w:rPr>
                <w:rFonts w:hint="default" w:ascii="Times New Roman" w:hAnsi="Times New Roman" w:eastAsia="宋体" w:cs="Times New Roman"/>
                <w:b w:val="0"/>
                <w:bCs/>
                <w:color w:val="auto"/>
                <w:spacing w:val="0"/>
                <w:sz w:val="24"/>
                <w:szCs w:val="24"/>
                <w:highlight w:val="none"/>
              </w:rPr>
              <w:t>2017）中提出的</w:t>
            </w:r>
            <w:r>
              <w:rPr>
                <w:rFonts w:hint="eastAsia" w:ascii="Times New Roman" w:hAnsi="Times New Roman" w:cs="Times New Roman"/>
                <w:b w:val="0"/>
                <w:bCs/>
                <w:color w:val="auto"/>
                <w:spacing w:val="0"/>
                <w:sz w:val="24"/>
                <w:szCs w:val="24"/>
                <w:highlight w:val="none"/>
                <w:lang w:eastAsia="zh-CN"/>
              </w:rPr>
              <w:t>“</w:t>
            </w:r>
            <w:r>
              <w:rPr>
                <w:rFonts w:hint="eastAsia" w:ascii="Times New Roman" w:hAnsi="Times New Roman" w:cs="Times New Roman"/>
                <w:b w:val="0"/>
                <w:bCs/>
                <w:color w:val="auto"/>
                <w:spacing w:val="0"/>
                <w:sz w:val="24"/>
                <w:szCs w:val="24"/>
                <w:highlight w:val="none"/>
                <w:lang w:val="en-US" w:eastAsia="zh-CN"/>
              </w:rPr>
              <w:t>水泥工业废气污染防治可行技术</w:t>
            </w:r>
            <w:r>
              <w:rPr>
                <w:rFonts w:hint="eastAsia" w:ascii="Times New Roman" w:hAnsi="Times New Roman" w:cs="Times New Roman"/>
                <w:b w:val="0"/>
                <w:bCs/>
                <w:color w:val="auto"/>
                <w:spacing w:val="0"/>
                <w:sz w:val="24"/>
                <w:szCs w:val="24"/>
                <w:highlight w:val="none"/>
                <w:lang w:eastAsia="zh-CN"/>
              </w:rPr>
              <w:t>”</w:t>
            </w:r>
            <w:r>
              <w:rPr>
                <w:rFonts w:hint="eastAsia" w:ascii="Times New Roman" w:hAnsi="Times New Roman" w:cs="Times New Roman"/>
                <w:b w:val="0"/>
                <w:bCs/>
                <w:color w:val="auto"/>
                <w:spacing w:val="0"/>
                <w:sz w:val="24"/>
                <w:szCs w:val="24"/>
                <w:highlight w:val="none"/>
                <w:lang w:val="en-US" w:eastAsia="zh-CN"/>
              </w:rPr>
              <w:t>中颗粒物可行技术为“袋式除尘器”，本项目</w:t>
            </w:r>
            <w:r>
              <w:rPr>
                <w:rFonts w:hint="eastAsia"/>
                <w:color w:val="auto"/>
                <w:highlight w:val="none"/>
              </w:rPr>
              <w:t>筒仓</w:t>
            </w:r>
            <w:r>
              <w:rPr>
                <w:rFonts w:hint="eastAsia"/>
                <w:color w:val="auto"/>
                <w:highlight w:val="none"/>
                <w:lang w:val="en-US" w:eastAsia="zh-CN"/>
              </w:rPr>
              <w:t>与</w:t>
            </w:r>
            <w:r>
              <w:rPr>
                <w:rFonts w:hint="eastAsia" w:eastAsia="宋体"/>
                <w:color w:val="auto"/>
                <w:highlight w:val="none"/>
                <w:lang w:val="en-US" w:eastAsia="zh-CN"/>
              </w:rPr>
              <w:t>搅拌机废气处理采取自带</w:t>
            </w:r>
            <w:r>
              <w:rPr>
                <w:rFonts w:hint="default" w:eastAsia="宋体"/>
                <w:color w:val="auto"/>
                <w:highlight w:val="none"/>
                <w:lang w:val="en-US" w:eastAsia="zh-CN"/>
              </w:rPr>
              <w:t>布袋除尘器</w:t>
            </w:r>
            <w:r>
              <w:rPr>
                <w:rFonts w:hint="eastAsia" w:eastAsia="宋体"/>
                <w:color w:val="auto"/>
                <w:highlight w:val="none"/>
                <w:lang w:val="en-US" w:eastAsia="zh-CN"/>
              </w:rPr>
              <w:t>为</w:t>
            </w:r>
            <w:r>
              <w:rPr>
                <w:rFonts w:hint="eastAsia" w:ascii="Times New Roman" w:hAnsi="Times New Roman" w:cs="Times New Roman"/>
                <w:b w:val="0"/>
                <w:bCs/>
                <w:color w:val="auto"/>
                <w:spacing w:val="0"/>
                <w:sz w:val="24"/>
                <w:szCs w:val="24"/>
                <w:highlight w:val="none"/>
                <w:lang w:val="en-US" w:eastAsia="zh-CN"/>
              </w:rPr>
              <w:t>可行技术</w:t>
            </w:r>
            <w:r>
              <w:rPr>
                <w:rFonts w:hint="default" w:ascii="Times New Roman" w:hAnsi="Times New Roman" w:eastAsia="宋体" w:cs="Times New Roman"/>
                <w:b w:val="0"/>
                <w:bCs/>
                <w:color w:val="auto"/>
                <w:spacing w:val="0"/>
                <w:sz w:val="24"/>
                <w:szCs w:val="24"/>
                <w:highlight w:val="none"/>
              </w:rPr>
              <w:t>。</w:t>
            </w:r>
          </w:p>
          <w:p w14:paraId="08435EE4">
            <w:pPr>
              <w:pStyle w:val="31"/>
              <w:bidi w:val="0"/>
              <w:rPr>
                <w:rFonts w:hint="eastAsia"/>
                <w:color w:val="auto"/>
                <w:sz w:val="24"/>
                <w:highlight w:val="none"/>
                <w:lang w:val="en-US" w:eastAsia="zh-CN"/>
              </w:rPr>
            </w:pPr>
            <w:r>
              <w:rPr>
                <w:color w:val="auto"/>
                <w:highlight w:val="none"/>
              </w:rPr>
              <w:t>本项目生产系统为全封闭结</w:t>
            </w:r>
            <w:r>
              <w:rPr>
                <w:rFonts w:hint="eastAsia"/>
                <w:color w:val="auto"/>
                <w:highlight w:val="none"/>
              </w:rPr>
              <w:t>构，</w:t>
            </w:r>
            <w:r>
              <w:rPr>
                <w:rFonts w:hint="eastAsia"/>
                <w:color w:val="auto"/>
                <w:highlight w:val="none"/>
                <w:lang w:val="en-US" w:eastAsia="zh-CN"/>
              </w:rPr>
              <w:t>水泥筒仓、粉煤灰筒仓、外加剂罐粉尘</w:t>
            </w:r>
            <w:r>
              <w:rPr>
                <w:rFonts w:hint="eastAsia"/>
                <w:color w:val="auto"/>
                <w:highlight w:val="none"/>
              </w:rPr>
              <w:t>呼吸粉尘，经筒仓自带的</w:t>
            </w:r>
            <w:r>
              <w:rPr>
                <w:rFonts w:hint="eastAsia"/>
                <w:color w:val="auto"/>
                <w:highlight w:val="none"/>
                <w:lang w:val="en-US" w:eastAsia="zh-CN"/>
              </w:rPr>
              <w:t>布袋</w:t>
            </w:r>
            <w:r>
              <w:rPr>
                <w:rFonts w:hint="eastAsia"/>
                <w:color w:val="auto"/>
                <w:highlight w:val="none"/>
              </w:rPr>
              <w:t>除尘器处理后通过仓顶无组织排放</w:t>
            </w:r>
            <w:r>
              <w:rPr>
                <w:rFonts w:hint="default" w:eastAsia="宋体"/>
                <w:color w:val="auto"/>
                <w:highlight w:val="none"/>
                <w:lang w:val="en-US" w:eastAsia="zh-CN"/>
              </w:rPr>
              <w:t>，处理效率</w:t>
            </w:r>
            <w:r>
              <w:rPr>
                <w:rFonts w:hint="eastAsia" w:eastAsia="宋体"/>
                <w:color w:val="auto"/>
                <w:highlight w:val="none"/>
                <w:lang w:val="en-US" w:eastAsia="zh-CN"/>
              </w:rPr>
              <w:t>达</w:t>
            </w:r>
            <w:r>
              <w:rPr>
                <w:rFonts w:hint="default" w:eastAsia="宋体"/>
                <w:color w:val="auto"/>
                <w:highlight w:val="none"/>
                <w:lang w:val="en-US" w:eastAsia="zh-CN"/>
              </w:rPr>
              <w:t>99%</w:t>
            </w:r>
            <w:r>
              <w:rPr>
                <w:rFonts w:hint="eastAsia" w:eastAsia="宋体"/>
                <w:color w:val="auto"/>
                <w:highlight w:val="none"/>
                <w:lang w:val="en-US" w:eastAsia="zh-CN"/>
              </w:rPr>
              <w:t>以上</w:t>
            </w:r>
            <w:r>
              <w:rPr>
                <w:rFonts w:hint="eastAsia"/>
                <w:color w:val="auto"/>
                <w:highlight w:val="none"/>
                <w:lang w:eastAsia="zh-CN"/>
              </w:rPr>
              <w:t>；</w:t>
            </w:r>
            <w:r>
              <w:rPr>
                <w:rFonts w:hint="eastAsia"/>
                <w:color w:val="auto"/>
                <w:highlight w:val="none"/>
                <w:lang w:val="en-US" w:eastAsia="zh-CN"/>
              </w:rPr>
              <w:t>砂、碎石等投料斗上方设置半封闭式罩棚与雾化喷淋装置，水泥、粉煤灰、外加剂等原料的输送、计量、投料等方式均为封闭式，混合搅拌工序在密闭的搅拌站内，搅拌机投料口设置集气罩收集产生的颗粒物，经布袋除尘器处理后通过站顶排气口无组织排放</w:t>
            </w:r>
            <w:r>
              <w:rPr>
                <w:rFonts w:hint="default" w:eastAsia="宋体"/>
                <w:color w:val="auto"/>
                <w:highlight w:val="none"/>
                <w:lang w:val="en-US" w:eastAsia="zh-CN"/>
              </w:rPr>
              <w:t>，处理效率</w:t>
            </w:r>
            <w:r>
              <w:rPr>
                <w:rFonts w:hint="eastAsia" w:eastAsia="宋体"/>
                <w:color w:val="auto"/>
                <w:highlight w:val="none"/>
                <w:lang w:val="en-US" w:eastAsia="zh-CN"/>
              </w:rPr>
              <w:t>达</w:t>
            </w:r>
            <w:r>
              <w:rPr>
                <w:rFonts w:hint="default" w:eastAsia="宋体"/>
                <w:color w:val="auto"/>
                <w:highlight w:val="none"/>
                <w:lang w:val="en-US" w:eastAsia="zh-CN"/>
              </w:rPr>
              <w:t>99%</w:t>
            </w:r>
            <w:r>
              <w:rPr>
                <w:rFonts w:hint="eastAsia" w:eastAsia="宋体"/>
                <w:color w:val="auto"/>
                <w:highlight w:val="none"/>
                <w:lang w:val="en-US" w:eastAsia="zh-CN"/>
              </w:rPr>
              <w:t>以上</w:t>
            </w:r>
            <w:r>
              <w:rPr>
                <w:rFonts w:hint="default" w:eastAsia="宋体"/>
                <w:color w:val="auto"/>
                <w:highlight w:val="none"/>
                <w:lang w:val="en-US" w:eastAsia="zh-CN"/>
              </w:rPr>
              <w:t>。</w:t>
            </w:r>
            <w:r>
              <w:rPr>
                <w:color w:val="auto"/>
                <w:sz w:val="24"/>
                <w:highlight w:val="none"/>
                <w:lang w:val="en-US" w:eastAsia="zh-CN"/>
              </w:rPr>
              <w:t>本项目参照《排放源统计调查产排污核算方法和系数手册》（</w:t>
            </w:r>
            <w:r>
              <w:rPr>
                <w:rFonts w:hint="default"/>
                <w:color w:val="auto"/>
                <w:sz w:val="24"/>
                <w:highlight w:val="none"/>
                <w:lang w:val="en-US" w:eastAsia="zh-CN"/>
              </w:rPr>
              <w:t>3021 水泥制品制造行业系数手册）中建议采取的末端治理措施，具体见下表</w:t>
            </w:r>
            <w:r>
              <w:rPr>
                <w:rFonts w:hint="eastAsia"/>
                <w:color w:val="auto"/>
                <w:sz w:val="24"/>
                <w:highlight w:val="none"/>
                <w:lang w:val="en-US" w:eastAsia="zh-CN"/>
              </w:rPr>
              <w:t>：</w:t>
            </w:r>
          </w:p>
          <w:p w14:paraId="06455FAB">
            <w:pPr>
              <w:pStyle w:val="36"/>
              <w:bidi w:val="0"/>
              <w:rPr>
                <w:rFonts w:hint="default"/>
                <w:color w:val="auto"/>
                <w:highlight w:val="none"/>
                <w:lang w:val="en-US" w:eastAsia="zh-CN"/>
              </w:rPr>
            </w:pPr>
            <w:r>
              <w:rPr>
                <w:rFonts w:hint="eastAsia"/>
                <w:color w:val="auto"/>
                <w:highlight w:val="none"/>
                <w:lang w:val="en-US" w:eastAsia="zh-CN"/>
              </w:rPr>
              <w:t>表4-3</w:t>
            </w:r>
            <w:r>
              <w:rPr>
                <w:color w:val="auto"/>
                <w:sz w:val="24"/>
                <w:highlight w:val="none"/>
                <w:lang w:val="en-US" w:eastAsia="zh-CN"/>
              </w:rPr>
              <w:t>《排放源统计调查产排污核算方法和系数手册》</w:t>
            </w:r>
            <w:r>
              <w:rPr>
                <w:rFonts w:hint="eastAsia"/>
                <w:color w:val="auto"/>
                <w:highlight w:val="none"/>
                <w:lang w:val="en-US" w:eastAsia="zh-CN"/>
              </w:rPr>
              <w:t>3021 水泥制品制造</w:t>
            </w:r>
          </w:p>
          <w:p w14:paraId="21F1C420">
            <w:pPr>
              <w:pStyle w:val="36"/>
              <w:bidi w:val="0"/>
              <w:rPr>
                <w:rFonts w:hint="eastAsia"/>
                <w:color w:val="auto"/>
                <w:highlight w:val="none"/>
                <w:lang w:val="en-US" w:eastAsia="zh-CN"/>
              </w:rPr>
            </w:pPr>
            <w:r>
              <w:rPr>
                <w:color w:val="auto"/>
                <w:highlight w:val="none"/>
              </w:rPr>
              <w:drawing>
                <wp:inline distT="0" distB="0" distL="114300" distR="114300">
                  <wp:extent cx="4714875" cy="2495550"/>
                  <wp:effectExtent l="0" t="0" r="0" b="0"/>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pic:cNvPicPr>
                        </pic:nvPicPr>
                        <pic:blipFill>
                          <a:blip r:embed="rId27"/>
                          <a:srcRect l="3705" t="9623" r="3979" b="8159"/>
                          <a:stretch>
                            <a:fillRect/>
                          </a:stretch>
                        </pic:blipFill>
                        <pic:spPr>
                          <a:xfrm>
                            <a:off x="0" y="0"/>
                            <a:ext cx="4714875" cy="2495550"/>
                          </a:xfrm>
                          <a:prstGeom prst="rect">
                            <a:avLst/>
                          </a:prstGeom>
                          <a:noFill/>
                          <a:ln>
                            <a:noFill/>
                          </a:ln>
                        </pic:spPr>
                      </pic:pic>
                    </a:graphicData>
                  </a:graphic>
                </wp:inline>
              </w:drawing>
            </w:r>
          </w:p>
          <w:p w14:paraId="602DF833">
            <w:pPr>
              <w:pStyle w:val="31"/>
              <w:keepNext w:val="0"/>
              <w:keepLines w:val="0"/>
              <w:pageBreakBefore w:val="0"/>
              <w:widowControl w:val="0"/>
              <w:kinsoku/>
              <w:wordWrap w:val="0"/>
              <w:overflowPunct/>
              <w:topLinePunct/>
              <w:autoSpaceDE/>
              <w:autoSpaceDN/>
              <w:bidi w:val="0"/>
              <w:adjustRightInd/>
              <w:snapToGrid/>
              <w:spacing w:before="157" w:beforeLines="50"/>
              <w:textAlignment w:val="auto"/>
              <w:rPr>
                <w:rFonts w:hint="eastAsia"/>
                <w:color w:val="auto"/>
                <w:highlight w:val="none"/>
              </w:rPr>
            </w:pPr>
            <w:r>
              <w:rPr>
                <w:rFonts w:hint="eastAsia"/>
                <w:color w:val="auto"/>
                <w:highlight w:val="none"/>
                <w:lang w:val="en-US" w:eastAsia="zh-CN"/>
              </w:rPr>
              <w:t>并且</w:t>
            </w:r>
            <w:r>
              <w:rPr>
                <w:rFonts w:hint="eastAsia"/>
                <w:color w:val="auto"/>
                <w:highlight w:val="none"/>
              </w:rPr>
              <w:t>本项目</w:t>
            </w:r>
            <w:r>
              <w:rPr>
                <w:rFonts w:hint="eastAsia"/>
                <w:color w:val="auto"/>
                <w:highlight w:val="none"/>
                <w:lang w:val="en-US" w:eastAsia="zh-CN"/>
              </w:rPr>
              <w:t>各堆场均采取苫盖并设置防风抑尘网</w:t>
            </w:r>
            <w:r>
              <w:rPr>
                <w:rFonts w:hint="eastAsia"/>
                <w:color w:val="auto"/>
                <w:highlight w:val="none"/>
              </w:rPr>
              <w:t>，原辅料输送采取密闭措施</w:t>
            </w:r>
            <w:r>
              <w:rPr>
                <w:rFonts w:hint="eastAsia"/>
                <w:color w:val="auto"/>
                <w:highlight w:val="none"/>
                <w:lang w:eastAsia="zh-CN"/>
              </w:rPr>
              <w:t>，</w:t>
            </w:r>
            <w:r>
              <w:rPr>
                <w:rFonts w:hint="eastAsia"/>
                <w:color w:val="auto"/>
                <w:highlight w:val="none"/>
              </w:rPr>
              <w:t>堆场地面全部硬化，</w:t>
            </w:r>
            <w:r>
              <w:rPr>
                <w:rFonts w:hint="eastAsia"/>
                <w:color w:val="auto"/>
                <w:highlight w:val="none"/>
                <w:lang w:val="en-US" w:eastAsia="zh-CN"/>
              </w:rPr>
              <w:t>并</w:t>
            </w:r>
            <w:r>
              <w:rPr>
                <w:color w:val="auto"/>
                <w:highlight w:val="none"/>
              </w:rPr>
              <w:t>对</w:t>
            </w:r>
            <w:r>
              <w:rPr>
                <w:rFonts w:hint="eastAsia"/>
                <w:color w:val="auto"/>
                <w:highlight w:val="none"/>
                <w:lang w:val="en-US" w:eastAsia="zh-CN"/>
              </w:rPr>
              <w:t>堆场</w:t>
            </w:r>
            <w:r>
              <w:rPr>
                <w:color w:val="auto"/>
                <w:highlight w:val="none"/>
              </w:rPr>
              <w:t>进行定期洒水抑尘</w:t>
            </w:r>
            <w:r>
              <w:rPr>
                <w:rFonts w:hint="eastAsia"/>
                <w:color w:val="auto"/>
                <w:highlight w:val="none"/>
                <w:lang w:eastAsia="zh-CN"/>
              </w:rPr>
              <w:t>。</w:t>
            </w:r>
            <w:r>
              <w:rPr>
                <w:rFonts w:hint="eastAsia"/>
                <w:color w:val="auto"/>
                <w:highlight w:val="none"/>
                <w:lang w:val="en-US" w:eastAsia="zh-CN"/>
              </w:rPr>
              <w:t>本</w:t>
            </w:r>
            <w:r>
              <w:rPr>
                <w:rFonts w:hint="eastAsia"/>
                <w:color w:val="auto"/>
                <w:highlight w:val="none"/>
              </w:rPr>
              <w:t>项目厂区</w:t>
            </w:r>
            <w:r>
              <w:rPr>
                <w:rFonts w:hint="eastAsia"/>
                <w:color w:val="auto"/>
                <w:highlight w:val="none"/>
                <w:lang w:val="en-US" w:eastAsia="zh-CN"/>
              </w:rPr>
              <w:t>道路</w:t>
            </w:r>
            <w:r>
              <w:rPr>
                <w:rFonts w:hint="eastAsia"/>
                <w:color w:val="auto"/>
                <w:highlight w:val="none"/>
              </w:rPr>
              <w:t>全部</w:t>
            </w:r>
            <w:r>
              <w:rPr>
                <w:rFonts w:hint="eastAsia"/>
                <w:color w:val="auto"/>
                <w:highlight w:val="none"/>
                <w:lang w:val="en-US" w:eastAsia="zh-CN"/>
              </w:rPr>
              <w:t>为</w:t>
            </w:r>
            <w:r>
              <w:rPr>
                <w:rFonts w:hint="eastAsia"/>
                <w:color w:val="auto"/>
                <w:highlight w:val="none"/>
              </w:rPr>
              <w:t>硬化地面，</w:t>
            </w:r>
            <w:r>
              <w:rPr>
                <w:rFonts w:hint="eastAsia"/>
                <w:color w:val="auto"/>
                <w:highlight w:val="none"/>
                <w:lang w:val="en-US" w:eastAsia="zh-CN"/>
              </w:rPr>
              <w:t>定期</w:t>
            </w:r>
            <w:r>
              <w:rPr>
                <w:color w:val="auto"/>
                <w:highlight w:val="none"/>
              </w:rPr>
              <w:t>对厂区道路进行洒水降尘并定期清扫、冲洗，载货车辆进出均加盖防尘网</w:t>
            </w:r>
            <w:r>
              <w:rPr>
                <w:rFonts w:hint="eastAsia"/>
                <w:color w:val="auto"/>
                <w:highlight w:val="none"/>
              </w:rPr>
              <w:t>。</w:t>
            </w:r>
          </w:p>
          <w:p w14:paraId="28EB1372">
            <w:pPr>
              <w:keepNext w:val="0"/>
              <w:keepLines w:val="0"/>
              <w:pageBreakBefore w:val="0"/>
              <w:widowControl w:val="0"/>
              <w:kinsoku/>
              <w:wordWrap w:val="0"/>
              <w:overflowPunct/>
              <w:topLinePunct/>
              <w:autoSpaceDE/>
              <w:autoSpaceDN/>
              <w:bidi w:val="0"/>
              <w:adjustRightInd/>
              <w:snapToGrid/>
              <w:spacing w:after="0" w:line="360" w:lineRule="auto"/>
              <w:ind w:firstLine="480" w:firstLineChars="200"/>
              <w:jc w:val="left"/>
              <w:textAlignment w:val="auto"/>
              <w:rPr>
                <w:rFonts w:hint="eastAsia" w:ascii="Times New Roman" w:hAnsi="Times New Roman" w:eastAsia="宋体" w:cs="Times New Roman"/>
                <w:color w:val="auto"/>
                <w:kern w:val="2"/>
                <w:sz w:val="24"/>
                <w:szCs w:val="24"/>
                <w:highlight w:val="none"/>
                <w:lang w:val="en-US" w:eastAsia="zh-CN" w:bidi="ar-SA"/>
              </w:rPr>
            </w:pPr>
            <w:r>
              <w:rPr>
                <w:color w:val="auto"/>
                <w:highlight w:val="none"/>
              </w:rPr>
              <w:t>综上所述，</w:t>
            </w:r>
            <w:r>
              <w:rPr>
                <w:rFonts w:hint="eastAsia"/>
                <w:color w:val="auto"/>
                <w:highlight w:val="none"/>
              </w:rPr>
              <w:t>本项目无组织排放的颗粒物在采取以上措施后，</w:t>
            </w:r>
            <w:r>
              <w:rPr>
                <w:rFonts w:hint="eastAsia" w:ascii="Times New Roman" w:hAnsi="Times New Roman" w:eastAsia="宋体" w:cs="Times New Roman"/>
                <w:color w:val="auto"/>
                <w:kern w:val="2"/>
                <w:sz w:val="24"/>
                <w:szCs w:val="24"/>
                <w:highlight w:val="none"/>
                <w:lang w:val="en-US" w:eastAsia="zh-CN" w:bidi="ar-SA"/>
              </w:rPr>
              <w:t>厂界颗粒物浓度满足《水泥工业大气污染物排放标准》（GB4915-2013）表3颗粒物无组织监控浓度限值0.5mg/</w:t>
            </w:r>
            <w:r>
              <w:rPr>
                <w:rFonts w:hint="eastAsia"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标准要求</w:t>
            </w:r>
            <w:r>
              <w:rPr>
                <w:rFonts w:hint="eastAsia" w:cs="Times New Roman"/>
                <w:color w:val="auto"/>
                <w:kern w:val="2"/>
                <w:sz w:val="24"/>
                <w:szCs w:val="24"/>
                <w:highlight w:val="none"/>
                <w:lang w:val="en-US" w:eastAsia="zh-CN" w:bidi="ar-SA"/>
              </w:rPr>
              <w:t>，且</w:t>
            </w:r>
            <w:r>
              <w:rPr>
                <w:rFonts w:hint="eastAsia" w:ascii="Times New Roman" w:hAnsi="Times New Roman" w:cs="Times New Roman"/>
                <w:color w:val="auto"/>
                <w:sz w:val="24"/>
                <w:szCs w:val="24"/>
                <w:highlight w:val="none"/>
                <w:lang w:val="en-US" w:eastAsia="zh-CN"/>
              </w:rPr>
              <w:t>本项目环境空气保护目标的</w:t>
            </w:r>
            <w:r>
              <w:rPr>
                <w:rFonts w:hint="eastAsia"/>
                <w:color w:val="auto"/>
                <w:highlight w:val="none"/>
                <w:lang w:val="en-US" w:eastAsia="zh-CN"/>
              </w:rPr>
              <w:t>沙岗乡位于本项目的侧风向</w:t>
            </w:r>
            <w:r>
              <w:rPr>
                <w:rFonts w:hint="eastAsia" w:cs="Times New Roman"/>
                <w:color w:val="auto"/>
                <w:kern w:val="2"/>
                <w:sz w:val="24"/>
                <w:szCs w:val="24"/>
                <w:highlight w:val="none"/>
                <w:lang w:val="en-US" w:eastAsia="zh-CN" w:bidi="ar-SA"/>
              </w:rPr>
              <w:t>，本项目废气经治理后排放对其影响不大，</w:t>
            </w:r>
            <w:r>
              <w:rPr>
                <w:rFonts w:hint="default" w:ascii="Times New Roman" w:hAnsi="Times New Roman" w:cs="Times New Roman"/>
                <w:color w:val="auto"/>
                <w:sz w:val="24"/>
                <w:szCs w:val="24"/>
                <w:highlight w:val="none"/>
              </w:rPr>
              <w:t>项目</w:t>
            </w:r>
            <w:r>
              <w:rPr>
                <w:rFonts w:hint="eastAsia" w:ascii="Times New Roman" w:hAnsi="Times New Roman" w:cs="Times New Roman"/>
                <w:color w:val="auto"/>
                <w:sz w:val="24"/>
                <w:szCs w:val="24"/>
                <w:highlight w:val="none"/>
                <w:lang w:val="en-US" w:eastAsia="zh-CN"/>
              </w:rPr>
              <w:t>的</w:t>
            </w:r>
            <w:r>
              <w:rPr>
                <w:rFonts w:hint="default" w:ascii="Times New Roman" w:hAnsi="Times New Roman" w:cs="Times New Roman"/>
                <w:color w:val="auto"/>
                <w:sz w:val="24"/>
                <w:szCs w:val="24"/>
                <w:highlight w:val="none"/>
              </w:rPr>
              <w:t>建设对周围环境</w:t>
            </w:r>
            <w:r>
              <w:rPr>
                <w:rFonts w:hint="eastAsia" w:ascii="Times New Roman" w:hAnsi="Times New Roman" w:cs="Times New Roman"/>
                <w:color w:val="auto"/>
                <w:sz w:val="24"/>
                <w:szCs w:val="24"/>
                <w:highlight w:val="none"/>
                <w:lang w:val="en-US" w:eastAsia="zh-CN"/>
              </w:rPr>
              <w:t>的</w:t>
            </w:r>
            <w:r>
              <w:rPr>
                <w:rFonts w:hint="default" w:ascii="Times New Roman" w:hAnsi="Times New Roman" w:cs="Times New Roman"/>
                <w:color w:val="auto"/>
                <w:sz w:val="24"/>
                <w:szCs w:val="24"/>
                <w:highlight w:val="none"/>
              </w:rPr>
              <w:t>影响可接受</w:t>
            </w:r>
            <w:r>
              <w:rPr>
                <w:rFonts w:hint="eastAsia" w:ascii="Times New Roman" w:hAnsi="Times New Roman" w:cs="Times New Roman"/>
                <w:color w:val="auto"/>
                <w:sz w:val="24"/>
                <w:szCs w:val="24"/>
                <w:highlight w:val="none"/>
                <w:lang w:eastAsia="zh-CN"/>
              </w:rPr>
              <w:t>。</w:t>
            </w:r>
          </w:p>
          <w:p w14:paraId="0B9DDD51">
            <w:pPr>
              <w:pStyle w:val="31"/>
              <w:bidi w:val="0"/>
              <w:rPr>
                <w:b/>
                <w:bCs/>
                <w:color w:val="auto"/>
                <w:highlight w:val="none"/>
              </w:rPr>
            </w:pPr>
            <w:r>
              <w:rPr>
                <w:rFonts w:hint="eastAsia"/>
                <w:b/>
                <w:bCs/>
                <w:color w:val="auto"/>
                <w:highlight w:val="none"/>
                <w:lang w:val="en-US" w:eastAsia="zh-CN"/>
              </w:rPr>
              <w:t>4、</w:t>
            </w:r>
            <w:r>
              <w:rPr>
                <w:b/>
                <w:bCs/>
                <w:color w:val="auto"/>
                <w:highlight w:val="none"/>
              </w:rPr>
              <w:t>监测要求</w:t>
            </w:r>
          </w:p>
          <w:p w14:paraId="1186ECA1">
            <w:pPr>
              <w:pStyle w:val="31"/>
              <w:bidi w:val="0"/>
              <w:rPr>
                <w:rFonts w:hint="eastAsia"/>
                <w:color w:val="auto"/>
                <w:highlight w:val="none"/>
                <w:lang w:eastAsia="zh-CN"/>
              </w:rPr>
            </w:pPr>
            <w:r>
              <w:rPr>
                <w:rFonts w:hint="eastAsia"/>
                <w:color w:val="auto"/>
                <w:highlight w:val="none"/>
              </w:rPr>
              <w:t>根据</w:t>
            </w:r>
            <w:r>
              <w:rPr>
                <w:rFonts w:hint="eastAsia"/>
                <w:color w:val="auto"/>
                <w:highlight w:val="none"/>
                <w:lang w:val="en-US" w:eastAsia="zh-CN"/>
              </w:rPr>
              <w:t>《排污单位自行监测技术指南 水泥工业》（HJ848-2017）</w:t>
            </w:r>
            <w:r>
              <w:rPr>
                <w:rFonts w:hint="eastAsia"/>
                <w:color w:val="auto"/>
                <w:highlight w:val="none"/>
              </w:rPr>
              <w:t>及《排污单位自行监测技术指南</w:t>
            </w:r>
            <w:r>
              <w:rPr>
                <w:rFonts w:hint="eastAsia"/>
                <w:color w:val="auto"/>
                <w:highlight w:val="none"/>
                <w:lang w:val="en-US" w:eastAsia="zh-CN"/>
              </w:rPr>
              <w:t xml:space="preserve"> </w:t>
            </w:r>
            <w:r>
              <w:rPr>
                <w:rFonts w:hint="eastAsia"/>
                <w:color w:val="auto"/>
                <w:highlight w:val="none"/>
              </w:rPr>
              <w:t>总则》</w:t>
            </w:r>
            <w:r>
              <w:rPr>
                <w:rFonts w:hint="eastAsia"/>
                <w:color w:val="auto"/>
                <w:highlight w:val="none"/>
                <w:lang w:eastAsia="zh-CN"/>
              </w:rPr>
              <w:t>（</w:t>
            </w:r>
            <w:r>
              <w:rPr>
                <w:rFonts w:hint="eastAsia"/>
                <w:color w:val="auto"/>
                <w:highlight w:val="none"/>
              </w:rPr>
              <w:t>HJ819-2017</w:t>
            </w:r>
            <w:r>
              <w:rPr>
                <w:rFonts w:hint="eastAsia"/>
                <w:color w:val="auto"/>
                <w:highlight w:val="none"/>
                <w:lang w:eastAsia="zh-CN"/>
              </w:rPr>
              <w:t>）</w:t>
            </w:r>
            <w:r>
              <w:rPr>
                <w:rFonts w:hint="eastAsia"/>
                <w:color w:val="auto"/>
                <w:highlight w:val="none"/>
              </w:rPr>
              <w:t>，制定本项目大气监测计划如下</w:t>
            </w:r>
            <w:r>
              <w:rPr>
                <w:rFonts w:hint="eastAsia"/>
                <w:color w:val="auto"/>
                <w:highlight w:val="none"/>
                <w:lang w:eastAsia="zh-CN"/>
              </w:rPr>
              <w:t>：</w:t>
            </w:r>
          </w:p>
          <w:p w14:paraId="3492E1BB">
            <w:pPr>
              <w:pStyle w:val="36"/>
              <w:bidi w:val="0"/>
              <w:rPr>
                <w:color w:val="auto"/>
                <w:highlight w:val="none"/>
              </w:rPr>
            </w:pPr>
            <w:r>
              <w:rPr>
                <w:color w:val="auto"/>
                <w:highlight w:val="none"/>
              </w:rPr>
              <w:t>表</w:t>
            </w:r>
            <w:r>
              <w:rPr>
                <w:rFonts w:hint="eastAsia"/>
                <w:color w:val="auto"/>
                <w:highlight w:val="none"/>
              </w:rPr>
              <w:t>4-</w:t>
            </w:r>
            <w:r>
              <w:rPr>
                <w:rFonts w:hint="eastAsia"/>
                <w:color w:val="auto"/>
                <w:highlight w:val="none"/>
                <w:lang w:val="en-US" w:eastAsia="zh-CN"/>
              </w:rPr>
              <w:t>4</w:t>
            </w:r>
            <w:r>
              <w:rPr>
                <w:rFonts w:hint="eastAsia"/>
                <w:color w:val="auto"/>
                <w:highlight w:val="none"/>
              </w:rPr>
              <w:t>废气监测方案</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1164"/>
              <w:gridCol w:w="1165"/>
              <w:gridCol w:w="4137"/>
            </w:tblGrid>
            <w:tr w14:paraId="4D509B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2" w:type="pct"/>
                  <w:vAlign w:val="center"/>
                </w:tcPr>
                <w:p w14:paraId="3087D5BA">
                  <w:pPr>
                    <w:pStyle w:val="34"/>
                    <w:bidi w:val="0"/>
                    <w:rPr>
                      <w:color w:val="auto"/>
                      <w:highlight w:val="none"/>
                    </w:rPr>
                  </w:pPr>
                  <w:r>
                    <w:rPr>
                      <w:color w:val="auto"/>
                      <w:highlight w:val="none"/>
                    </w:rPr>
                    <w:t>监测点位</w:t>
                  </w:r>
                </w:p>
              </w:tc>
              <w:tc>
                <w:tcPr>
                  <w:tcW w:w="762" w:type="pct"/>
                  <w:vAlign w:val="center"/>
                </w:tcPr>
                <w:p w14:paraId="03EFB144">
                  <w:pPr>
                    <w:pStyle w:val="34"/>
                    <w:bidi w:val="0"/>
                    <w:rPr>
                      <w:color w:val="auto"/>
                      <w:highlight w:val="none"/>
                    </w:rPr>
                  </w:pPr>
                  <w:r>
                    <w:rPr>
                      <w:color w:val="auto"/>
                      <w:highlight w:val="none"/>
                    </w:rPr>
                    <w:t>监测指标</w:t>
                  </w:r>
                </w:p>
              </w:tc>
              <w:tc>
                <w:tcPr>
                  <w:tcW w:w="763" w:type="pct"/>
                  <w:vAlign w:val="center"/>
                </w:tcPr>
                <w:p w14:paraId="37228A82">
                  <w:pPr>
                    <w:pStyle w:val="34"/>
                    <w:bidi w:val="0"/>
                    <w:rPr>
                      <w:color w:val="auto"/>
                      <w:highlight w:val="none"/>
                    </w:rPr>
                  </w:pPr>
                  <w:r>
                    <w:rPr>
                      <w:color w:val="auto"/>
                      <w:highlight w:val="none"/>
                    </w:rPr>
                    <w:t>监测频次</w:t>
                  </w:r>
                </w:p>
              </w:tc>
              <w:tc>
                <w:tcPr>
                  <w:tcW w:w="2711" w:type="pct"/>
                  <w:vAlign w:val="center"/>
                </w:tcPr>
                <w:p w14:paraId="78A85418">
                  <w:pPr>
                    <w:pStyle w:val="34"/>
                    <w:bidi w:val="0"/>
                    <w:rPr>
                      <w:color w:val="auto"/>
                      <w:highlight w:val="none"/>
                    </w:rPr>
                  </w:pPr>
                  <w:r>
                    <w:rPr>
                      <w:color w:val="auto"/>
                      <w:szCs w:val="21"/>
                      <w:highlight w:val="none"/>
                    </w:rPr>
                    <w:t>执行排放标准</w:t>
                  </w:r>
                </w:p>
              </w:tc>
            </w:tr>
            <w:tr w14:paraId="61CFC2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2" w:type="pct"/>
                  <w:vAlign w:val="center"/>
                </w:tcPr>
                <w:p w14:paraId="2307B087">
                  <w:pPr>
                    <w:pStyle w:val="34"/>
                    <w:bidi w:val="0"/>
                    <w:rPr>
                      <w:color w:val="auto"/>
                      <w:highlight w:val="none"/>
                    </w:rPr>
                  </w:pPr>
                  <w:r>
                    <w:rPr>
                      <w:color w:val="auto"/>
                      <w:highlight w:val="none"/>
                    </w:rPr>
                    <w:t>厂界</w:t>
                  </w:r>
                </w:p>
              </w:tc>
              <w:tc>
                <w:tcPr>
                  <w:tcW w:w="762" w:type="pct"/>
                  <w:vAlign w:val="center"/>
                </w:tcPr>
                <w:p w14:paraId="0E957804">
                  <w:pPr>
                    <w:pStyle w:val="34"/>
                    <w:bidi w:val="0"/>
                    <w:rPr>
                      <w:color w:val="auto"/>
                      <w:highlight w:val="none"/>
                    </w:rPr>
                  </w:pPr>
                  <w:r>
                    <w:rPr>
                      <w:color w:val="auto"/>
                      <w:sz w:val="21"/>
                      <w:szCs w:val="21"/>
                      <w:highlight w:val="none"/>
                    </w:rPr>
                    <w:t>颗粒物</w:t>
                  </w:r>
                </w:p>
              </w:tc>
              <w:tc>
                <w:tcPr>
                  <w:tcW w:w="763" w:type="pct"/>
                  <w:vAlign w:val="center"/>
                </w:tcPr>
                <w:p w14:paraId="0D6E1BAF">
                  <w:pPr>
                    <w:pStyle w:val="34"/>
                    <w:bidi w:val="0"/>
                    <w:rPr>
                      <w:rFonts w:hint="eastAsia" w:eastAsia="宋体"/>
                      <w:color w:val="auto"/>
                      <w:highlight w:val="none"/>
                      <w:lang w:eastAsia="zh-CN"/>
                    </w:rPr>
                  </w:pPr>
                  <w:r>
                    <w:rPr>
                      <w:rFonts w:hint="eastAsia"/>
                      <w:color w:val="auto"/>
                      <w:sz w:val="21"/>
                      <w:szCs w:val="21"/>
                      <w:highlight w:val="none"/>
                      <w:lang w:val="en-US" w:eastAsia="zh-CN"/>
                    </w:rPr>
                    <w:t>1次/季</w:t>
                  </w:r>
                </w:p>
              </w:tc>
              <w:tc>
                <w:tcPr>
                  <w:tcW w:w="2711" w:type="pct"/>
                  <w:vAlign w:val="center"/>
                </w:tcPr>
                <w:p w14:paraId="2853152F">
                  <w:pPr>
                    <w:pStyle w:val="34"/>
                    <w:bidi w:val="0"/>
                    <w:rPr>
                      <w:rFonts w:hint="eastAsia"/>
                      <w:color w:val="auto"/>
                      <w:sz w:val="21"/>
                      <w:szCs w:val="21"/>
                      <w:highlight w:val="none"/>
                      <w:lang w:val="en-US" w:eastAsia="zh-CN"/>
                    </w:rPr>
                  </w:pPr>
                  <w:r>
                    <w:rPr>
                      <w:rFonts w:hint="eastAsia"/>
                      <w:color w:val="auto"/>
                      <w:szCs w:val="21"/>
                      <w:highlight w:val="none"/>
                      <w:lang w:val="en-US" w:eastAsia="zh-CN"/>
                    </w:rPr>
                    <w:t>《水泥工业大气污染物排放标准》（GB4915-2013）表3大气污染物无组织排放限值</w:t>
                  </w:r>
                </w:p>
              </w:tc>
            </w:tr>
          </w:tbl>
          <w:p w14:paraId="6BAFD2B4">
            <w:pPr>
              <w:pStyle w:val="31"/>
              <w:bidi w:val="0"/>
              <w:rPr>
                <w:b/>
                <w:bCs/>
                <w:color w:val="auto"/>
                <w:highlight w:val="none"/>
              </w:rPr>
            </w:pPr>
            <w:r>
              <w:rPr>
                <w:rFonts w:hint="eastAsia"/>
                <w:b/>
                <w:bCs/>
                <w:color w:val="auto"/>
                <w:highlight w:val="none"/>
                <w:lang w:val="en-US" w:eastAsia="zh-CN"/>
              </w:rPr>
              <w:t>二、</w:t>
            </w:r>
            <w:r>
              <w:rPr>
                <w:rFonts w:hint="eastAsia"/>
                <w:b/>
                <w:bCs/>
                <w:color w:val="auto"/>
                <w:highlight w:val="none"/>
              </w:rPr>
              <w:t>废水</w:t>
            </w:r>
          </w:p>
          <w:p w14:paraId="724736FC">
            <w:pPr>
              <w:pStyle w:val="31"/>
              <w:bidi w:val="0"/>
              <w:rPr>
                <w:rFonts w:hint="eastAsia"/>
                <w:color w:val="auto"/>
                <w:highlight w:val="none"/>
                <w:lang w:val="en-US" w:eastAsia="zh-CN"/>
              </w:rPr>
            </w:pPr>
            <w:r>
              <w:rPr>
                <w:rFonts w:hint="eastAsia"/>
                <w:color w:val="auto"/>
                <w:highlight w:val="none"/>
                <w:lang w:val="en-US" w:eastAsia="zh-CN"/>
              </w:rPr>
              <w:t>本项目洒水抑尘用水全部自然蒸发消耗，设备冲洗水全部回用于生产进入产品，车辆冲洗废水经沉淀池沉淀后回用于车辆冲洗后全部自然蒸发消耗，搅拌用水全部进入产品，因此本项目无生产废水外排；初期雨水通过厂区地势自然流入沉淀池后用于厂区洒水降尘，全部自然蒸发，不外排。</w:t>
            </w:r>
          </w:p>
          <w:p w14:paraId="6F0206B3">
            <w:pPr>
              <w:pStyle w:val="31"/>
              <w:bidi w:val="0"/>
              <w:rPr>
                <w:rFonts w:hint="default" w:ascii="Times New Roman" w:hAnsi="Times New Roman" w:cs="Times New Roman" w:eastAsiaTheme="minorEastAsia"/>
                <w:color w:val="auto"/>
                <w:sz w:val="24"/>
                <w:highlight w:val="none"/>
              </w:rPr>
            </w:pPr>
            <w:r>
              <w:rPr>
                <w:rFonts w:hint="eastAsia"/>
                <w:color w:val="auto"/>
                <w:highlight w:val="none"/>
                <w:lang w:val="en-US" w:eastAsia="zh-CN"/>
              </w:rPr>
              <w:t>生活污水排入防渗旱厕，定期清掏，外运堆肥，</w:t>
            </w:r>
            <w:r>
              <w:rPr>
                <w:rFonts w:hint="default" w:ascii="Times New Roman" w:hAnsi="Times New Roman" w:cs="Times New Roman" w:eastAsiaTheme="minorEastAsia"/>
                <w:color w:val="auto"/>
                <w:sz w:val="24"/>
                <w:highlight w:val="none"/>
              </w:rPr>
              <w:t>参考《给排水设计手册》（第五册城镇排水）典型生活污水水质，项目生活污水中各主要污染物浓度按</w:t>
            </w:r>
            <w:r>
              <w:rPr>
                <w:rFonts w:hint="default" w:ascii="Times New Roman" w:hAnsi="Times New Roman" w:cs="Times New Roman" w:eastAsiaTheme="minorEastAsia"/>
                <w:color w:val="auto"/>
                <w:kern w:val="2"/>
                <w:sz w:val="24"/>
                <w:szCs w:val="24"/>
                <w:highlight w:val="none"/>
                <w:lang w:val="en-US" w:eastAsia="zh-CN" w:bidi="ar-SA"/>
              </w:rPr>
              <w:t>pH：6.5~7.5，</w:t>
            </w:r>
            <w:r>
              <w:rPr>
                <w:rFonts w:hint="default" w:ascii="Times New Roman" w:hAnsi="Times New Roman" w:cs="Times New Roman" w:eastAsiaTheme="minorEastAsia"/>
                <w:color w:val="auto"/>
                <w:sz w:val="24"/>
                <w:highlight w:val="none"/>
              </w:rPr>
              <w:t>COD：</w:t>
            </w:r>
            <w:r>
              <w:rPr>
                <w:rFonts w:hint="default" w:ascii="Times New Roman" w:hAnsi="Times New Roman" w:cs="Times New Roman" w:eastAsiaTheme="minorEastAsia"/>
                <w:color w:val="auto"/>
                <w:sz w:val="24"/>
                <w:highlight w:val="none"/>
                <w:lang w:val="en-US" w:eastAsia="zh-CN"/>
              </w:rPr>
              <w:t>3</w:t>
            </w:r>
            <w:r>
              <w:rPr>
                <w:rFonts w:hint="default" w:ascii="Times New Roman" w:hAnsi="Times New Roman" w:cs="Times New Roman" w:eastAsiaTheme="minorEastAsia"/>
                <w:color w:val="auto"/>
                <w:sz w:val="24"/>
                <w:highlight w:val="none"/>
              </w:rPr>
              <w:t>00mg/L，BOD</w:t>
            </w:r>
            <w:r>
              <w:rPr>
                <w:rFonts w:hint="default" w:ascii="Times New Roman" w:hAnsi="Times New Roman" w:cs="Times New Roman" w:eastAsiaTheme="minorEastAsia"/>
                <w:color w:val="auto"/>
                <w:sz w:val="24"/>
                <w:highlight w:val="none"/>
                <w:vertAlign w:val="subscript"/>
              </w:rPr>
              <w:t>5</w:t>
            </w:r>
            <w:r>
              <w:rPr>
                <w:rFonts w:hint="default" w:ascii="Times New Roman" w:hAnsi="Times New Roman" w:cs="Times New Roman" w:eastAsiaTheme="minorEastAsia"/>
                <w:color w:val="auto"/>
                <w:sz w:val="24"/>
                <w:highlight w:val="none"/>
              </w:rPr>
              <w:t>：</w:t>
            </w:r>
            <w:r>
              <w:rPr>
                <w:rFonts w:hint="default" w:ascii="Times New Roman" w:hAnsi="Times New Roman" w:cs="Times New Roman" w:eastAsiaTheme="minorEastAsia"/>
                <w:color w:val="auto"/>
                <w:sz w:val="24"/>
                <w:highlight w:val="none"/>
                <w:lang w:val="en-US" w:eastAsia="zh-CN"/>
              </w:rPr>
              <w:t>8</w:t>
            </w:r>
            <w:r>
              <w:rPr>
                <w:rFonts w:hint="default" w:ascii="Times New Roman" w:hAnsi="Times New Roman" w:cs="Times New Roman" w:eastAsiaTheme="minorEastAsia"/>
                <w:color w:val="auto"/>
                <w:sz w:val="24"/>
                <w:highlight w:val="none"/>
              </w:rPr>
              <w:t>0mg/L，SS：</w:t>
            </w:r>
            <w:r>
              <w:rPr>
                <w:rFonts w:hint="default" w:ascii="Times New Roman" w:hAnsi="Times New Roman" w:cs="Times New Roman" w:eastAsiaTheme="minorEastAsia"/>
                <w:color w:val="auto"/>
                <w:sz w:val="24"/>
                <w:highlight w:val="none"/>
                <w:lang w:val="en-US" w:eastAsia="zh-CN"/>
              </w:rPr>
              <w:t>150</w:t>
            </w:r>
            <w:r>
              <w:rPr>
                <w:rFonts w:hint="default" w:ascii="Times New Roman" w:hAnsi="Times New Roman" w:cs="Times New Roman" w:eastAsiaTheme="minorEastAsia"/>
                <w:color w:val="auto"/>
                <w:sz w:val="24"/>
                <w:highlight w:val="none"/>
              </w:rPr>
              <w:t>mg/L，NH</w:t>
            </w:r>
            <w:r>
              <w:rPr>
                <w:rFonts w:hint="default" w:ascii="Times New Roman" w:hAnsi="Times New Roman" w:cs="Times New Roman" w:eastAsiaTheme="minorEastAsia"/>
                <w:color w:val="auto"/>
                <w:sz w:val="24"/>
                <w:highlight w:val="none"/>
                <w:vertAlign w:val="subscript"/>
              </w:rPr>
              <w:t>3</w:t>
            </w:r>
            <w:r>
              <w:rPr>
                <w:rFonts w:hint="default" w:ascii="Times New Roman" w:hAnsi="Times New Roman" w:cs="Times New Roman" w:eastAsiaTheme="minorEastAsia"/>
                <w:color w:val="auto"/>
                <w:sz w:val="24"/>
                <w:highlight w:val="none"/>
              </w:rPr>
              <w:t>-N：</w:t>
            </w:r>
            <w:r>
              <w:rPr>
                <w:rFonts w:hint="default" w:ascii="Times New Roman" w:hAnsi="Times New Roman" w:cs="Times New Roman" w:eastAsiaTheme="minorEastAsia"/>
                <w:color w:val="auto"/>
                <w:sz w:val="24"/>
                <w:highlight w:val="none"/>
                <w:lang w:val="en-US" w:eastAsia="zh-CN"/>
              </w:rPr>
              <w:t>30</w:t>
            </w:r>
            <w:r>
              <w:rPr>
                <w:rFonts w:hint="default" w:ascii="Times New Roman" w:hAnsi="Times New Roman" w:cs="Times New Roman" w:eastAsiaTheme="minorEastAsia"/>
                <w:color w:val="auto"/>
                <w:sz w:val="24"/>
                <w:highlight w:val="none"/>
              </w:rPr>
              <w:t>mg/L计算。项目生活污水各污染物产生及排放源强情况见下表：</w:t>
            </w:r>
          </w:p>
          <w:p w14:paraId="089BD7A6">
            <w:pPr>
              <w:pStyle w:val="36"/>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废水污染源源强核算结果及相关参数一览表</w:t>
            </w:r>
          </w:p>
          <w:tbl>
            <w:tblPr>
              <w:tblStyle w:val="23"/>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43"/>
              <w:gridCol w:w="726"/>
              <w:gridCol w:w="870"/>
              <w:gridCol w:w="816"/>
              <w:gridCol w:w="703"/>
              <w:gridCol w:w="492"/>
              <w:gridCol w:w="549"/>
              <w:gridCol w:w="830"/>
              <w:gridCol w:w="954"/>
              <w:gridCol w:w="724"/>
              <w:gridCol w:w="513"/>
            </w:tblGrid>
            <w:tr w14:paraId="71343E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290" w:type="pct"/>
                  <w:vMerge w:val="restart"/>
                  <w:tcBorders>
                    <w:tl2br w:val="nil"/>
                    <w:tr2bl w:val="nil"/>
                  </w:tcBorders>
                  <w:vAlign w:val="center"/>
                </w:tcPr>
                <w:p w14:paraId="3FE971EF">
                  <w:pPr>
                    <w:pStyle w:val="34"/>
                    <w:bidi w:val="0"/>
                    <w:rPr>
                      <w:rFonts w:hint="default" w:ascii="Times New Roman" w:hAnsi="Times New Roman" w:cs="Times New Roman"/>
                      <w:color w:val="auto"/>
                      <w:highlight w:val="none"/>
                    </w:rPr>
                  </w:pPr>
                  <w:bookmarkStart w:id="10" w:name="_Hlk523068116"/>
                  <w:r>
                    <w:rPr>
                      <w:rFonts w:hint="default" w:ascii="Times New Roman" w:hAnsi="Times New Roman" w:cs="Times New Roman"/>
                      <w:color w:val="auto"/>
                      <w:highlight w:val="none"/>
                    </w:rPr>
                    <w:t>污染源</w:t>
                  </w:r>
                </w:p>
              </w:tc>
              <w:tc>
                <w:tcPr>
                  <w:tcW w:w="476" w:type="pct"/>
                  <w:vMerge w:val="restart"/>
                  <w:tcBorders>
                    <w:tl2br w:val="nil"/>
                    <w:tr2bl w:val="nil"/>
                  </w:tcBorders>
                  <w:vAlign w:val="center"/>
                </w:tcPr>
                <w:p w14:paraId="1C67AA23">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1567" w:type="pct"/>
                  <w:gridSpan w:val="3"/>
                  <w:tcBorders>
                    <w:tl2br w:val="nil"/>
                    <w:tr2bl w:val="nil"/>
                  </w:tcBorders>
                  <w:vAlign w:val="center"/>
                </w:tcPr>
                <w:p w14:paraId="29DF7818">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污染物产生</w:t>
                  </w:r>
                </w:p>
              </w:tc>
              <w:tc>
                <w:tcPr>
                  <w:tcW w:w="683" w:type="pct"/>
                  <w:gridSpan w:val="2"/>
                  <w:tcBorders>
                    <w:tl2br w:val="nil"/>
                    <w:tr2bl w:val="nil"/>
                  </w:tcBorders>
                  <w:vAlign w:val="center"/>
                </w:tcPr>
                <w:p w14:paraId="5076B410">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治理措施</w:t>
                  </w:r>
                </w:p>
              </w:tc>
              <w:tc>
                <w:tcPr>
                  <w:tcW w:w="1645" w:type="pct"/>
                  <w:gridSpan w:val="3"/>
                  <w:tcBorders>
                    <w:tl2br w:val="nil"/>
                    <w:tr2bl w:val="nil"/>
                  </w:tcBorders>
                  <w:vAlign w:val="center"/>
                </w:tcPr>
                <w:p w14:paraId="19C68BE1">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w:t>
                  </w:r>
                </w:p>
              </w:tc>
              <w:tc>
                <w:tcPr>
                  <w:tcW w:w="336" w:type="pct"/>
                  <w:vMerge w:val="restart"/>
                  <w:tcBorders>
                    <w:tl2br w:val="nil"/>
                    <w:tr2bl w:val="nil"/>
                  </w:tcBorders>
                  <w:vAlign w:val="center"/>
                </w:tcPr>
                <w:p w14:paraId="059CACE1">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排放时间/h</w:t>
                  </w:r>
                </w:p>
              </w:tc>
            </w:tr>
            <w:tr w14:paraId="206A0D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290" w:type="pct"/>
                  <w:vMerge w:val="continue"/>
                  <w:tcBorders>
                    <w:tl2br w:val="nil"/>
                    <w:tr2bl w:val="nil"/>
                  </w:tcBorders>
                  <w:vAlign w:val="center"/>
                </w:tcPr>
                <w:p w14:paraId="74B7AE4F">
                  <w:pPr>
                    <w:pStyle w:val="34"/>
                    <w:bidi w:val="0"/>
                    <w:rPr>
                      <w:rFonts w:hint="default" w:ascii="Times New Roman" w:hAnsi="Times New Roman" w:cs="Times New Roman"/>
                      <w:color w:val="auto"/>
                      <w:highlight w:val="none"/>
                    </w:rPr>
                  </w:pPr>
                </w:p>
              </w:tc>
              <w:tc>
                <w:tcPr>
                  <w:tcW w:w="476" w:type="pct"/>
                  <w:vMerge w:val="continue"/>
                  <w:tcBorders>
                    <w:tl2br w:val="nil"/>
                    <w:tr2bl w:val="nil"/>
                  </w:tcBorders>
                  <w:vAlign w:val="center"/>
                </w:tcPr>
                <w:p w14:paraId="2B36CCBE">
                  <w:pPr>
                    <w:pStyle w:val="34"/>
                    <w:bidi w:val="0"/>
                    <w:rPr>
                      <w:rFonts w:hint="default" w:ascii="Times New Roman" w:hAnsi="Times New Roman" w:cs="Times New Roman"/>
                      <w:color w:val="auto"/>
                      <w:highlight w:val="none"/>
                    </w:rPr>
                  </w:pPr>
                </w:p>
              </w:tc>
              <w:tc>
                <w:tcPr>
                  <w:tcW w:w="570" w:type="pct"/>
                  <w:tcBorders>
                    <w:tl2br w:val="nil"/>
                    <w:tr2bl w:val="nil"/>
                  </w:tcBorders>
                  <w:vAlign w:val="center"/>
                </w:tcPr>
                <w:p w14:paraId="5E9FF4DB">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产生废水/</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lang w:eastAsia="zh-CN"/>
                    </w:rPr>
                    <w:t>3</w:t>
                  </w:r>
                  <w:r>
                    <w:rPr>
                      <w:rFonts w:hint="default" w:ascii="Times New Roman" w:hAnsi="Times New Roman" w:cs="Times New Roman"/>
                      <w:color w:val="auto"/>
                      <w:highlight w:val="none"/>
                    </w:rPr>
                    <w:t>/a</w:t>
                  </w:r>
                </w:p>
              </w:tc>
              <w:tc>
                <w:tcPr>
                  <w:tcW w:w="535" w:type="pct"/>
                  <w:tcBorders>
                    <w:tl2br w:val="nil"/>
                    <w:tr2bl w:val="nil"/>
                  </w:tcBorders>
                  <w:vAlign w:val="center"/>
                </w:tcPr>
                <w:p w14:paraId="3E03BDC9">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产生浓度/mg/L</w:t>
                  </w:r>
                </w:p>
              </w:tc>
              <w:tc>
                <w:tcPr>
                  <w:tcW w:w="461" w:type="pct"/>
                  <w:tcBorders>
                    <w:tl2br w:val="nil"/>
                    <w:tr2bl w:val="nil"/>
                  </w:tcBorders>
                  <w:vAlign w:val="center"/>
                </w:tcPr>
                <w:p w14:paraId="7DCC0A9D">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产生量/t/a</w:t>
                  </w:r>
                </w:p>
              </w:tc>
              <w:tc>
                <w:tcPr>
                  <w:tcW w:w="323" w:type="pct"/>
                  <w:tcBorders>
                    <w:tl2br w:val="nil"/>
                    <w:tr2bl w:val="nil"/>
                  </w:tcBorders>
                  <w:vAlign w:val="center"/>
                </w:tcPr>
                <w:p w14:paraId="4970A48E">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工艺</w:t>
                  </w:r>
                </w:p>
              </w:tc>
              <w:tc>
                <w:tcPr>
                  <w:tcW w:w="360" w:type="pct"/>
                  <w:tcBorders>
                    <w:tl2br w:val="nil"/>
                    <w:tr2bl w:val="nil"/>
                  </w:tcBorders>
                  <w:vAlign w:val="center"/>
                </w:tcPr>
                <w:p w14:paraId="2FE33C45">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效率%</w:t>
                  </w:r>
                </w:p>
              </w:tc>
              <w:tc>
                <w:tcPr>
                  <w:tcW w:w="544" w:type="pct"/>
                  <w:tcBorders>
                    <w:tl2br w:val="nil"/>
                    <w:tr2bl w:val="nil"/>
                  </w:tcBorders>
                  <w:vAlign w:val="center"/>
                </w:tcPr>
                <w:p w14:paraId="36E15D24">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排放废水/t/a</w:t>
                  </w:r>
                </w:p>
              </w:tc>
              <w:tc>
                <w:tcPr>
                  <w:tcW w:w="625" w:type="pct"/>
                  <w:tcBorders>
                    <w:tl2br w:val="nil"/>
                    <w:tr2bl w:val="nil"/>
                  </w:tcBorders>
                  <w:vAlign w:val="center"/>
                </w:tcPr>
                <w:p w14:paraId="276CE533">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排放浓度/mg/L</w:t>
                  </w:r>
                </w:p>
              </w:tc>
              <w:tc>
                <w:tcPr>
                  <w:tcW w:w="475" w:type="pct"/>
                  <w:tcBorders>
                    <w:tl2br w:val="nil"/>
                    <w:tr2bl w:val="nil"/>
                  </w:tcBorders>
                  <w:vAlign w:val="center"/>
                </w:tcPr>
                <w:p w14:paraId="1FE72BFE">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排放量/t/a</w:t>
                  </w:r>
                </w:p>
              </w:tc>
              <w:tc>
                <w:tcPr>
                  <w:tcW w:w="336" w:type="pct"/>
                  <w:vMerge w:val="continue"/>
                  <w:tcBorders>
                    <w:tl2br w:val="nil"/>
                    <w:tr2bl w:val="nil"/>
                  </w:tcBorders>
                  <w:vAlign w:val="center"/>
                </w:tcPr>
                <w:p w14:paraId="15FCFB35">
                  <w:pPr>
                    <w:pStyle w:val="34"/>
                    <w:bidi w:val="0"/>
                    <w:rPr>
                      <w:rFonts w:hint="default" w:ascii="Times New Roman" w:hAnsi="Times New Roman" w:cs="Times New Roman"/>
                      <w:color w:val="auto"/>
                      <w:highlight w:val="none"/>
                    </w:rPr>
                  </w:pPr>
                </w:p>
              </w:tc>
            </w:tr>
            <w:tr w14:paraId="21B3F9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290" w:type="pct"/>
                  <w:vMerge w:val="restart"/>
                  <w:tcBorders>
                    <w:tl2br w:val="nil"/>
                    <w:tr2bl w:val="nil"/>
                  </w:tcBorders>
                  <w:vAlign w:val="center"/>
                </w:tcPr>
                <w:p w14:paraId="7F9B27E7">
                  <w:pPr>
                    <w:pStyle w:val="34"/>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生活污水</w:t>
                  </w:r>
                </w:p>
              </w:tc>
              <w:tc>
                <w:tcPr>
                  <w:tcW w:w="476" w:type="pct"/>
                  <w:tcBorders>
                    <w:tl2br w:val="nil"/>
                    <w:tr2bl w:val="nil"/>
                  </w:tcBorders>
                  <w:vAlign w:val="center"/>
                </w:tcPr>
                <w:p w14:paraId="1BECB819">
                  <w:pPr>
                    <w:pStyle w:val="3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w:t>
                  </w:r>
                </w:p>
              </w:tc>
              <w:tc>
                <w:tcPr>
                  <w:tcW w:w="570" w:type="pct"/>
                  <w:vMerge w:val="restart"/>
                  <w:tcBorders>
                    <w:tl2br w:val="nil"/>
                    <w:tr2bl w:val="nil"/>
                  </w:tcBorders>
                  <w:vAlign w:val="center"/>
                </w:tcPr>
                <w:p w14:paraId="669FD7CC">
                  <w:pPr>
                    <w:pStyle w:val="3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864</w:t>
                  </w:r>
                </w:p>
              </w:tc>
              <w:tc>
                <w:tcPr>
                  <w:tcW w:w="535" w:type="pct"/>
                  <w:tcBorders>
                    <w:tl2br w:val="nil"/>
                    <w:tr2bl w:val="nil"/>
                  </w:tcBorders>
                  <w:vAlign w:val="center"/>
                </w:tcPr>
                <w:p w14:paraId="235AC75A">
                  <w:pPr>
                    <w:pStyle w:val="3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6.5~7.5（无量纲）</w:t>
                  </w:r>
                </w:p>
              </w:tc>
              <w:tc>
                <w:tcPr>
                  <w:tcW w:w="461" w:type="pct"/>
                  <w:tcBorders>
                    <w:tl2br w:val="nil"/>
                    <w:tr2bl w:val="nil"/>
                  </w:tcBorders>
                  <w:vAlign w:val="center"/>
                </w:tcPr>
                <w:p w14:paraId="471EABD0">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323" w:type="pct"/>
                  <w:vMerge w:val="restart"/>
                  <w:tcBorders>
                    <w:tl2br w:val="nil"/>
                    <w:tr2bl w:val="nil"/>
                  </w:tcBorders>
                  <w:vAlign w:val="center"/>
                </w:tcPr>
                <w:p w14:paraId="687B4A46">
                  <w:pPr>
                    <w:pStyle w:val="34"/>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防渗旱厕</w:t>
                  </w:r>
                </w:p>
              </w:tc>
              <w:tc>
                <w:tcPr>
                  <w:tcW w:w="360" w:type="pct"/>
                  <w:vMerge w:val="restart"/>
                  <w:tcBorders>
                    <w:tl2br w:val="nil"/>
                    <w:tr2bl w:val="nil"/>
                  </w:tcBorders>
                  <w:vAlign w:val="center"/>
                </w:tcPr>
                <w:p w14:paraId="299AAD36">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544" w:type="pct"/>
                  <w:vMerge w:val="restart"/>
                  <w:tcBorders>
                    <w:tl2br w:val="nil"/>
                    <w:tr2bl w:val="nil"/>
                  </w:tcBorders>
                  <w:vAlign w:val="center"/>
                </w:tcPr>
                <w:p w14:paraId="6A92E160">
                  <w:pPr>
                    <w:pStyle w:val="3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959" w:type="dxa"/>
                  <w:tcBorders>
                    <w:tl2br w:val="nil"/>
                    <w:tr2bl w:val="nil"/>
                  </w:tcBorders>
                  <w:vAlign w:val="center"/>
                </w:tcPr>
                <w:p w14:paraId="3BBAA751">
                  <w:pPr>
                    <w:pStyle w:val="46"/>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w:t>
                  </w:r>
                </w:p>
              </w:tc>
              <w:tc>
                <w:tcPr>
                  <w:tcW w:w="728" w:type="dxa"/>
                  <w:tcBorders>
                    <w:tl2br w:val="nil"/>
                    <w:tr2bl w:val="nil"/>
                  </w:tcBorders>
                  <w:vAlign w:val="center"/>
                </w:tcPr>
                <w:p w14:paraId="2608DC85">
                  <w:pPr>
                    <w:pStyle w:val="46"/>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w:t>
                  </w:r>
                </w:p>
              </w:tc>
              <w:tc>
                <w:tcPr>
                  <w:tcW w:w="336" w:type="pct"/>
                  <w:vMerge w:val="restart"/>
                  <w:tcBorders>
                    <w:tl2br w:val="nil"/>
                    <w:tr2bl w:val="nil"/>
                  </w:tcBorders>
                  <w:vAlign w:val="center"/>
                </w:tcPr>
                <w:p w14:paraId="0C2F7A0F">
                  <w:pPr>
                    <w:pStyle w:val="3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2400</w:t>
                  </w:r>
                </w:p>
              </w:tc>
            </w:tr>
            <w:tr w14:paraId="5C0261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290" w:type="pct"/>
                  <w:vMerge w:val="continue"/>
                  <w:tcBorders>
                    <w:tl2br w:val="nil"/>
                    <w:tr2bl w:val="nil"/>
                  </w:tcBorders>
                  <w:vAlign w:val="center"/>
                </w:tcPr>
                <w:p w14:paraId="3B8222D4">
                  <w:pPr>
                    <w:pStyle w:val="34"/>
                    <w:bidi w:val="0"/>
                    <w:rPr>
                      <w:rFonts w:hint="default" w:ascii="Times New Roman" w:hAnsi="Times New Roman" w:cs="Times New Roman"/>
                      <w:color w:val="auto"/>
                      <w:highlight w:val="none"/>
                    </w:rPr>
                  </w:pPr>
                </w:p>
              </w:tc>
              <w:tc>
                <w:tcPr>
                  <w:tcW w:w="476" w:type="pct"/>
                  <w:tcBorders>
                    <w:tl2br w:val="nil"/>
                    <w:tr2bl w:val="nil"/>
                  </w:tcBorders>
                  <w:vAlign w:val="center"/>
                </w:tcPr>
                <w:p w14:paraId="3AAA69C1">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570" w:type="pct"/>
                  <w:vMerge w:val="continue"/>
                  <w:tcBorders>
                    <w:tl2br w:val="nil"/>
                    <w:tr2bl w:val="nil"/>
                  </w:tcBorders>
                  <w:vAlign w:val="center"/>
                </w:tcPr>
                <w:p w14:paraId="09F1F6CC">
                  <w:pPr>
                    <w:pStyle w:val="34"/>
                    <w:bidi w:val="0"/>
                    <w:rPr>
                      <w:rFonts w:hint="default" w:ascii="Times New Roman" w:hAnsi="Times New Roman" w:cs="Times New Roman"/>
                      <w:color w:val="auto"/>
                      <w:highlight w:val="none"/>
                    </w:rPr>
                  </w:pPr>
                </w:p>
              </w:tc>
              <w:tc>
                <w:tcPr>
                  <w:tcW w:w="535" w:type="pct"/>
                  <w:tcBorders>
                    <w:tl2br w:val="nil"/>
                    <w:tr2bl w:val="nil"/>
                  </w:tcBorders>
                  <w:vAlign w:val="center"/>
                </w:tcPr>
                <w:p w14:paraId="188BB05F">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00</w:t>
                  </w:r>
                </w:p>
              </w:tc>
              <w:tc>
                <w:tcPr>
                  <w:tcW w:w="707" w:type="dxa"/>
                  <w:tcBorders>
                    <w:tl2br w:val="nil"/>
                    <w:tr2bl w:val="nil"/>
                  </w:tcBorders>
                  <w:vAlign w:val="center"/>
                </w:tcPr>
                <w:p w14:paraId="64D1C6B9">
                  <w:pPr>
                    <w:pStyle w:val="3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0.2592</w:t>
                  </w:r>
                </w:p>
              </w:tc>
              <w:tc>
                <w:tcPr>
                  <w:tcW w:w="323" w:type="pct"/>
                  <w:vMerge w:val="continue"/>
                  <w:tcBorders>
                    <w:tl2br w:val="nil"/>
                    <w:tr2bl w:val="nil"/>
                  </w:tcBorders>
                  <w:vAlign w:val="center"/>
                </w:tcPr>
                <w:p w14:paraId="091A1FB3">
                  <w:pPr>
                    <w:pStyle w:val="34"/>
                    <w:bidi w:val="0"/>
                    <w:rPr>
                      <w:rFonts w:hint="default" w:ascii="Times New Roman" w:hAnsi="Times New Roman" w:cs="Times New Roman"/>
                      <w:color w:val="auto"/>
                      <w:highlight w:val="none"/>
                    </w:rPr>
                  </w:pPr>
                </w:p>
              </w:tc>
              <w:tc>
                <w:tcPr>
                  <w:tcW w:w="360" w:type="pct"/>
                  <w:vMerge w:val="continue"/>
                  <w:tcBorders>
                    <w:tl2br w:val="nil"/>
                    <w:tr2bl w:val="nil"/>
                  </w:tcBorders>
                  <w:vAlign w:val="center"/>
                </w:tcPr>
                <w:p w14:paraId="1BEB51AE">
                  <w:pPr>
                    <w:pStyle w:val="34"/>
                    <w:bidi w:val="0"/>
                    <w:rPr>
                      <w:rFonts w:hint="default" w:ascii="Times New Roman" w:hAnsi="Times New Roman" w:cs="Times New Roman"/>
                      <w:color w:val="auto"/>
                      <w:highlight w:val="none"/>
                    </w:rPr>
                  </w:pPr>
                </w:p>
              </w:tc>
              <w:tc>
                <w:tcPr>
                  <w:tcW w:w="544" w:type="pct"/>
                  <w:vMerge w:val="continue"/>
                  <w:tcBorders>
                    <w:tl2br w:val="nil"/>
                    <w:tr2bl w:val="nil"/>
                  </w:tcBorders>
                  <w:vAlign w:val="center"/>
                </w:tcPr>
                <w:p w14:paraId="2FFB3A6E">
                  <w:pPr>
                    <w:pStyle w:val="34"/>
                    <w:bidi w:val="0"/>
                    <w:rPr>
                      <w:rFonts w:hint="default" w:ascii="Times New Roman" w:hAnsi="Times New Roman" w:cs="Times New Roman"/>
                      <w:color w:val="auto"/>
                      <w:highlight w:val="none"/>
                    </w:rPr>
                  </w:pPr>
                </w:p>
              </w:tc>
              <w:tc>
                <w:tcPr>
                  <w:tcW w:w="959" w:type="dxa"/>
                  <w:tcBorders>
                    <w:tl2br w:val="nil"/>
                    <w:tr2bl w:val="nil"/>
                  </w:tcBorders>
                  <w:vAlign w:val="center"/>
                </w:tcPr>
                <w:p w14:paraId="2632F999">
                  <w:pPr>
                    <w:pStyle w:val="46"/>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w:t>
                  </w:r>
                </w:p>
              </w:tc>
              <w:tc>
                <w:tcPr>
                  <w:tcW w:w="728" w:type="dxa"/>
                  <w:tcBorders>
                    <w:tl2br w:val="nil"/>
                    <w:tr2bl w:val="nil"/>
                  </w:tcBorders>
                  <w:vAlign w:val="center"/>
                </w:tcPr>
                <w:p w14:paraId="6CA65497">
                  <w:pPr>
                    <w:pStyle w:val="46"/>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336" w:type="pct"/>
                  <w:vMerge w:val="continue"/>
                  <w:tcBorders>
                    <w:tl2br w:val="nil"/>
                    <w:tr2bl w:val="nil"/>
                  </w:tcBorders>
                  <w:vAlign w:val="center"/>
                </w:tcPr>
                <w:p w14:paraId="0DD2F7DA">
                  <w:pPr>
                    <w:pStyle w:val="34"/>
                    <w:bidi w:val="0"/>
                    <w:rPr>
                      <w:rFonts w:hint="default" w:ascii="Times New Roman" w:hAnsi="Times New Roman" w:cs="Times New Roman"/>
                      <w:color w:val="auto"/>
                      <w:highlight w:val="none"/>
                    </w:rPr>
                  </w:pPr>
                </w:p>
              </w:tc>
            </w:tr>
            <w:tr w14:paraId="317B06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290" w:type="pct"/>
                  <w:vMerge w:val="continue"/>
                  <w:tcBorders>
                    <w:tl2br w:val="nil"/>
                    <w:tr2bl w:val="nil"/>
                  </w:tcBorders>
                  <w:vAlign w:val="center"/>
                </w:tcPr>
                <w:p w14:paraId="0D4EC5B2">
                  <w:pPr>
                    <w:pStyle w:val="34"/>
                    <w:bidi w:val="0"/>
                    <w:rPr>
                      <w:rFonts w:hint="default" w:ascii="Times New Roman" w:hAnsi="Times New Roman" w:cs="Times New Roman"/>
                      <w:color w:val="auto"/>
                      <w:highlight w:val="none"/>
                    </w:rPr>
                  </w:pPr>
                </w:p>
              </w:tc>
              <w:tc>
                <w:tcPr>
                  <w:tcW w:w="476" w:type="pct"/>
                  <w:tcBorders>
                    <w:tl2br w:val="nil"/>
                    <w:tr2bl w:val="nil"/>
                  </w:tcBorders>
                  <w:vAlign w:val="center"/>
                </w:tcPr>
                <w:p w14:paraId="5D338EC5">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570" w:type="pct"/>
                  <w:vMerge w:val="continue"/>
                  <w:tcBorders>
                    <w:tl2br w:val="nil"/>
                    <w:tr2bl w:val="nil"/>
                  </w:tcBorders>
                  <w:vAlign w:val="center"/>
                </w:tcPr>
                <w:p w14:paraId="3F0255D3">
                  <w:pPr>
                    <w:pStyle w:val="34"/>
                    <w:bidi w:val="0"/>
                    <w:rPr>
                      <w:rFonts w:hint="default" w:ascii="Times New Roman" w:hAnsi="Times New Roman" w:cs="Times New Roman"/>
                      <w:color w:val="auto"/>
                      <w:highlight w:val="none"/>
                    </w:rPr>
                  </w:pPr>
                </w:p>
              </w:tc>
              <w:tc>
                <w:tcPr>
                  <w:tcW w:w="535" w:type="pct"/>
                  <w:tcBorders>
                    <w:tl2br w:val="nil"/>
                    <w:tr2bl w:val="nil"/>
                  </w:tcBorders>
                  <w:vAlign w:val="center"/>
                </w:tcPr>
                <w:p w14:paraId="1FFC0C95">
                  <w:pPr>
                    <w:pStyle w:val="34"/>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3</w:t>
                  </w:r>
                  <w:r>
                    <w:rPr>
                      <w:rFonts w:hint="default" w:ascii="Times New Roman" w:hAnsi="Times New Roman" w:cs="Times New Roman"/>
                      <w:color w:val="auto"/>
                      <w:highlight w:val="none"/>
                      <w:lang w:val="en-US" w:eastAsia="zh-CN"/>
                    </w:rPr>
                    <w:t>0</w:t>
                  </w:r>
                </w:p>
              </w:tc>
              <w:tc>
                <w:tcPr>
                  <w:tcW w:w="707" w:type="dxa"/>
                  <w:tcBorders>
                    <w:tl2br w:val="nil"/>
                    <w:tr2bl w:val="nil"/>
                  </w:tcBorders>
                  <w:vAlign w:val="center"/>
                </w:tcPr>
                <w:p w14:paraId="3B0EDA8B">
                  <w:pPr>
                    <w:pStyle w:val="3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0.0259</w:t>
                  </w:r>
                </w:p>
              </w:tc>
              <w:tc>
                <w:tcPr>
                  <w:tcW w:w="323" w:type="pct"/>
                  <w:vMerge w:val="continue"/>
                  <w:tcBorders>
                    <w:tl2br w:val="nil"/>
                    <w:tr2bl w:val="nil"/>
                  </w:tcBorders>
                  <w:vAlign w:val="center"/>
                </w:tcPr>
                <w:p w14:paraId="014DCD5A">
                  <w:pPr>
                    <w:pStyle w:val="34"/>
                    <w:bidi w:val="0"/>
                    <w:rPr>
                      <w:rFonts w:hint="default" w:ascii="Times New Roman" w:hAnsi="Times New Roman" w:cs="Times New Roman"/>
                      <w:color w:val="auto"/>
                      <w:highlight w:val="none"/>
                    </w:rPr>
                  </w:pPr>
                </w:p>
              </w:tc>
              <w:tc>
                <w:tcPr>
                  <w:tcW w:w="360" w:type="pct"/>
                  <w:vMerge w:val="continue"/>
                  <w:tcBorders>
                    <w:tl2br w:val="nil"/>
                    <w:tr2bl w:val="nil"/>
                  </w:tcBorders>
                  <w:vAlign w:val="center"/>
                </w:tcPr>
                <w:p w14:paraId="39A93EEE">
                  <w:pPr>
                    <w:pStyle w:val="34"/>
                    <w:bidi w:val="0"/>
                    <w:rPr>
                      <w:rFonts w:hint="default" w:ascii="Times New Roman" w:hAnsi="Times New Roman" w:cs="Times New Roman"/>
                      <w:color w:val="auto"/>
                      <w:highlight w:val="none"/>
                    </w:rPr>
                  </w:pPr>
                </w:p>
              </w:tc>
              <w:tc>
                <w:tcPr>
                  <w:tcW w:w="544" w:type="pct"/>
                  <w:vMerge w:val="continue"/>
                  <w:tcBorders>
                    <w:tl2br w:val="nil"/>
                    <w:tr2bl w:val="nil"/>
                  </w:tcBorders>
                  <w:vAlign w:val="center"/>
                </w:tcPr>
                <w:p w14:paraId="0AEF06B9">
                  <w:pPr>
                    <w:pStyle w:val="34"/>
                    <w:bidi w:val="0"/>
                    <w:rPr>
                      <w:rFonts w:hint="default" w:ascii="Times New Roman" w:hAnsi="Times New Roman" w:cs="Times New Roman"/>
                      <w:color w:val="auto"/>
                      <w:highlight w:val="none"/>
                    </w:rPr>
                  </w:pPr>
                </w:p>
              </w:tc>
              <w:tc>
                <w:tcPr>
                  <w:tcW w:w="959" w:type="dxa"/>
                  <w:tcBorders>
                    <w:tl2br w:val="nil"/>
                    <w:tr2bl w:val="nil"/>
                  </w:tcBorders>
                  <w:vAlign w:val="center"/>
                </w:tcPr>
                <w:p w14:paraId="42543E85">
                  <w:pPr>
                    <w:pStyle w:val="46"/>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w:t>
                  </w:r>
                </w:p>
              </w:tc>
              <w:tc>
                <w:tcPr>
                  <w:tcW w:w="728" w:type="dxa"/>
                  <w:tcBorders>
                    <w:tl2br w:val="nil"/>
                    <w:tr2bl w:val="nil"/>
                  </w:tcBorders>
                  <w:vAlign w:val="center"/>
                </w:tcPr>
                <w:p w14:paraId="4BB32A03">
                  <w:pPr>
                    <w:pStyle w:val="46"/>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w:t>
                  </w:r>
                </w:p>
              </w:tc>
              <w:tc>
                <w:tcPr>
                  <w:tcW w:w="336" w:type="pct"/>
                  <w:vMerge w:val="continue"/>
                  <w:tcBorders>
                    <w:tl2br w:val="nil"/>
                    <w:tr2bl w:val="nil"/>
                  </w:tcBorders>
                  <w:vAlign w:val="center"/>
                </w:tcPr>
                <w:p w14:paraId="255FA47D">
                  <w:pPr>
                    <w:pStyle w:val="34"/>
                    <w:bidi w:val="0"/>
                    <w:rPr>
                      <w:rFonts w:hint="default" w:ascii="Times New Roman" w:hAnsi="Times New Roman" w:cs="Times New Roman"/>
                      <w:color w:val="auto"/>
                      <w:highlight w:val="none"/>
                    </w:rPr>
                  </w:pPr>
                </w:p>
              </w:tc>
            </w:tr>
            <w:tr w14:paraId="0DB849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290" w:type="pct"/>
                  <w:vMerge w:val="continue"/>
                  <w:tcBorders>
                    <w:tl2br w:val="nil"/>
                    <w:tr2bl w:val="nil"/>
                  </w:tcBorders>
                  <w:vAlign w:val="center"/>
                </w:tcPr>
                <w:p w14:paraId="43A37FA3">
                  <w:pPr>
                    <w:pStyle w:val="34"/>
                    <w:bidi w:val="0"/>
                    <w:rPr>
                      <w:rFonts w:hint="default" w:ascii="Times New Roman" w:hAnsi="Times New Roman" w:cs="Times New Roman"/>
                      <w:color w:val="auto"/>
                      <w:highlight w:val="none"/>
                    </w:rPr>
                  </w:pPr>
                </w:p>
              </w:tc>
              <w:tc>
                <w:tcPr>
                  <w:tcW w:w="476" w:type="pct"/>
                  <w:tcBorders>
                    <w:tl2br w:val="nil"/>
                    <w:tr2bl w:val="nil"/>
                  </w:tcBorders>
                  <w:vAlign w:val="center"/>
                </w:tcPr>
                <w:p w14:paraId="0B65EE32">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570" w:type="pct"/>
                  <w:vMerge w:val="continue"/>
                  <w:tcBorders>
                    <w:tl2br w:val="nil"/>
                    <w:tr2bl w:val="nil"/>
                  </w:tcBorders>
                  <w:vAlign w:val="center"/>
                </w:tcPr>
                <w:p w14:paraId="298AC33C">
                  <w:pPr>
                    <w:pStyle w:val="34"/>
                    <w:bidi w:val="0"/>
                    <w:rPr>
                      <w:rFonts w:hint="default" w:ascii="Times New Roman" w:hAnsi="Times New Roman" w:cs="Times New Roman"/>
                      <w:color w:val="auto"/>
                      <w:highlight w:val="none"/>
                    </w:rPr>
                  </w:pPr>
                </w:p>
              </w:tc>
              <w:tc>
                <w:tcPr>
                  <w:tcW w:w="535" w:type="pct"/>
                  <w:tcBorders>
                    <w:tl2br w:val="nil"/>
                    <w:tr2bl w:val="nil"/>
                  </w:tcBorders>
                  <w:vAlign w:val="center"/>
                </w:tcPr>
                <w:p w14:paraId="58AE3B77">
                  <w:pPr>
                    <w:pStyle w:val="3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80</w:t>
                  </w:r>
                </w:p>
              </w:tc>
              <w:tc>
                <w:tcPr>
                  <w:tcW w:w="707" w:type="dxa"/>
                  <w:tcBorders>
                    <w:tl2br w:val="nil"/>
                    <w:tr2bl w:val="nil"/>
                  </w:tcBorders>
                  <w:vAlign w:val="center"/>
                </w:tcPr>
                <w:p w14:paraId="40120EF1">
                  <w:pPr>
                    <w:pStyle w:val="3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0.0691</w:t>
                  </w:r>
                </w:p>
              </w:tc>
              <w:tc>
                <w:tcPr>
                  <w:tcW w:w="323" w:type="pct"/>
                  <w:vMerge w:val="continue"/>
                  <w:tcBorders>
                    <w:tl2br w:val="nil"/>
                    <w:tr2bl w:val="nil"/>
                  </w:tcBorders>
                  <w:vAlign w:val="center"/>
                </w:tcPr>
                <w:p w14:paraId="55823646">
                  <w:pPr>
                    <w:pStyle w:val="34"/>
                    <w:bidi w:val="0"/>
                    <w:rPr>
                      <w:rFonts w:hint="default" w:ascii="Times New Roman" w:hAnsi="Times New Roman" w:cs="Times New Roman"/>
                      <w:color w:val="auto"/>
                      <w:highlight w:val="none"/>
                    </w:rPr>
                  </w:pPr>
                </w:p>
              </w:tc>
              <w:tc>
                <w:tcPr>
                  <w:tcW w:w="360" w:type="pct"/>
                  <w:vMerge w:val="continue"/>
                  <w:tcBorders>
                    <w:tl2br w:val="nil"/>
                    <w:tr2bl w:val="nil"/>
                  </w:tcBorders>
                  <w:vAlign w:val="center"/>
                </w:tcPr>
                <w:p w14:paraId="3D36AA6E">
                  <w:pPr>
                    <w:pStyle w:val="34"/>
                    <w:bidi w:val="0"/>
                    <w:rPr>
                      <w:rFonts w:hint="default" w:ascii="Times New Roman" w:hAnsi="Times New Roman" w:cs="Times New Roman"/>
                      <w:color w:val="auto"/>
                      <w:highlight w:val="none"/>
                    </w:rPr>
                  </w:pPr>
                </w:p>
              </w:tc>
              <w:tc>
                <w:tcPr>
                  <w:tcW w:w="544" w:type="pct"/>
                  <w:vMerge w:val="continue"/>
                  <w:tcBorders>
                    <w:tl2br w:val="nil"/>
                    <w:tr2bl w:val="nil"/>
                  </w:tcBorders>
                  <w:vAlign w:val="center"/>
                </w:tcPr>
                <w:p w14:paraId="5CCD0A8C">
                  <w:pPr>
                    <w:pStyle w:val="34"/>
                    <w:bidi w:val="0"/>
                    <w:rPr>
                      <w:rFonts w:hint="default" w:ascii="Times New Roman" w:hAnsi="Times New Roman" w:cs="Times New Roman"/>
                      <w:color w:val="auto"/>
                      <w:highlight w:val="none"/>
                    </w:rPr>
                  </w:pPr>
                </w:p>
              </w:tc>
              <w:tc>
                <w:tcPr>
                  <w:tcW w:w="959" w:type="dxa"/>
                  <w:tcBorders>
                    <w:tl2br w:val="nil"/>
                    <w:tr2bl w:val="nil"/>
                  </w:tcBorders>
                  <w:vAlign w:val="center"/>
                </w:tcPr>
                <w:p w14:paraId="0A716AE2">
                  <w:pPr>
                    <w:pStyle w:val="46"/>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w:t>
                  </w:r>
                </w:p>
              </w:tc>
              <w:tc>
                <w:tcPr>
                  <w:tcW w:w="728" w:type="dxa"/>
                  <w:tcBorders>
                    <w:tl2br w:val="nil"/>
                    <w:tr2bl w:val="nil"/>
                  </w:tcBorders>
                  <w:vAlign w:val="center"/>
                </w:tcPr>
                <w:p w14:paraId="7C8C137A">
                  <w:pPr>
                    <w:pStyle w:val="46"/>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w:t>
                  </w:r>
                </w:p>
              </w:tc>
              <w:tc>
                <w:tcPr>
                  <w:tcW w:w="336" w:type="pct"/>
                  <w:vMerge w:val="continue"/>
                  <w:tcBorders>
                    <w:tl2br w:val="nil"/>
                    <w:tr2bl w:val="nil"/>
                  </w:tcBorders>
                  <w:vAlign w:val="center"/>
                </w:tcPr>
                <w:p w14:paraId="53403D63">
                  <w:pPr>
                    <w:pStyle w:val="34"/>
                    <w:bidi w:val="0"/>
                    <w:rPr>
                      <w:rFonts w:hint="default" w:ascii="Times New Roman" w:hAnsi="Times New Roman" w:cs="Times New Roman"/>
                      <w:color w:val="auto"/>
                      <w:highlight w:val="none"/>
                    </w:rPr>
                  </w:pPr>
                </w:p>
              </w:tc>
            </w:tr>
            <w:tr w14:paraId="7BC946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290" w:type="pct"/>
                  <w:vMerge w:val="continue"/>
                  <w:tcBorders>
                    <w:tl2br w:val="nil"/>
                    <w:tr2bl w:val="nil"/>
                  </w:tcBorders>
                  <w:vAlign w:val="center"/>
                </w:tcPr>
                <w:p w14:paraId="1574A7F8">
                  <w:pPr>
                    <w:pStyle w:val="34"/>
                    <w:bidi w:val="0"/>
                    <w:rPr>
                      <w:rFonts w:hint="default" w:ascii="Times New Roman" w:hAnsi="Times New Roman" w:cs="Times New Roman"/>
                      <w:color w:val="auto"/>
                      <w:highlight w:val="none"/>
                    </w:rPr>
                  </w:pPr>
                </w:p>
              </w:tc>
              <w:tc>
                <w:tcPr>
                  <w:tcW w:w="476" w:type="pct"/>
                  <w:tcBorders>
                    <w:tl2br w:val="nil"/>
                    <w:tr2bl w:val="nil"/>
                  </w:tcBorders>
                  <w:vAlign w:val="center"/>
                </w:tcPr>
                <w:p w14:paraId="37410D5D">
                  <w:pPr>
                    <w:pStyle w:val="34"/>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570" w:type="pct"/>
                  <w:vMerge w:val="continue"/>
                  <w:tcBorders>
                    <w:tl2br w:val="nil"/>
                    <w:tr2bl w:val="nil"/>
                  </w:tcBorders>
                  <w:vAlign w:val="center"/>
                </w:tcPr>
                <w:p w14:paraId="2FC12890">
                  <w:pPr>
                    <w:pStyle w:val="34"/>
                    <w:bidi w:val="0"/>
                    <w:rPr>
                      <w:rFonts w:hint="default" w:ascii="Times New Roman" w:hAnsi="Times New Roman" w:cs="Times New Roman"/>
                      <w:color w:val="auto"/>
                      <w:highlight w:val="none"/>
                    </w:rPr>
                  </w:pPr>
                </w:p>
              </w:tc>
              <w:tc>
                <w:tcPr>
                  <w:tcW w:w="535" w:type="pct"/>
                  <w:tcBorders>
                    <w:tl2br w:val="nil"/>
                    <w:tr2bl w:val="nil"/>
                  </w:tcBorders>
                  <w:vAlign w:val="center"/>
                </w:tcPr>
                <w:p w14:paraId="52BFD142">
                  <w:pPr>
                    <w:pStyle w:val="3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150</w:t>
                  </w:r>
                </w:p>
              </w:tc>
              <w:tc>
                <w:tcPr>
                  <w:tcW w:w="707" w:type="dxa"/>
                  <w:tcBorders>
                    <w:tl2br w:val="nil"/>
                    <w:tr2bl w:val="nil"/>
                  </w:tcBorders>
                  <w:vAlign w:val="center"/>
                </w:tcPr>
                <w:p w14:paraId="1BA4F692">
                  <w:pPr>
                    <w:pStyle w:val="34"/>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0.1296</w:t>
                  </w:r>
                </w:p>
              </w:tc>
              <w:tc>
                <w:tcPr>
                  <w:tcW w:w="323" w:type="pct"/>
                  <w:vMerge w:val="continue"/>
                  <w:tcBorders>
                    <w:tl2br w:val="nil"/>
                    <w:tr2bl w:val="nil"/>
                  </w:tcBorders>
                  <w:vAlign w:val="center"/>
                </w:tcPr>
                <w:p w14:paraId="24E67445">
                  <w:pPr>
                    <w:pStyle w:val="34"/>
                    <w:bidi w:val="0"/>
                    <w:rPr>
                      <w:rFonts w:hint="default" w:ascii="Times New Roman" w:hAnsi="Times New Roman" w:cs="Times New Roman"/>
                      <w:color w:val="auto"/>
                      <w:highlight w:val="none"/>
                    </w:rPr>
                  </w:pPr>
                </w:p>
              </w:tc>
              <w:tc>
                <w:tcPr>
                  <w:tcW w:w="360" w:type="pct"/>
                  <w:vMerge w:val="continue"/>
                  <w:tcBorders>
                    <w:tl2br w:val="nil"/>
                    <w:tr2bl w:val="nil"/>
                  </w:tcBorders>
                  <w:vAlign w:val="center"/>
                </w:tcPr>
                <w:p w14:paraId="7D3C2688">
                  <w:pPr>
                    <w:pStyle w:val="34"/>
                    <w:bidi w:val="0"/>
                    <w:rPr>
                      <w:rFonts w:hint="default" w:ascii="Times New Roman" w:hAnsi="Times New Roman" w:cs="Times New Roman"/>
                      <w:color w:val="auto"/>
                      <w:highlight w:val="none"/>
                    </w:rPr>
                  </w:pPr>
                </w:p>
              </w:tc>
              <w:tc>
                <w:tcPr>
                  <w:tcW w:w="544" w:type="pct"/>
                  <w:vMerge w:val="continue"/>
                  <w:tcBorders>
                    <w:tl2br w:val="nil"/>
                    <w:tr2bl w:val="nil"/>
                  </w:tcBorders>
                  <w:vAlign w:val="center"/>
                </w:tcPr>
                <w:p w14:paraId="5C702292">
                  <w:pPr>
                    <w:pStyle w:val="34"/>
                    <w:bidi w:val="0"/>
                    <w:rPr>
                      <w:rFonts w:hint="default" w:ascii="Times New Roman" w:hAnsi="Times New Roman" w:cs="Times New Roman"/>
                      <w:color w:val="auto"/>
                      <w:highlight w:val="none"/>
                    </w:rPr>
                  </w:pPr>
                </w:p>
              </w:tc>
              <w:tc>
                <w:tcPr>
                  <w:tcW w:w="959" w:type="dxa"/>
                  <w:tcBorders>
                    <w:tl2br w:val="nil"/>
                    <w:tr2bl w:val="nil"/>
                  </w:tcBorders>
                  <w:vAlign w:val="center"/>
                </w:tcPr>
                <w:p w14:paraId="2100026A">
                  <w:pPr>
                    <w:pStyle w:val="46"/>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w:t>
                  </w:r>
                </w:p>
              </w:tc>
              <w:tc>
                <w:tcPr>
                  <w:tcW w:w="728" w:type="dxa"/>
                  <w:tcBorders>
                    <w:tl2br w:val="nil"/>
                    <w:tr2bl w:val="nil"/>
                  </w:tcBorders>
                  <w:vAlign w:val="center"/>
                </w:tcPr>
                <w:p w14:paraId="023097C7">
                  <w:pPr>
                    <w:pStyle w:val="46"/>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w:t>
                  </w:r>
                </w:p>
              </w:tc>
              <w:tc>
                <w:tcPr>
                  <w:tcW w:w="336" w:type="pct"/>
                  <w:vMerge w:val="continue"/>
                  <w:tcBorders>
                    <w:tl2br w:val="nil"/>
                    <w:tr2bl w:val="nil"/>
                  </w:tcBorders>
                  <w:vAlign w:val="center"/>
                </w:tcPr>
                <w:p w14:paraId="06E94B63">
                  <w:pPr>
                    <w:pStyle w:val="34"/>
                    <w:bidi w:val="0"/>
                    <w:rPr>
                      <w:rFonts w:hint="default" w:ascii="Times New Roman" w:hAnsi="Times New Roman" w:cs="Times New Roman"/>
                      <w:color w:val="auto"/>
                      <w:highlight w:val="none"/>
                    </w:rPr>
                  </w:pPr>
                </w:p>
              </w:tc>
            </w:tr>
            <w:bookmarkEnd w:id="10"/>
          </w:tbl>
          <w:p w14:paraId="49B8042A">
            <w:pPr>
              <w:pStyle w:val="31"/>
              <w:keepNext w:val="0"/>
              <w:keepLines w:val="0"/>
              <w:pageBreakBefore w:val="0"/>
              <w:widowControl w:val="0"/>
              <w:kinsoku/>
              <w:wordWrap w:val="0"/>
              <w:overflowPunct/>
              <w:topLinePunct/>
              <w:autoSpaceDE/>
              <w:autoSpaceDN/>
              <w:bidi w:val="0"/>
              <w:adjustRightInd/>
              <w:snapToGrid/>
              <w:spacing w:before="157" w:beforeLines="5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污染防治措施及环境影响分析：</w:t>
            </w:r>
          </w:p>
          <w:p w14:paraId="01BA5FA4">
            <w:pPr>
              <w:pStyle w:val="31"/>
              <w:bidi w:val="0"/>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zh-CN" w:eastAsia="zh-CN"/>
              </w:rPr>
              <w:t>本项目生活污水产生量较少，生活污水排入防渗旱厕</w:t>
            </w:r>
            <w:r>
              <w:rPr>
                <w:rFonts w:hint="eastAsia" w:ascii="Times New Roman" w:hAnsi="Times New Roman" w:cs="Times New Roman"/>
                <w:color w:val="auto"/>
                <w:highlight w:val="none"/>
                <w:lang w:val="zh-CN" w:eastAsia="zh-CN"/>
              </w:rPr>
              <w:t>，</w:t>
            </w:r>
            <w:r>
              <w:rPr>
                <w:rFonts w:hint="eastAsia"/>
                <w:color w:val="auto"/>
                <w:highlight w:val="none"/>
                <w:lang w:val="en-US" w:eastAsia="zh-CN"/>
              </w:rPr>
              <w:t>定期清掏，外运堆肥，</w:t>
            </w:r>
            <w:r>
              <w:rPr>
                <w:rFonts w:hint="default" w:ascii="Times New Roman" w:hAnsi="Times New Roman" w:cs="Times New Roman"/>
                <w:color w:val="auto"/>
                <w:highlight w:val="none"/>
                <w:lang w:val="zh-CN" w:eastAsia="zh-CN"/>
              </w:rPr>
              <w:t>不会对周边地表水环境产生影响。</w:t>
            </w:r>
          </w:p>
          <w:p w14:paraId="193CA0FF">
            <w:pPr>
              <w:pStyle w:val="31"/>
              <w:bidi w:val="0"/>
              <w:rPr>
                <w:b/>
                <w:bCs/>
                <w:color w:val="auto"/>
                <w:highlight w:val="none"/>
              </w:rPr>
            </w:pPr>
            <w:r>
              <w:rPr>
                <w:rFonts w:hint="eastAsia"/>
                <w:b/>
                <w:bCs/>
                <w:color w:val="auto"/>
                <w:highlight w:val="none"/>
                <w:lang w:val="en-US" w:eastAsia="zh-CN"/>
              </w:rPr>
              <w:t>三、</w:t>
            </w:r>
            <w:r>
              <w:rPr>
                <w:rFonts w:hint="eastAsia"/>
                <w:b/>
                <w:bCs/>
                <w:color w:val="auto"/>
                <w:highlight w:val="none"/>
              </w:rPr>
              <w:t>噪声</w:t>
            </w:r>
          </w:p>
          <w:p w14:paraId="3C528DB2">
            <w:pPr>
              <w:spacing w:line="360" w:lineRule="auto"/>
              <w:ind w:firstLine="482" w:firstLineChars="200"/>
              <w:contextualSpacing/>
              <w:rPr>
                <w:rFonts w:hAnsi="宋体"/>
                <w:b/>
                <w:bCs/>
                <w:color w:val="auto"/>
                <w:sz w:val="24"/>
                <w:highlight w:val="none"/>
              </w:rPr>
            </w:pPr>
            <w:r>
              <w:rPr>
                <w:b/>
                <w:bCs/>
                <w:color w:val="auto"/>
                <w:sz w:val="24"/>
                <w:highlight w:val="none"/>
              </w:rPr>
              <w:t>1</w:t>
            </w:r>
            <w:r>
              <w:rPr>
                <w:rFonts w:hAnsi="宋体"/>
                <w:b/>
                <w:bCs/>
                <w:color w:val="auto"/>
                <w:sz w:val="24"/>
                <w:highlight w:val="none"/>
              </w:rPr>
              <w:t>、</w:t>
            </w:r>
            <w:r>
              <w:rPr>
                <w:rFonts w:hint="eastAsia" w:hAnsi="宋体"/>
                <w:b/>
                <w:bCs/>
                <w:color w:val="auto"/>
                <w:sz w:val="24"/>
                <w:highlight w:val="none"/>
              </w:rPr>
              <w:t>噪声</w:t>
            </w:r>
            <w:r>
              <w:rPr>
                <w:rFonts w:hAnsi="宋体"/>
                <w:b/>
                <w:bCs/>
                <w:color w:val="auto"/>
                <w:sz w:val="24"/>
                <w:highlight w:val="none"/>
              </w:rPr>
              <w:t>源强</w:t>
            </w:r>
          </w:p>
          <w:p w14:paraId="09C24235">
            <w:pPr>
              <w:pStyle w:val="14"/>
              <w:bidi w:val="0"/>
              <w:rPr>
                <w:color w:val="auto"/>
                <w:highlight w:val="none"/>
              </w:rPr>
            </w:pPr>
            <w:r>
              <w:rPr>
                <w:color w:val="auto"/>
                <w:highlight w:val="none"/>
              </w:rPr>
              <w:t>该项目的</w:t>
            </w:r>
            <w:r>
              <w:rPr>
                <w:rFonts w:hint="eastAsia"/>
                <w:color w:val="auto"/>
                <w:highlight w:val="none"/>
              </w:rPr>
              <w:t>主要噪声</w:t>
            </w:r>
            <w:r>
              <w:rPr>
                <w:rFonts w:hint="eastAsia"/>
                <w:color w:val="auto"/>
                <w:highlight w:val="none"/>
                <w:lang w:eastAsia="zh-CN"/>
              </w:rPr>
              <w:t>来自</w:t>
            </w:r>
            <w:r>
              <w:rPr>
                <w:rFonts w:hint="default"/>
                <w:color w:val="auto"/>
                <w:highlight w:val="none"/>
              </w:rPr>
              <w:t>振动筛、提升机、搅拌机及运输车辆</w:t>
            </w:r>
            <w:r>
              <w:rPr>
                <w:color w:val="auto"/>
                <w:highlight w:val="none"/>
              </w:rPr>
              <w:t>等运行时产生噪声。设备噪声在</w:t>
            </w:r>
            <w:r>
              <w:rPr>
                <w:rFonts w:hint="eastAsia"/>
                <w:color w:val="auto"/>
                <w:highlight w:val="none"/>
                <w:lang w:val="en-US" w:eastAsia="zh-CN"/>
              </w:rPr>
              <w:t>80</w:t>
            </w:r>
            <w:r>
              <w:rPr>
                <w:color w:val="auto"/>
                <w:highlight w:val="none"/>
              </w:rPr>
              <w:t>～</w:t>
            </w:r>
            <w:r>
              <w:rPr>
                <w:rFonts w:hint="eastAsia"/>
                <w:color w:val="auto"/>
                <w:highlight w:val="none"/>
                <w:lang w:val="en-US" w:eastAsia="zh-CN"/>
              </w:rPr>
              <w:t>85</w:t>
            </w:r>
            <w:r>
              <w:rPr>
                <w:color w:val="auto"/>
                <w:highlight w:val="none"/>
              </w:rPr>
              <w:t>dB</w:t>
            </w:r>
            <w:r>
              <w:rPr>
                <w:rFonts w:hint="eastAsia"/>
                <w:color w:val="auto"/>
                <w:highlight w:val="none"/>
                <w:lang w:eastAsia="zh-CN"/>
              </w:rPr>
              <w:t>（</w:t>
            </w:r>
            <w:r>
              <w:rPr>
                <w:color w:val="auto"/>
                <w:highlight w:val="none"/>
              </w:rPr>
              <w:t>A</w:t>
            </w:r>
            <w:r>
              <w:rPr>
                <w:rFonts w:hint="eastAsia"/>
                <w:color w:val="auto"/>
                <w:highlight w:val="none"/>
                <w:lang w:eastAsia="zh-CN"/>
              </w:rPr>
              <w:t>）</w:t>
            </w:r>
            <w:r>
              <w:rPr>
                <w:color w:val="auto"/>
                <w:highlight w:val="none"/>
              </w:rPr>
              <w:t>左右。本项目设备产生的噪声源强见下表。</w:t>
            </w:r>
          </w:p>
          <w:p w14:paraId="19DEE00A">
            <w:pPr>
              <w:pStyle w:val="36"/>
              <w:bidi w:val="0"/>
              <w:rPr>
                <w:color w:val="auto"/>
                <w:highlight w:val="none"/>
              </w:rPr>
            </w:pPr>
            <w:r>
              <w:rPr>
                <w:rFonts w:hint="eastAsia"/>
                <w:color w:val="auto"/>
                <w:highlight w:val="none"/>
              </w:rPr>
              <w:t>表4-</w:t>
            </w:r>
            <w:r>
              <w:rPr>
                <w:rFonts w:hint="eastAsia"/>
                <w:color w:val="auto"/>
                <w:highlight w:val="none"/>
                <w:lang w:val="en-US" w:eastAsia="zh-CN"/>
              </w:rPr>
              <w:t>6</w:t>
            </w:r>
            <w:r>
              <w:rPr>
                <w:rFonts w:hint="eastAsia"/>
                <w:color w:val="auto"/>
                <w:highlight w:val="none"/>
              </w:rPr>
              <w:t>工业企业噪声源强调查清单（室外声源）</w:t>
            </w:r>
          </w:p>
          <w:tbl>
            <w:tblPr>
              <w:tblStyle w:val="23"/>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6"/>
              <w:gridCol w:w="984"/>
              <w:gridCol w:w="539"/>
              <w:gridCol w:w="533"/>
              <w:gridCol w:w="615"/>
              <w:gridCol w:w="657"/>
              <w:gridCol w:w="1245"/>
              <w:gridCol w:w="1915"/>
              <w:gridCol w:w="728"/>
            </w:tblGrid>
            <w:tr w14:paraId="6F7130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6" w:type="pct"/>
                  <w:vMerge w:val="restart"/>
                  <w:noWrap w:val="0"/>
                  <w:vAlign w:val="center"/>
                </w:tcPr>
                <w:p w14:paraId="17F146CF">
                  <w:pPr>
                    <w:pStyle w:val="34"/>
                    <w:bidi w:val="0"/>
                    <w:rPr>
                      <w:rFonts w:hint="eastAsia"/>
                      <w:color w:val="auto"/>
                      <w:sz w:val="18"/>
                      <w:szCs w:val="18"/>
                      <w:highlight w:val="none"/>
                    </w:rPr>
                  </w:pPr>
                  <w:r>
                    <w:rPr>
                      <w:rFonts w:hint="eastAsia"/>
                      <w:color w:val="auto"/>
                      <w:sz w:val="18"/>
                      <w:szCs w:val="18"/>
                      <w:highlight w:val="none"/>
                    </w:rPr>
                    <w:t>序号</w:t>
                  </w:r>
                </w:p>
              </w:tc>
              <w:tc>
                <w:tcPr>
                  <w:tcW w:w="645" w:type="pct"/>
                  <w:vMerge w:val="restart"/>
                  <w:noWrap w:val="0"/>
                  <w:vAlign w:val="center"/>
                </w:tcPr>
                <w:p w14:paraId="657000B3">
                  <w:pPr>
                    <w:pStyle w:val="34"/>
                    <w:bidi w:val="0"/>
                    <w:rPr>
                      <w:rFonts w:hint="eastAsia"/>
                      <w:color w:val="auto"/>
                      <w:sz w:val="18"/>
                      <w:szCs w:val="18"/>
                      <w:highlight w:val="none"/>
                    </w:rPr>
                  </w:pPr>
                  <w:r>
                    <w:rPr>
                      <w:rFonts w:hint="eastAsia"/>
                      <w:color w:val="auto"/>
                      <w:sz w:val="18"/>
                      <w:szCs w:val="18"/>
                      <w:highlight w:val="none"/>
                    </w:rPr>
                    <w:t>声源名称</w:t>
                  </w:r>
                </w:p>
              </w:tc>
              <w:tc>
                <w:tcPr>
                  <w:tcW w:w="353" w:type="pct"/>
                  <w:vMerge w:val="restart"/>
                  <w:noWrap w:val="0"/>
                  <w:vAlign w:val="center"/>
                </w:tcPr>
                <w:p w14:paraId="25AA2EDD">
                  <w:pPr>
                    <w:pStyle w:val="34"/>
                    <w:bidi w:val="0"/>
                    <w:rPr>
                      <w:rFonts w:hint="eastAsia"/>
                      <w:color w:val="auto"/>
                      <w:sz w:val="18"/>
                      <w:szCs w:val="18"/>
                      <w:highlight w:val="none"/>
                    </w:rPr>
                  </w:pPr>
                  <w:r>
                    <w:rPr>
                      <w:rFonts w:hint="eastAsia"/>
                      <w:color w:val="auto"/>
                      <w:sz w:val="18"/>
                      <w:szCs w:val="18"/>
                      <w:highlight w:val="none"/>
                    </w:rPr>
                    <w:t>型号</w:t>
                  </w:r>
                </w:p>
              </w:tc>
              <w:tc>
                <w:tcPr>
                  <w:tcW w:w="1184" w:type="pct"/>
                  <w:gridSpan w:val="3"/>
                  <w:tcBorders>
                    <w:bottom w:val="single" w:color="000000" w:sz="4" w:space="0"/>
                  </w:tcBorders>
                  <w:noWrap w:val="0"/>
                  <w:vAlign w:val="center"/>
                </w:tcPr>
                <w:p w14:paraId="55DC71DC">
                  <w:pPr>
                    <w:pStyle w:val="34"/>
                    <w:bidi w:val="0"/>
                    <w:rPr>
                      <w:color w:val="auto"/>
                      <w:sz w:val="18"/>
                      <w:szCs w:val="18"/>
                      <w:highlight w:val="none"/>
                    </w:rPr>
                  </w:pPr>
                  <w:r>
                    <w:rPr>
                      <w:rFonts w:hint="eastAsia"/>
                      <w:color w:val="auto"/>
                      <w:sz w:val="18"/>
                      <w:szCs w:val="18"/>
                      <w:highlight w:val="none"/>
                    </w:rPr>
                    <w:t>空间相对位置/m</w:t>
                  </w:r>
                </w:p>
              </w:tc>
              <w:tc>
                <w:tcPr>
                  <w:tcW w:w="816" w:type="pct"/>
                  <w:tcBorders>
                    <w:bottom w:val="single" w:color="000000" w:sz="4" w:space="0"/>
                  </w:tcBorders>
                  <w:noWrap w:val="0"/>
                  <w:vAlign w:val="center"/>
                </w:tcPr>
                <w:p w14:paraId="64817194">
                  <w:pPr>
                    <w:pStyle w:val="34"/>
                    <w:bidi w:val="0"/>
                    <w:rPr>
                      <w:color w:val="auto"/>
                      <w:sz w:val="18"/>
                      <w:szCs w:val="18"/>
                      <w:highlight w:val="none"/>
                    </w:rPr>
                  </w:pPr>
                  <w:r>
                    <w:rPr>
                      <w:rFonts w:hint="eastAsia"/>
                      <w:color w:val="auto"/>
                      <w:sz w:val="18"/>
                      <w:szCs w:val="18"/>
                      <w:highlight w:val="none"/>
                    </w:rPr>
                    <w:t>声源源强</w:t>
                  </w:r>
                </w:p>
              </w:tc>
              <w:tc>
                <w:tcPr>
                  <w:tcW w:w="1256" w:type="pct"/>
                  <w:vMerge w:val="restart"/>
                  <w:noWrap w:val="0"/>
                  <w:vAlign w:val="center"/>
                </w:tcPr>
                <w:p w14:paraId="3B64DCBD">
                  <w:pPr>
                    <w:pStyle w:val="34"/>
                    <w:bidi w:val="0"/>
                    <w:rPr>
                      <w:rFonts w:hint="eastAsia"/>
                      <w:color w:val="auto"/>
                      <w:sz w:val="18"/>
                      <w:szCs w:val="18"/>
                      <w:highlight w:val="none"/>
                    </w:rPr>
                  </w:pPr>
                  <w:r>
                    <w:rPr>
                      <w:rFonts w:hint="eastAsia"/>
                      <w:color w:val="auto"/>
                      <w:sz w:val="18"/>
                      <w:szCs w:val="18"/>
                      <w:highlight w:val="none"/>
                    </w:rPr>
                    <w:t>声源控制措施</w:t>
                  </w:r>
                </w:p>
              </w:tc>
              <w:tc>
                <w:tcPr>
                  <w:tcW w:w="477" w:type="pct"/>
                  <w:vMerge w:val="restart"/>
                  <w:noWrap w:val="0"/>
                  <w:vAlign w:val="center"/>
                </w:tcPr>
                <w:p w14:paraId="0C9C1EA9">
                  <w:pPr>
                    <w:pStyle w:val="34"/>
                    <w:bidi w:val="0"/>
                    <w:rPr>
                      <w:color w:val="auto"/>
                      <w:sz w:val="18"/>
                      <w:szCs w:val="18"/>
                      <w:highlight w:val="none"/>
                    </w:rPr>
                  </w:pPr>
                  <w:r>
                    <w:rPr>
                      <w:rFonts w:hint="eastAsia"/>
                      <w:color w:val="auto"/>
                      <w:sz w:val="18"/>
                      <w:szCs w:val="18"/>
                      <w:highlight w:val="none"/>
                    </w:rPr>
                    <w:t>运行时段</w:t>
                  </w:r>
                </w:p>
              </w:tc>
            </w:tr>
            <w:tr w14:paraId="4BF975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6" w:type="pct"/>
                  <w:vMerge w:val="continue"/>
                  <w:noWrap w:val="0"/>
                  <w:vAlign w:val="center"/>
                </w:tcPr>
                <w:p w14:paraId="5EE3FC0F">
                  <w:pPr>
                    <w:pStyle w:val="34"/>
                    <w:bidi w:val="0"/>
                    <w:rPr>
                      <w:rFonts w:hint="eastAsia"/>
                      <w:color w:val="auto"/>
                      <w:sz w:val="18"/>
                      <w:szCs w:val="18"/>
                      <w:highlight w:val="none"/>
                    </w:rPr>
                  </w:pPr>
                </w:p>
              </w:tc>
              <w:tc>
                <w:tcPr>
                  <w:tcW w:w="645" w:type="pct"/>
                  <w:vMerge w:val="continue"/>
                  <w:noWrap w:val="0"/>
                  <w:vAlign w:val="center"/>
                </w:tcPr>
                <w:p w14:paraId="1733D05D">
                  <w:pPr>
                    <w:pStyle w:val="34"/>
                    <w:bidi w:val="0"/>
                    <w:rPr>
                      <w:rFonts w:hint="eastAsia"/>
                      <w:color w:val="auto"/>
                      <w:sz w:val="18"/>
                      <w:szCs w:val="18"/>
                      <w:highlight w:val="none"/>
                    </w:rPr>
                  </w:pPr>
                </w:p>
              </w:tc>
              <w:tc>
                <w:tcPr>
                  <w:tcW w:w="353" w:type="pct"/>
                  <w:vMerge w:val="continue"/>
                  <w:noWrap w:val="0"/>
                  <w:vAlign w:val="center"/>
                </w:tcPr>
                <w:p w14:paraId="1ABD5BBB">
                  <w:pPr>
                    <w:pStyle w:val="34"/>
                    <w:bidi w:val="0"/>
                    <w:rPr>
                      <w:rFonts w:hint="eastAsia"/>
                      <w:color w:val="auto"/>
                      <w:sz w:val="18"/>
                      <w:szCs w:val="18"/>
                      <w:highlight w:val="none"/>
                    </w:rPr>
                  </w:pPr>
                </w:p>
              </w:tc>
              <w:tc>
                <w:tcPr>
                  <w:tcW w:w="349" w:type="pct"/>
                  <w:tcBorders>
                    <w:top w:val="single" w:color="000000" w:sz="4" w:space="0"/>
                  </w:tcBorders>
                  <w:noWrap w:val="0"/>
                  <w:vAlign w:val="center"/>
                </w:tcPr>
                <w:p w14:paraId="56A8074B">
                  <w:pPr>
                    <w:pStyle w:val="34"/>
                    <w:bidi w:val="0"/>
                    <w:rPr>
                      <w:rFonts w:hint="eastAsia"/>
                      <w:color w:val="auto"/>
                      <w:sz w:val="18"/>
                      <w:szCs w:val="18"/>
                      <w:highlight w:val="none"/>
                    </w:rPr>
                  </w:pPr>
                  <w:r>
                    <w:rPr>
                      <w:rFonts w:hint="eastAsia"/>
                      <w:color w:val="auto"/>
                      <w:sz w:val="18"/>
                      <w:szCs w:val="18"/>
                      <w:highlight w:val="none"/>
                    </w:rPr>
                    <w:t>X</w:t>
                  </w:r>
                </w:p>
              </w:tc>
              <w:tc>
                <w:tcPr>
                  <w:tcW w:w="403" w:type="pct"/>
                  <w:tcBorders>
                    <w:top w:val="single" w:color="000000" w:sz="4" w:space="0"/>
                  </w:tcBorders>
                  <w:noWrap w:val="0"/>
                  <w:vAlign w:val="center"/>
                </w:tcPr>
                <w:p w14:paraId="7FC4F245">
                  <w:pPr>
                    <w:pStyle w:val="34"/>
                    <w:bidi w:val="0"/>
                    <w:rPr>
                      <w:rFonts w:hint="eastAsia"/>
                      <w:color w:val="auto"/>
                      <w:sz w:val="18"/>
                      <w:szCs w:val="18"/>
                      <w:highlight w:val="none"/>
                    </w:rPr>
                  </w:pPr>
                  <w:r>
                    <w:rPr>
                      <w:rFonts w:hint="eastAsia"/>
                      <w:color w:val="auto"/>
                      <w:sz w:val="18"/>
                      <w:szCs w:val="18"/>
                      <w:highlight w:val="none"/>
                    </w:rPr>
                    <w:t>Y</w:t>
                  </w:r>
                </w:p>
              </w:tc>
              <w:tc>
                <w:tcPr>
                  <w:tcW w:w="430" w:type="pct"/>
                  <w:tcBorders>
                    <w:top w:val="single" w:color="000000" w:sz="4" w:space="0"/>
                  </w:tcBorders>
                  <w:noWrap w:val="0"/>
                  <w:vAlign w:val="center"/>
                </w:tcPr>
                <w:p w14:paraId="2B058F42">
                  <w:pPr>
                    <w:pStyle w:val="34"/>
                    <w:bidi w:val="0"/>
                    <w:rPr>
                      <w:rFonts w:hint="eastAsia"/>
                      <w:color w:val="auto"/>
                      <w:sz w:val="18"/>
                      <w:szCs w:val="18"/>
                      <w:highlight w:val="none"/>
                    </w:rPr>
                  </w:pPr>
                  <w:r>
                    <w:rPr>
                      <w:rFonts w:hint="eastAsia"/>
                      <w:color w:val="auto"/>
                      <w:sz w:val="18"/>
                      <w:szCs w:val="18"/>
                      <w:highlight w:val="none"/>
                    </w:rPr>
                    <w:t>Z</w:t>
                  </w:r>
                </w:p>
              </w:tc>
              <w:tc>
                <w:tcPr>
                  <w:tcW w:w="816" w:type="pct"/>
                  <w:tcBorders>
                    <w:top w:val="single" w:color="000000" w:sz="4" w:space="0"/>
                  </w:tcBorders>
                  <w:noWrap w:val="0"/>
                  <w:vAlign w:val="center"/>
                </w:tcPr>
                <w:p w14:paraId="6DF01CF9">
                  <w:pPr>
                    <w:pStyle w:val="34"/>
                    <w:bidi w:val="0"/>
                    <w:rPr>
                      <w:rFonts w:hint="eastAsia"/>
                      <w:color w:val="auto"/>
                      <w:sz w:val="18"/>
                      <w:szCs w:val="18"/>
                      <w:highlight w:val="none"/>
                    </w:rPr>
                  </w:pPr>
                  <w:r>
                    <w:rPr>
                      <w:rFonts w:hint="eastAsia"/>
                      <w:color w:val="auto"/>
                      <w:sz w:val="18"/>
                      <w:szCs w:val="18"/>
                      <w:highlight w:val="none"/>
                    </w:rPr>
                    <w:t>声功率级/dB（A）</w:t>
                  </w:r>
                </w:p>
              </w:tc>
              <w:tc>
                <w:tcPr>
                  <w:tcW w:w="1256" w:type="pct"/>
                  <w:vMerge w:val="continue"/>
                  <w:noWrap w:val="0"/>
                  <w:vAlign w:val="center"/>
                </w:tcPr>
                <w:p w14:paraId="4E55223B">
                  <w:pPr>
                    <w:pStyle w:val="34"/>
                    <w:bidi w:val="0"/>
                    <w:rPr>
                      <w:rFonts w:hint="eastAsia"/>
                      <w:color w:val="auto"/>
                      <w:sz w:val="18"/>
                      <w:szCs w:val="18"/>
                      <w:highlight w:val="none"/>
                    </w:rPr>
                  </w:pPr>
                </w:p>
              </w:tc>
              <w:tc>
                <w:tcPr>
                  <w:tcW w:w="477" w:type="pct"/>
                  <w:vMerge w:val="continue"/>
                  <w:noWrap w:val="0"/>
                  <w:vAlign w:val="center"/>
                </w:tcPr>
                <w:p w14:paraId="498DD2B4">
                  <w:pPr>
                    <w:pStyle w:val="34"/>
                    <w:bidi w:val="0"/>
                    <w:rPr>
                      <w:rFonts w:hint="eastAsia"/>
                      <w:color w:val="auto"/>
                      <w:sz w:val="18"/>
                      <w:szCs w:val="18"/>
                      <w:highlight w:val="none"/>
                    </w:rPr>
                  </w:pPr>
                </w:p>
              </w:tc>
            </w:tr>
            <w:tr w14:paraId="03F925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6" w:type="pct"/>
                  <w:shd w:val="clear" w:color="auto" w:fill="auto"/>
                  <w:noWrap w:val="0"/>
                  <w:vAlign w:val="center"/>
                </w:tcPr>
                <w:p w14:paraId="291BCC7A">
                  <w:pPr>
                    <w:pStyle w:val="34"/>
                    <w:bidi w:val="0"/>
                    <w:ind w:firstLine="0" w:firstLineChars="0"/>
                    <w:rPr>
                      <w:rFonts w:hint="eastAsia" w:ascii="Times New Roman" w:hAnsi="Times New Roman" w:eastAsia="宋体" w:cs="宋体"/>
                      <w:color w:val="auto"/>
                      <w:kern w:val="2"/>
                      <w:sz w:val="18"/>
                      <w:szCs w:val="18"/>
                      <w:highlight w:val="none"/>
                      <w:lang w:val="en-US" w:eastAsia="zh-CN" w:bidi="ar-SA"/>
                    </w:rPr>
                  </w:pPr>
                  <w:r>
                    <w:rPr>
                      <w:rFonts w:hint="eastAsia"/>
                      <w:color w:val="auto"/>
                      <w:sz w:val="18"/>
                      <w:szCs w:val="18"/>
                      <w:highlight w:val="none"/>
                    </w:rPr>
                    <w:t>1</w:t>
                  </w:r>
                </w:p>
              </w:tc>
              <w:tc>
                <w:tcPr>
                  <w:tcW w:w="645" w:type="pct"/>
                  <w:noWrap w:val="0"/>
                  <w:vAlign w:val="center"/>
                </w:tcPr>
                <w:p w14:paraId="294F6F54">
                  <w:pPr>
                    <w:pStyle w:val="34"/>
                    <w:bidi w:val="0"/>
                    <w:ind w:firstLine="0" w:firstLineChars="0"/>
                    <w:rPr>
                      <w:rFonts w:hint="eastAsia"/>
                      <w:color w:val="auto"/>
                      <w:sz w:val="18"/>
                      <w:szCs w:val="18"/>
                      <w:highlight w:val="none"/>
                    </w:rPr>
                  </w:pPr>
                  <w:r>
                    <w:rPr>
                      <w:rFonts w:hint="eastAsia"/>
                      <w:color w:val="auto"/>
                      <w:sz w:val="18"/>
                      <w:szCs w:val="18"/>
                      <w:highlight w:val="none"/>
                      <w:lang w:val="en-US" w:eastAsia="zh-CN"/>
                    </w:rPr>
                    <w:t>平皮带</w:t>
                  </w:r>
                </w:p>
              </w:tc>
              <w:tc>
                <w:tcPr>
                  <w:tcW w:w="353" w:type="pct"/>
                  <w:noWrap w:val="0"/>
                  <w:vAlign w:val="center"/>
                </w:tcPr>
                <w:p w14:paraId="7BBF2DB1">
                  <w:pPr>
                    <w:pStyle w:val="34"/>
                    <w:bidi w:val="0"/>
                    <w:rPr>
                      <w:rFonts w:hint="eastAsia"/>
                      <w:color w:val="auto"/>
                      <w:highlight w:val="none"/>
                    </w:rPr>
                  </w:pPr>
                  <w:r>
                    <w:rPr>
                      <w:rFonts w:hint="eastAsia"/>
                      <w:color w:val="auto"/>
                      <w:highlight w:val="none"/>
                    </w:rPr>
                    <w:t>/</w:t>
                  </w:r>
                </w:p>
              </w:tc>
              <w:tc>
                <w:tcPr>
                  <w:tcW w:w="349" w:type="pct"/>
                  <w:tcBorders>
                    <w:top w:val="single" w:color="000000" w:sz="4" w:space="0"/>
                  </w:tcBorders>
                  <w:noWrap w:val="0"/>
                  <w:vAlign w:val="center"/>
                </w:tcPr>
                <w:p w14:paraId="43BA45D3">
                  <w:pPr>
                    <w:pStyle w:val="34"/>
                    <w:bidi w:val="0"/>
                    <w:ind w:firstLine="0" w:firstLineChars="0"/>
                    <w:rPr>
                      <w:rFonts w:hint="eastAsia"/>
                      <w:color w:val="auto"/>
                      <w:sz w:val="18"/>
                      <w:szCs w:val="18"/>
                      <w:highlight w:val="none"/>
                    </w:rPr>
                  </w:pPr>
                  <w:r>
                    <w:rPr>
                      <w:rFonts w:hint="eastAsia"/>
                      <w:color w:val="auto"/>
                      <w:sz w:val="18"/>
                      <w:szCs w:val="18"/>
                      <w:highlight w:val="none"/>
                    </w:rPr>
                    <w:t>-17</w:t>
                  </w:r>
                </w:p>
              </w:tc>
              <w:tc>
                <w:tcPr>
                  <w:tcW w:w="403" w:type="pct"/>
                  <w:tcBorders>
                    <w:top w:val="single" w:color="000000" w:sz="4" w:space="0"/>
                  </w:tcBorders>
                  <w:noWrap w:val="0"/>
                  <w:vAlign w:val="center"/>
                </w:tcPr>
                <w:p w14:paraId="5755A2E4">
                  <w:pPr>
                    <w:pStyle w:val="34"/>
                    <w:bidi w:val="0"/>
                    <w:ind w:firstLine="0" w:firstLineChars="0"/>
                    <w:rPr>
                      <w:rFonts w:hint="eastAsia"/>
                      <w:color w:val="auto"/>
                      <w:sz w:val="18"/>
                      <w:szCs w:val="18"/>
                      <w:highlight w:val="none"/>
                    </w:rPr>
                  </w:pPr>
                  <w:r>
                    <w:rPr>
                      <w:rFonts w:hint="eastAsia"/>
                      <w:color w:val="auto"/>
                      <w:sz w:val="18"/>
                      <w:szCs w:val="18"/>
                      <w:highlight w:val="none"/>
                    </w:rPr>
                    <w:t>-33</w:t>
                  </w:r>
                </w:p>
              </w:tc>
              <w:tc>
                <w:tcPr>
                  <w:tcW w:w="430" w:type="pct"/>
                  <w:tcBorders>
                    <w:top w:val="single" w:color="000000" w:sz="4" w:space="0"/>
                  </w:tcBorders>
                  <w:noWrap w:val="0"/>
                  <w:vAlign w:val="center"/>
                </w:tcPr>
                <w:p w14:paraId="0488852E">
                  <w:pPr>
                    <w:pStyle w:val="34"/>
                    <w:bidi w:val="0"/>
                    <w:ind w:firstLine="0" w:firstLineChars="0"/>
                    <w:rPr>
                      <w:rFonts w:hint="eastAsia"/>
                      <w:color w:val="auto"/>
                      <w:sz w:val="18"/>
                      <w:szCs w:val="18"/>
                      <w:highlight w:val="none"/>
                    </w:rPr>
                  </w:pPr>
                  <w:r>
                    <w:rPr>
                      <w:rFonts w:hint="eastAsia"/>
                      <w:color w:val="auto"/>
                      <w:sz w:val="18"/>
                      <w:szCs w:val="18"/>
                      <w:highlight w:val="none"/>
                      <w:lang w:val="en-US" w:eastAsia="zh-CN"/>
                    </w:rPr>
                    <w:t>3</w:t>
                  </w:r>
                </w:p>
              </w:tc>
              <w:tc>
                <w:tcPr>
                  <w:tcW w:w="816" w:type="pct"/>
                  <w:tcBorders>
                    <w:top w:val="single" w:color="000000" w:sz="4" w:space="0"/>
                  </w:tcBorders>
                  <w:noWrap w:val="0"/>
                  <w:vAlign w:val="center"/>
                </w:tcPr>
                <w:p w14:paraId="2CF3BF0F">
                  <w:pPr>
                    <w:pStyle w:val="34"/>
                    <w:bidi w:val="0"/>
                    <w:ind w:firstLine="0" w:firstLineChars="0"/>
                    <w:rPr>
                      <w:rFonts w:hint="eastAsia"/>
                      <w:color w:val="auto"/>
                      <w:sz w:val="18"/>
                      <w:szCs w:val="18"/>
                      <w:highlight w:val="none"/>
                    </w:rPr>
                  </w:pPr>
                  <w:r>
                    <w:rPr>
                      <w:rFonts w:hint="eastAsia"/>
                      <w:color w:val="auto"/>
                      <w:sz w:val="18"/>
                      <w:szCs w:val="18"/>
                      <w:highlight w:val="none"/>
                    </w:rPr>
                    <w:t>80</w:t>
                  </w:r>
                </w:p>
              </w:tc>
              <w:tc>
                <w:tcPr>
                  <w:tcW w:w="1256" w:type="pct"/>
                  <w:noWrap w:val="0"/>
                  <w:vAlign w:val="center"/>
                </w:tcPr>
                <w:p w14:paraId="336845B0">
                  <w:pPr>
                    <w:pStyle w:val="34"/>
                    <w:bidi w:val="0"/>
                    <w:rPr>
                      <w:rFonts w:hint="eastAsia"/>
                      <w:color w:val="auto"/>
                      <w:highlight w:val="none"/>
                    </w:rPr>
                  </w:pPr>
                  <w:r>
                    <w:rPr>
                      <w:rFonts w:hint="eastAsia"/>
                      <w:color w:val="auto"/>
                      <w:highlight w:val="none"/>
                      <w:lang w:val="en-US" w:eastAsia="zh-CN"/>
                    </w:rPr>
                    <w:t>低噪声设备、隔声罩</w:t>
                  </w:r>
                  <w:r>
                    <w:rPr>
                      <w:rFonts w:hint="eastAsia"/>
                      <w:color w:val="auto"/>
                      <w:highlight w:val="none"/>
                      <w:lang w:eastAsia="zh-CN"/>
                    </w:rPr>
                    <w:t>、减震垫</w:t>
                  </w:r>
                </w:p>
              </w:tc>
              <w:tc>
                <w:tcPr>
                  <w:tcW w:w="477" w:type="pct"/>
                  <w:vMerge w:val="restart"/>
                  <w:noWrap w:val="0"/>
                  <w:vAlign w:val="center"/>
                </w:tcPr>
                <w:p w14:paraId="4190C37F">
                  <w:pPr>
                    <w:pStyle w:val="34"/>
                    <w:bidi w:val="0"/>
                    <w:rPr>
                      <w:rFonts w:hint="eastAsia"/>
                      <w:color w:val="auto"/>
                      <w:sz w:val="18"/>
                      <w:szCs w:val="18"/>
                      <w:highlight w:val="none"/>
                    </w:rPr>
                  </w:pPr>
                  <w:r>
                    <w:rPr>
                      <w:rFonts w:hint="eastAsia"/>
                      <w:color w:val="auto"/>
                      <w:sz w:val="18"/>
                      <w:szCs w:val="18"/>
                      <w:highlight w:val="none"/>
                      <w:lang w:val="en-US" w:eastAsia="zh-CN"/>
                    </w:rPr>
                    <w:t>1800h（全</w:t>
                  </w:r>
                  <w:r>
                    <w:rPr>
                      <w:rFonts w:hint="eastAsia"/>
                      <w:color w:val="auto"/>
                      <w:sz w:val="18"/>
                      <w:szCs w:val="18"/>
                      <w:highlight w:val="none"/>
                    </w:rPr>
                    <w:t>昼间</w:t>
                  </w:r>
                  <w:r>
                    <w:rPr>
                      <w:rFonts w:hint="eastAsia"/>
                      <w:color w:val="auto"/>
                      <w:sz w:val="18"/>
                      <w:szCs w:val="18"/>
                      <w:highlight w:val="none"/>
                      <w:lang w:val="en-US" w:eastAsia="zh-CN"/>
                    </w:rPr>
                    <w:t>）</w:t>
                  </w:r>
                </w:p>
              </w:tc>
            </w:tr>
            <w:tr w14:paraId="7098A0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6" w:type="pct"/>
                  <w:shd w:val="clear" w:color="auto" w:fill="auto"/>
                  <w:noWrap w:val="0"/>
                  <w:vAlign w:val="center"/>
                </w:tcPr>
                <w:p w14:paraId="15387FBE">
                  <w:pPr>
                    <w:pStyle w:val="34"/>
                    <w:bidi w:val="0"/>
                    <w:ind w:firstLine="0" w:firstLineChars="0"/>
                    <w:rPr>
                      <w:rFonts w:hint="eastAsia" w:ascii="Times New Roman" w:hAnsi="Times New Roman" w:eastAsia="宋体" w:cs="宋体"/>
                      <w:color w:val="auto"/>
                      <w:kern w:val="2"/>
                      <w:sz w:val="18"/>
                      <w:szCs w:val="18"/>
                      <w:highlight w:val="none"/>
                      <w:lang w:val="en-US" w:eastAsia="zh-CN" w:bidi="ar-SA"/>
                    </w:rPr>
                  </w:pPr>
                  <w:r>
                    <w:rPr>
                      <w:rFonts w:hint="eastAsia"/>
                      <w:color w:val="auto"/>
                      <w:sz w:val="18"/>
                      <w:szCs w:val="18"/>
                      <w:highlight w:val="none"/>
                      <w:lang w:val="en-US" w:eastAsia="zh-CN"/>
                    </w:rPr>
                    <w:t>2</w:t>
                  </w:r>
                </w:p>
              </w:tc>
              <w:tc>
                <w:tcPr>
                  <w:tcW w:w="645" w:type="pct"/>
                  <w:noWrap w:val="0"/>
                  <w:vAlign w:val="center"/>
                </w:tcPr>
                <w:p w14:paraId="4C82A99F">
                  <w:pPr>
                    <w:pStyle w:val="34"/>
                    <w:bidi w:val="0"/>
                    <w:ind w:firstLine="0" w:firstLineChars="0"/>
                    <w:rPr>
                      <w:rFonts w:hint="eastAsia"/>
                      <w:color w:val="auto"/>
                      <w:sz w:val="18"/>
                      <w:szCs w:val="18"/>
                      <w:highlight w:val="none"/>
                    </w:rPr>
                  </w:pPr>
                  <w:r>
                    <w:rPr>
                      <w:rFonts w:hint="eastAsia"/>
                      <w:color w:val="auto"/>
                      <w:sz w:val="18"/>
                      <w:szCs w:val="18"/>
                      <w:highlight w:val="none"/>
                      <w:lang w:val="en-US" w:eastAsia="zh-CN"/>
                    </w:rPr>
                    <w:t>斜皮带</w:t>
                  </w:r>
                </w:p>
              </w:tc>
              <w:tc>
                <w:tcPr>
                  <w:tcW w:w="353" w:type="pct"/>
                  <w:noWrap w:val="0"/>
                  <w:vAlign w:val="center"/>
                </w:tcPr>
                <w:p w14:paraId="4E5F57D8">
                  <w:pPr>
                    <w:pStyle w:val="34"/>
                    <w:bidi w:val="0"/>
                    <w:rPr>
                      <w:rFonts w:hint="eastAsia"/>
                      <w:color w:val="auto"/>
                      <w:highlight w:val="none"/>
                    </w:rPr>
                  </w:pPr>
                  <w:r>
                    <w:rPr>
                      <w:rFonts w:hint="eastAsia"/>
                      <w:color w:val="auto"/>
                      <w:highlight w:val="none"/>
                    </w:rPr>
                    <w:t>/</w:t>
                  </w:r>
                </w:p>
              </w:tc>
              <w:tc>
                <w:tcPr>
                  <w:tcW w:w="349" w:type="pct"/>
                  <w:tcBorders>
                    <w:top w:val="single" w:color="000000" w:sz="4" w:space="0"/>
                  </w:tcBorders>
                  <w:noWrap w:val="0"/>
                  <w:vAlign w:val="center"/>
                </w:tcPr>
                <w:p w14:paraId="54EED1C3">
                  <w:pPr>
                    <w:pStyle w:val="34"/>
                    <w:bidi w:val="0"/>
                    <w:ind w:firstLine="0" w:firstLineChars="0"/>
                    <w:rPr>
                      <w:rFonts w:hint="eastAsia"/>
                      <w:color w:val="auto"/>
                      <w:sz w:val="18"/>
                      <w:szCs w:val="18"/>
                      <w:highlight w:val="none"/>
                    </w:rPr>
                  </w:pPr>
                  <w:r>
                    <w:rPr>
                      <w:rFonts w:hint="eastAsia"/>
                      <w:color w:val="auto"/>
                      <w:sz w:val="18"/>
                      <w:szCs w:val="18"/>
                      <w:highlight w:val="none"/>
                    </w:rPr>
                    <w:t>-10</w:t>
                  </w:r>
                </w:p>
              </w:tc>
              <w:tc>
                <w:tcPr>
                  <w:tcW w:w="403" w:type="pct"/>
                  <w:tcBorders>
                    <w:top w:val="single" w:color="000000" w:sz="4" w:space="0"/>
                  </w:tcBorders>
                  <w:noWrap w:val="0"/>
                  <w:vAlign w:val="center"/>
                </w:tcPr>
                <w:p w14:paraId="6C12FBF7">
                  <w:pPr>
                    <w:pStyle w:val="34"/>
                    <w:bidi w:val="0"/>
                    <w:ind w:firstLine="0" w:firstLineChars="0"/>
                    <w:rPr>
                      <w:rFonts w:hint="eastAsia"/>
                      <w:color w:val="auto"/>
                      <w:sz w:val="18"/>
                      <w:szCs w:val="18"/>
                      <w:highlight w:val="none"/>
                    </w:rPr>
                  </w:pPr>
                  <w:r>
                    <w:rPr>
                      <w:rFonts w:hint="eastAsia"/>
                      <w:color w:val="auto"/>
                      <w:sz w:val="18"/>
                      <w:szCs w:val="18"/>
                      <w:highlight w:val="none"/>
                    </w:rPr>
                    <w:t>-46</w:t>
                  </w:r>
                </w:p>
              </w:tc>
              <w:tc>
                <w:tcPr>
                  <w:tcW w:w="430" w:type="pct"/>
                  <w:tcBorders>
                    <w:top w:val="single" w:color="000000" w:sz="4" w:space="0"/>
                  </w:tcBorders>
                  <w:noWrap w:val="0"/>
                  <w:vAlign w:val="center"/>
                </w:tcPr>
                <w:p w14:paraId="0E7ABC92">
                  <w:pPr>
                    <w:pStyle w:val="34"/>
                    <w:bidi w:val="0"/>
                    <w:ind w:firstLine="0" w:firstLineChars="0"/>
                    <w:rPr>
                      <w:rFonts w:hint="eastAsia"/>
                      <w:color w:val="auto"/>
                      <w:sz w:val="18"/>
                      <w:szCs w:val="18"/>
                      <w:highlight w:val="none"/>
                    </w:rPr>
                  </w:pPr>
                  <w:r>
                    <w:rPr>
                      <w:rFonts w:hint="eastAsia"/>
                      <w:color w:val="auto"/>
                      <w:sz w:val="18"/>
                      <w:szCs w:val="18"/>
                      <w:highlight w:val="none"/>
                      <w:lang w:val="en-US" w:eastAsia="zh-CN"/>
                    </w:rPr>
                    <w:t>3</w:t>
                  </w:r>
                </w:p>
              </w:tc>
              <w:tc>
                <w:tcPr>
                  <w:tcW w:w="816" w:type="pct"/>
                  <w:tcBorders>
                    <w:top w:val="single" w:color="000000" w:sz="4" w:space="0"/>
                  </w:tcBorders>
                  <w:noWrap w:val="0"/>
                  <w:vAlign w:val="center"/>
                </w:tcPr>
                <w:p w14:paraId="21ACF064">
                  <w:pPr>
                    <w:pStyle w:val="34"/>
                    <w:bidi w:val="0"/>
                    <w:ind w:firstLine="0" w:firstLineChars="0"/>
                    <w:rPr>
                      <w:rFonts w:hint="eastAsia"/>
                      <w:color w:val="auto"/>
                      <w:sz w:val="18"/>
                      <w:szCs w:val="18"/>
                      <w:highlight w:val="none"/>
                    </w:rPr>
                  </w:pPr>
                  <w:r>
                    <w:rPr>
                      <w:rFonts w:hint="eastAsia"/>
                      <w:color w:val="auto"/>
                      <w:sz w:val="18"/>
                      <w:szCs w:val="18"/>
                      <w:highlight w:val="none"/>
                    </w:rPr>
                    <w:t>80</w:t>
                  </w:r>
                </w:p>
              </w:tc>
              <w:tc>
                <w:tcPr>
                  <w:tcW w:w="1256" w:type="pct"/>
                  <w:noWrap w:val="0"/>
                  <w:vAlign w:val="center"/>
                </w:tcPr>
                <w:p w14:paraId="3D359091">
                  <w:pPr>
                    <w:pStyle w:val="34"/>
                    <w:bidi w:val="0"/>
                    <w:rPr>
                      <w:rFonts w:hint="eastAsia"/>
                      <w:color w:val="auto"/>
                      <w:highlight w:val="none"/>
                    </w:rPr>
                  </w:pPr>
                  <w:r>
                    <w:rPr>
                      <w:rFonts w:hint="eastAsia"/>
                      <w:color w:val="auto"/>
                      <w:highlight w:val="none"/>
                      <w:lang w:val="en-US" w:eastAsia="zh-CN"/>
                    </w:rPr>
                    <w:t>低噪声设备、隔声罩</w:t>
                  </w:r>
                  <w:r>
                    <w:rPr>
                      <w:rFonts w:hint="eastAsia"/>
                      <w:color w:val="auto"/>
                      <w:highlight w:val="none"/>
                      <w:lang w:eastAsia="zh-CN"/>
                    </w:rPr>
                    <w:t>、减震垫</w:t>
                  </w:r>
                </w:p>
              </w:tc>
              <w:tc>
                <w:tcPr>
                  <w:tcW w:w="477" w:type="pct"/>
                  <w:vMerge w:val="continue"/>
                  <w:noWrap w:val="0"/>
                  <w:vAlign w:val="center"/>
                </w:tcPr>
                <w:p w14:paraId="4CA152E7">
                  <w:pPr>
                    <w:pStyle w:val="34"/>
                    <w:bidi w:val="0"/>
                    <w:rPr>
                      <w:rFonts w:hint="eastAsia"/>
                      <w:color w:val="auto"/>
                      <w:sz w:val="18"/>
                      <w:szCs w:val="18"/>
                      <w:highlight w:val="none"/>
                    </w:rPr>
                  </w:pPr>
                </w:p>
              </w:tc>
            </w:tr>
            <w:tr w14:paraId="0F9804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6" w:type="pct"/>
                  <w:shd w:val="clear" w:color="auto" w:fill="auto"/>
                  <w:noWrap w:val="0"/>
                  <w:vAlign w:val="center"/>
                </w:tcPr>
                <w:p w14:paraId="48C00525">
                  <w:pPr>
                    <w:pStyle w:val="34"/>
                    <w:bidi w:val="0"/>
                    <w:ind w:firstLine="0" w:firstLineChars="0"/>
                    <w:rPr>
                      <w:rFonts w:hint="eastAsia" w:ascii="Times New Roman" w:hAnsi="Times New Roman" w:eastAsia="宋体" w:cs="宋体"/>
                      <w:color w:val="auto"/>
                      <w:kern w:val="2"/>
                      <w:sz w:val="18"/>
                      <w:szCs w:val="18"/>
                      <w:highlight w:val="none"/>
                      <w:lang w:val="en-US" w:eastAsia="zh-CN" w:bidi="ar-SA"/>
                    </w:rPr>
                  </w:pPr>
                  <w:r>
                    <w:rPr>
                      <w:rFonts w:hint="eastAsia"/>
                      <w:color w:val="auto"/>
                      <w:sz w:val="18"/>
                      <w:szCs w:val="18"/>
                      <w:highlight w:val="none"/>
                      <w:lang w:val="en-US" w:eastAsia="zh-CN"/>
                    </w:rPr>
                    <w:t>3</w:t>
                  </w:r>
                </w:p>
              </w:tc>
              <w:tc>
                <w:tcPr>
                  <w:tcW w:w="645" w:type="pct"/>
                  <w:noWrap w:val="0"/>
                  <w:vAlign w:val="center"/>
                </w:tcPr>
                <w:p w14:paraId="2F6BF463">
                  <w:pPr>
                    <w:pStyle w:val="34"/>
                    <w:bidi w:val="0"/>
                    <w:ind w:firstLine="0" w:firstLineChars="0"/>
                    <w:rPr>
                      <w:rFonts w:hint="eastAsia"/>
                      <w:color w:val="auto"/>
                      <w:sz w:val="18"/>
                      <w:szCs w:val="18"/>
                      <w:highlight w:val="none"/>
                    </w:rPr>
                  </w:pPr>
                  <w:r>
                    <w:rPr>
                      <w:rFonts w:hint="eastAsia"/>
                      <w:color w:val="auto"/>
                      <w:sz w:val="18"/>
                      <w:szCs w:val="18"/>
                      <w:highlight w:val="none"/>
                      <w:lang w:val="en-US" w:eastAsia="zh-CN"/>
                    </w:rPr>
                    <w:t>输送机</w:t>
                  </w:r>
                </w:p>
              </w:tc>
              <w:tc>
                <w:tcPr>
                  <w:tcW w:w="353" w:type="pct"/>
                  <w:noWrap w:val="0"/>
                  <w:vAlign w:val="center"/>
                </w:tcPr>
                <w:p w14:paraId="6A9174AF">
                  <w:pPr>
                    <w:pStyle w:val="34"/>
                    <w:bidi w:val="0"/>
                    <w:rPr>
                      <w:rFonts w:hint="eastAsia"/>
                      <w:color w:val="auto"/>
                      <w:highlight w:val="none"/>
                    </w:rPr>
                  </w:pPr>
                  <w:r>
                    <w:rPr>
                      <w:rFonts w:hint="eastAsia"/>
                      <w:color w:val="auto"/>
                      <w:highlight w:val="none"/>
                    </w:rPr>
                    <w:t>/</w:t>
                  </w:r>
                </w:p>
              </w:tc>
              <w:tc>
                <w:tcPr>
                  <w:tcW w:w="349" w:type="pct"/>
                  <w:tcBorders>
                    <w:top w:val="single" w:color="000000" w:sz="4" w:space="0"/>
                  </w:tcBorders>
                  <w:noWrap w:val="0"/>
                  <w:vAlign w:val="center"/>
                </w:tcPr>
                <w:p w14:paraId="5AB7A1E4">
                  <w:pPr>
                    <w:pStyle w:val="34"/>
                    <w:bidi w:val="0"/>
                    <w:ind w:firstLine="0" w:firstLineChars="0"/>
                    <w:rPr>
                      <w:rFonts w:hint="eastAsia"/>
                      <w:color w:val="auto"/>
                      <w:sz w:val="18"/>
                      <w:szCs w:val="18"/>
                      <w:highlight w:val="none"/>
                    </w:rPr>
                  </w:pPr>
                  <w:r>
                    <w:rPr>
                      <w:rFonts w:hint="eastAsia"/>
                      <w:color w:val="auto"/>
                      <w:sz w:val="18"/>
                      <w:szCs w:val="18"/>
                      <w:highlight w:val="none"/>
                    </w:rPr>
                    <w:t>-15</w:t>
                  </w:r>
                </w:p>
              </w:tc>
              <w:tc>
                <w:tcPr>
                  <w:tcW w:w="403" w:type="pct"/>
                  <w:tcBorders>
                    <w:top w:val="single" w:color="000000" w:sz="4" w:space="0"/>
                  </w:tcBorders>
                  <w:noWrap w:val="0"/>
                  <w:vAlign w:val="center"/>
                </w:tcPr>
                <w:p w14:paraId="4284BDB3">
                  <w:pPr>
                    <w:pStyle w:val="34"/>
                    <w:bidi w:val="0"/>
                    <w:ind w:firstLine="0" w:firstLineChars="0"/>
                    <w:rPr>
                      <w:rFonts w:hint="eastAsia"/>
                      <w:color w:val="auto"/>
                      <w:sz w:val="18"/>
                      <w:szCs w:val="18"/>
                      <w:highlight w:val="none"/>
                    </w:rPr>
                  </w:pPr>
                  <w:r>
                    <w:rPr>
                      <w:rFonts w:hint="eastAsia"/>
                      <w:color w:val="auto"/>
                      <w:sz w:val="18"/>
                      <w:szCs w:val="18"/>
                      <w:highlight w:val="none"/>
                    </w:rPr>
                    <w:t>-38</w:t>
                  </w:r>
                </w:p>
              </w:tc>
              <w:tc>
                <w:tcPr>
                  <w:tcW w:w="430" w:type="pct"/>
                  <w:tcBorders>
                    <w:top w:val="single" w:color="000000" w:sz="4" w:space="0"/>
                  </w:tcBorders>
                  <w:noWrap w:val="0"/>
                  <w:vAlign w:val="center"/>
                </w:tcPr>
                <w:p w14:paraId="6B4B122F">
                  <w:pPr>
                    <w:pStyle w:val="34"/>
                    <w:bidi w:val="0"/>
                    <w:ind w:firstLine="0" w:firstLineChars="0"/>
                    <w:rPr>
                      <w:rFonts w:hint="eastAsia"/>
                      <w:color w:val="auto"/>
                      <w:sz w:val="18"/>
                      <w:szCs w:val="18"/>
                      <w:highlight w:val="none"/>
                    </w:rPr>
                  </w:pPr>
                  <w:r>
                    <w:rPr>
                      <w:rFonts w:hint="eastAsia"/>
                      <w:color w:val="auto"/>
                      <w:sz w:val="18"/>
                      <w:szCs w:val="18"/>
                      <w:highlight w:val="none"/>
                      <w:lang w:val="en-US" w:eastAsia="zh-CN"/>
                    </w:rPr>
                    <w:t>3</w:t>
                  </w:r>
                </w:p>
              </w:tc>
              <w:tc>
                <w:tcPr>
                  <w:tcW w:w="816" w:type="pct"/>
                  <w:tcBorders>
                    <w:top w:val="single" w:color="000000" w:sz="4" w:space="0"/>
                  </w:tcBorders>
                  <w:noWrap w:val="0"/>
                  <w:vAlign w:val="center"/>
                </w:tcPr>
                <w:p w14:paraId="02569948">
                  <w:pPr>
                    <w:pStyle w:val="34"/>
                    <w:bidi w:val="0"/>
                    <w:ind w:firstLine="0" w:firstLineChars="0"/>
                    <w:rPr>
                      <w:rFonts w:hint="eastAsia"/>
                      <w:color w:val="auto"/>
                      <w:sz w:val="18"/>
                      <w:szCs w:val="18"/>
                      <w:highlight w:val="none"/>
                    </w:rPr>
                  </w:pPr>
                  <w:r>
                    <w:rPr>
                      <w:rFonts w:hint="eastAsia"/>
                      <w:color w:val="auto"/>
                      <w:sz w:val="18"/>
                      <w:szCs w:val="18"/>
                      <w:highlight w:val="none"/>
                    </w:rPr>
                    <w:t>8</w:t>
                  </w:r>
                  <w:r>
                    <w:rPr>
                      <w:rFonts w:hint="eastAsia"/>
                      <w:color w:val="auto"/>
                      <w:sz w:val="18"/>
                      <w:szCs w:val="18"/>
                      <w:highlight w:val="none"/>
                      <w:lang w:val="en-US" w:eastAsia="zh-CN"/>
                    </w:rPr>
                    <w:t>5</w:t>
                  </w:r>
                </w:p>
              </w:tc>
              <w:tc>
                <w:tcPr>
                  <w:tcW w:w="1256" w:type="pct"/>
                  <w:noWrap w:val="0"/>
                  <w:vAlign w:val="center"/>
                </w:tcPr>
                <w:p w14:paraId="18AD99BC">
                  <w:pPr>
                    <w:pStyle w:val="34"/>
                    <w:bidi w:val="0"/>
                    <w:rPr>
                      <w:rFonts w:hint="eastAsia"/>
                      <w:color w:val="auto"/>
                      <w:highlight w:val="none"/>
                    </w:rPr>
                  </w:pPr>
                  <w:r>
                    <w:rPr>
                      <w:rFonts w:hint="eastAsia"/>
                      <w:color w:val="auto"/>
                      <w:highlight w:val="none"/>
                      <w:lang w:val="en-US" w:eastAsia="zh-CN"/>
                    </w:rPr>
                    <w:t>低噪声设备、隔声罩</w:t>
                  </w:r>
                  <w:r>
                    <w:rPr>
                      <w:rFonts w:hint="eastAsia"/>
                      <w:color w:val="auto"/>
                      <w:highlight w:val="none"/>
                      <w:lang w:eastAsia="zh-CN"/>
                    </w:rPr>
                    <w:t>、减震垫</w:t>
                  </w:r>
                </w:p>
              </w:tc>
              <w:tc>
                <w:tcPr>
                  <w:tcW w:w="477" w:type="pct"/>
                  <w:vMerge w:val="continue"/>
                  <w:noWrap w:val="0"/>
                  <w:vAlign w:val="center"/>
                </w:tcPr>
                <w:p w14:paraId="5D573742">
                  <w:pPr>
                    <w:pStyle w:val="34"/>
                    <w:bidi w:val="0"/>
                    <w:rPr>
                      <w:rFonts w:hint="eastAsia"/>
                      <w:color w:val="auto"/>
                      <w:sz w:val="18"/>
                      <w:szCs w:val="18"/>
                      <w:highlight w:val="none"/>
                    </w:rPr>
                  </w:pPr>
                </w:p>
              </w:tc>
            </w:tr>
            <w:tr w14:paraId="2E56A9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6" w:type="pct"/>
                  <w:noWrap w:val="0"/>
                  <w:vAlign w:val="center"/>
                </w:tcPr>
                <w:p w14:paraId="3368C49A">
                  <w:pPr>
                    <w:pStyle w:val="34"/>
                    <w:bidi w:val="0"/>
                    <w:rPr>
                      <w:rFonts w:hint="eastAsia" w:eastAsia="宋体"/>
                      <w:color w:val="auto"/>
                      <w:sz w:val="18"/>
                      <w:szCs w:val="18"/>
                      <w:highlight w:val="none"/>
                      <w:lang w:val="en-US" w:eastAsia="zh-CN"/>
                    </w:rPr>
                  </w:pPr>
                  <w:r>
                    <w:rPr>
                      <w:rFonts w:hint="eastAsia"/>
                      <w:color w:val="auto"/>
                      <w:sz w:val="18"/>
                      <w:szCs w:val="18"/>
                      <w:highlight w:val="none"/>
                      <w:lang w:val="en-US" w:eastAsia="zh-CN"/>
                    </w:rPr>
                    <w:t>4</w:t>
                  </w:r>
                </w:p>
              </w:tc>
              <w:tc>
                <w:tcPr>
                  <w:tcW w:w="645" w:type="pct"/>
                  <w:noWrap w:val="0"/>
                  <w:vAlign w:val="center"/>
                </w:tcPr>
                <w:p w14:paraId="2352B1BA">
                  <w:pPr>
                    <w:pStyle w:val="34"/>
                    <w:bidi w:val="0"/>
                    <w:rPr>
                      <w:rFonts w:hint="eastAsia"/>
                      <w:color w:val="auto"/>
                      <w:sz w:val="18"/>
                      <w:szCs w:val="18"/>
                      <w:highlight w:val="none"/>
                    </w:rPr>
                  </w:pPr>
                  <w:r>
                    <w:rPr>
                      <w:rFonts w:hint="eastAsia"/>
                      <w:color w:val="auto"/>
                      <w:sz w:val="18"/>
                      <w:szCs w:val="18"/>
                      <w:highlight w:val="none"/>
                    </w:rPr>
                    <w:t>运输车辆</w:t>
                  </w:r>
                </w:p>
              </w:tc>
              <w:tc>
                <w:tcPr>
                  <w:tcW w:w="353" w:type="pct"/>
                  <w:noWrap w:val="0"/>
                  <w:vAlign w:val="center"/>
                </w:tcPr>
                <w:p w14:paraId="5219C184">
                  <w:pPr>
                    <w:pStyle w:val="34"/>
                    <w:bidi w:val="0"/>
                    <w:rPr>
                      <w:rFonts w:hint="eastAsia"/>
                      <w:color w:val="auto"/>
                      <w:sz w:val="18"/>
                      <w:szCs w:val="18"/>
                      <w:highlight w:val="none"/>
                    </w:rPr>
                  </w:pPr>
                  <w:r>
                    <w:rPr>
                      <w:rFonts w:hint="eastAsia"/>
                      <w:color w:val="auto"/>
                      <w:sz w:val="18"/>
                      <w:szCs w:val="18"/>
                      <w:highlight w:val="none"/>
                    </w:rPr>
                    <w:t>/</w:t>
                  </w:r>
                </w:p>
              </w:tc>
              <w:tc>
                <w:tcPr>
                  <w:tcW w:w="349" w:type="pct"/>
                  <w:noWrap w:val="0"/>
                  <w:vAlign w:val="center"/>
                </w:tcPr>
                <w:p w14:paraId="0571C3C4">
                  <w:pPr>
                    <w:pStyle w:val="34"/>
                    <w:bidi w:val="0"/>
                    <w:rPr>
                      <w:rFonts w:hint="eastAsia"/>
                      <w:color w:val="auto"/>
                      <w:sz w:val="18"/>
                      <w:szCs w:val="18"/>
                      <w:highlight w:val="none"/>
                    </w:rPr>
                  </w:pPr>
                  <w:r>
                    <w:rPr>
                      <w:rFonts w:hint="eastAsia"/>
                      <w:color w:val="auto"/>
                      <w:sz w:val="18"/>
                      <w:szCs w:val="18"/>
                      <w:highlight w:val="none"/>
                    </w:rPr>
                    <w:t>0</w:t>
                  </w:r>
                </w:p>
              </w:tc>
              <w:tc>
                <w:tcPr>
                  <w:tcW w:w="403" w:type="pct"/>
                  <w:noWrap w:val="0"/>
                  <w:vAlign w:val="center"/>
                </w:tcPr>
                <w:p w14:paraId="59311A54">
                  <w:pPr>
                    <w:pStyle w:val="34"/>
                    <w:bidi w:val="0"/>
                    <w:rPr>
                      <w:rFonts w:hint="eastAsia"/>
                      <w:color w:val="auto"/>
                      <w:sz w:val="18"/>
                      <w:szCs w:val="18"/>
                      <w:highlight w:val="none"/>
                    </w:rPr>
                  </w:pPr>
                  <w:r>
                    <w:rPr>
                      <w:rFonts w:hint="eastAsia"/>
                      <w:color w:val="auto"/>
                      <w:sz w:val="18"/>
                      <w:szCs w:val="18"/>
                      <w:highlight w:val="none"/>
                    </w:rPr>
                    <w:t>0</w:t>
                  </w:r>
                </w:p>
              </w:tc>
              <w:tc>
                <w:tcPr>
                  <w:tcW w:w="430" w:type="pct"/>
                  <w:noWrap w:val="0"/>
                  <w:vAlign w:val="center"/>
                </w:tcPr>
                <w:p w14:paraId="176B7E63">
                  <w:pPr>
                    <w:pStyle w:val="34"/>
                    <w:bidi w:val="0"/>
                    <w:rPr>
                      <w:rFonts w:hint="eastAsia"/>
                      <w:color w:val="auto"/>
                      <w:sz w:val="18"/>
                      <w:szCs w:val="18"/>
                      <w:highlight w:val="none"/>
                    </w:rPr>
                  </w:pPr>
                  <w:r>
                    <w:rPr>
                      <w:rFonts w:hint="eastAsia"/>
                      <w:color w:val="auto"/>
                      <w:sz w:val="18"/>
                      <w:szCs w:val="18"/>
                      <w:highlight w:val="none"/>
                    </w:rPr>
                    <w:t>3</w:t>
                  </w:r>
                </w:p>
              </w:tc>
              <w:tc>
                <w:tcPr>
                  <w:tcW w:w="816" w:type="pct"/>
                  <w:noWrap w:val="0"/>
                  <w:vAlign w:val="center"/>
                </w:tcPr>
                <w:p w14:paraId="41FAA378">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85</w:t>
                  </w:r>
                </w:p>
              </w:tc>
              <w:tc>
                <w:tcPr>
                  <w:tcW w:w="1256" w:type="pct"/>
                  <w:noWrap w:val="0"/>
                  <w:vAlign w:val="center"/>
                </w:tcPr>
                <w:p w14:paraId="4F928B4F">
                  <w:pPr>
                    <w:pStyle w:val="34"/>
                    <w:bidi w:val="0"/>
                    <w:rPr>
                      <w:rFonts w:hint="eastAsia"/>
                      <w:color w:val="auto"/>
                      <w:sz w:val="18"/>
                      <w:szCs w:val="18"/>
                      <w:highlight w:val="none"/>
                    </w:rPr>
                  </w:pPr>
                  <w:r>
                    <w:rPr>
                      <w:rFonts w:hint="eastAsia"/>
                      <w:color w:val="auto"/>
                      <w:sz w:val="18"/>
                      <w:szCs w:val="18"/>
                      <w:highlight w:val="none"/>
                    </w:rPr>
                    <w:t>采取禁鸣限速措施</w:t>
                  </w:r>
                </w:p>
              </w:tc>
              <w:tc>
                <w:tcPr>
                  <w:tcW w:w="477" w:type="pct"/>
                  <w:vMerge w:val="continue"/>
                  <w:noWrap w:val="0"/>
                  <w:vAlign w:val="center"/>
                </w:tcPr>
                <w:p w14:paraId="269E4444">
                  <w:pPr>
                    <w:pStyle w:val="34"/>
                    <w:bidi w:val="0"/>
                    <w:rPr>
                      <w:rFonts w:hint="eastAsia"/>
                      <w:color w:val="auto"/>
                      <w:sz w:val="18"/>
                      <w:szCs w:val="18"/>
                      <w:highlight w:val="none"/>
                    </w:rPr>
                  </w:pPr>
                </w:p>
              </w:tc>
            </w:tr>
            <w:tr w14:paraId="18F64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6" w:type="pct"/>
                  <w:noWrap w:val="0"/>
                  <w:vAlign w:val="center"/>
                </w:tcPr>
                <w:p w14:paraId="0D14FC7D">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5</w:t>
                  </w:r>
                </w:p>
              </w:tc>
              <w:tc>
                <w:tcPr>
                  <w:tcW w:w="645" w:type="pct"/>
                  <w:noWrap w:val="0"/>
                  <w:vAlign w:val="center"/>
                </w:tcPr>
                <w:p w14:paraId="5CD5754B">
                  <w:pPr>
                    <w:pStyle w:val="34"/>
                    <w:bidi w:val="0"/>
                    <w:rPr>
                      <w:rFonts w:hint="eastAsia" w:eastAsia="宋体"/>
                      <w:color w:val="auto"/>
                      <w:sz w:val="18"/>
                      <w:szCs w:val="18"/>
                      <w:highlight w:val="none"/>
                      <w:lang w:val="en-US" w:eastAsia="zh-CN"/>
                    </w:rPr>
                  </w:pPr>
                  <w:r>
                    <w:rPr>
                      <w:rFonts w:hint="eastAsia"/>
                      <w:color w:val="auto"/>
                      <w:sz w:val="18"/>
                      <w:szCs w:val="18"/>
                      <w:highlight w:val="none"/>
                      <w:lang w:val="en-US" w:eastAsia="zh-CN"/>
                    </w:rPr>
                    <w:t>铲车</w:t>
                  </w:r>
                </w:p>
              </w:tc>
              <w:tc>
                <w:tcPr>
                  <w:tcW w:w="353" w:type="pct"/>
                  <w:noWrap w:val="0"/>
                  <w:vAlign w:val="center"/>
                </w:tcPr>
                <w:p w14:paraId="0E4F0897">
                  <w:pPr>
                    <w:pStyle w:val="34"/>
                    <w:bidi w:val="0"/>
                    <w:ind w:firstLine="0" w:firstLineChars="0"/>
                    <w:rPr>
                      <w:rFonts w:hint="eastAsia"/>
                      <w:color w:val="auto"/>
                      <w:sz w:val="18"/>
                      <w:szCs w:val="18"/>
                      <w:highlight w:val="none"/>
                    </w:rPr>
                  </w:pPr>
                  <w:r>
                    <w:rPr>
                      <w:rFonts w:hint="eastAsia"/>
                      <w:color w:val="auto"/>
                      <w:sz w:val="18"/>
                      <w:szCs w:val="18"/>
                      <w:highlight w:val="none"/>
                    </w:rPr>
                    <w:t>/</w:t>
                  </w:r>
                </w:p>
              </w:tc>
              <w:tc>
                <w:tcPr>
                  <w:tcW w:w="349" w:type="pct"/>
                  <w:noWrap w:val="0"/>
                  <w:vAlign w:val="center"/>
                </w:tcPr>
                <w:p w14:paraId="62CF4EBA">
                  <w:pPr>
                    <w:pStyle w:val="34"/>
                    <w:bidi w:val="0"/>
                    <w:ind w:firstLine="0" w:firstLineChars="0"/>
                    <w:rPr>
                      <w:rFonts w:hint="eastAsia"/>
                      <w:color w:val="auto"/>
                      <w:sz w:val="18"/>
                      <w:szCs w:val="18"/>
                      <w:highlight w:val="none"/>
                    </w:rPr>
                  </w:pPr>
                  <w:r>
                    <w:rPr>
                      <w:rFonts w:hint="eastAsia"/>
                      <w:color w:val="auto"/>
                      <w:sz w:val="18"/>
                      <w:szCs w:val="18"/>
                      <w:highlight w:val="none"/>
                    </w:rPr>
                    <w:t>0</w:t>
                  </w:r>
                </w:p>
              </w:tc>
              <w:tc>
                <w:tcPr>
                  <w:tcW w:w="403" w:type="pct"/>
                  <w:noWrap w:val="0"/>
                  <w:vAlign w:val="center"/>
                </w:tcPr>
                <w:p w14:paraId="05810D57">
                  <w:pPr>
                    <w:pStyle w:val="34"/>
                    <w:bidi w:val="0"/>
                    <w:ind w:firstLine="0" w:firstLineChars="0"/>
                    <w:rPr>
                      <w:rFonts w:hint="eastAsia"/>
                      <w:color w:val="auto"/>
                      <w:sz w:val="18"/>
                      <w:szCs w:val="18"/>
                      <w:highlight w:val="none"/>
                    </w:rPr>
                  </w:pPr>
                  <w:r>
                    <w:rPr>
                      <w:rFonts w:hint="eastAsia"/>
                      <w:color w:val="auto"/>
                      <w:sz w:val="18"/>
                      <w:szCs w:val="18"/>
                      <w:highlight w:val="none"/>
                    </w:rPr>
                    <w:t>0</w:t>
                  </w:r>
                </w:p>
              </w:tc>
              <w:tc>
                <w:tcPr>
                  <w:tcW w:w="430" w:type="pct"/>
                  <w:noWrap w:val="0"/>
                  <w:vAlign w:val="center"/>
                </w:tcPr>
                <w:p w14:paraId="354049FE">
                  <w:pPr>
                    <w:pStyle w:val="34"/>
                    <w:bidi w:val="0"/>
                    <w:ind w:firstLine="0" w:firstLineChars="0"/>
                    <w:rPr>
                      <w:rFonts w:hint="eastAsia"/>
                      <w:color w:val="auto"/>
                      <w:sz w:val="18"/>
                      <w:szCs w:val="18"/>
                      <w:highlight w:val="none"/>
                    </w:rPr>
                  </w:pPr>
                  <w:r>
                    <w:rPr>
                      <w:rFonts w:hint="eastAsia"/>
                      <w:color w:val="auto"/>
                      <w:sz w:val="18"/>
                      <w:szCs w:val="18"/>
                      <w:highlight w:val="none"/>
                    </w:rPr>
                    <w:t>3</w:t>
                  </w:r>
                </w:p>
              </w:tc>
              <w:tc>
                <w:tcPr>
                  <w:tcW w:w="816" w:type="pct"/>
                  <w:noWrap w:val="0"/>
                  <w:vAlign w:val="center"/>
                </w:tcPr>
                <w:p w14:paraId="5F1E839C">
                  <w:pPr>
                    <w:pStyle w:val="34"/>
                    <w:bidi w:val="0"/>
                    <w:ind w:firstLine="0" w:firstLineChars="0"/>
                    <w:rPr>
                      <w:rFonts w:hint="eastAsia"/>
                      <w:color w:val="auto"/>
                      <w:sz w:val="18"/>
                      <w:szCs w:val="18"/>
                      <w:highlight w:val="none"/>
                      <w:lang w:val="en-US" w:eastAsia="zh-CN"/>
                    </w:rPr>
                  </w:pPr>
                  <w:r>
                    <w:rPr>
                      <w:rFonts w:hint="eastAsia"/>
                      <w:color w:val="auto"/>
                      <w:sz w:val="18"/>
                      <w:szCs w:val="18"/>
                      <w:highlight w:val="none"/>
                      <w:lang w:val="en-US" w:eastAsia="zh-CN"/>
                    </w:rPr>
                    <w:t>85</w:t>
                  </w:r>
                </w:p>
              </w:tc>
              <w:tc>
                <w:tcPr>
                  <w:tcW w:w="1256" w:type="pct"/>
                  <w:noWrap w:val="0"/>
                  <w:vAlign w:val="center"/>
                </w:tcPr>
                <w:p w14:paraId="59BA8FC3">
                  <w:pPr>
                    <w:pStyle w:val="34"/>
                    <w:bidi w:val="0"/>
                    <w:ind w:firstLine="0" w:firstLineChars="0"/>
                    <w:rPr>
                      <w:rFonts w:hint="eastAsia"/>
                      <w:color w:val="auto"/>
                      <w:sz w:val="18"/>
                      <w:szCs w:val="18"/>
                      <w:highlight w:val="none"/>
                    </w:rPr>
                  </w:pPr>
                  <w:r>
                    <w:rPr>
                      <w:rFonts w:hint="eastAsia"/>
                      <w:color w:val="auto"/>
                      <w:sz w:val="18"/>
                      <w:szCs w:val="18"/>
                      <w:highlight w:val="none"/>
                    </w:rPr>
                    <w:t>采取禁鸣限速措施</w:t>
                  </w:r>
                </w:p>
              </w:tc>
              <w:tc>
                <w:tcPr>
                  <w:tcW w:w="477" w:type="pct"/>
                  <w:vMerge w:val="continue"/>
                  <w:noWrap w:val="0"/>
                  <w:vAlign w:val="center"/>
                </w:tcPr>
                <w:p w14:paraId="28F91636">
                  <w:pPr>
                    <w:pStyle w:val="34"/>
                    <w:bidi w:val="0"/>
                    <w:ind w:firstLine="0" w:firstLineChars="0"/>
                    <w:rPr>
                      <w:rFonts w:hint="eastAsia"/>
                      <w:color w:val="auto"/>
                      <w:sz w:val="18"/>
                      <w:szCs w:val="18"/>
                      <w:highlight w:val="none"/>
                    </w:rPr>
                  </w:pPr>
                </w:p>
              </w:tc>
            </w:tr>
            <w:tr w14:paraId="60BE6E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6" w:type="pct"/>
                  <w:noWrap w:val="0"/>
                  <w:vAlign w:val="center"/>
                </w:tcPr>
                <w:p w14:paraId="681A706F">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6</w:t>
                  </w:r>
                </w:p>
              </w:tc>
              <w:tc>
                <w:tcPr>
                  <w:tcW w:w="645" w:type="pct"/>
                  <w:noWrap w:val="0"/>
                  <w:vAlign w:val="center"/>
                </w:tcPr>
                <w:p w14:paraId="121DB17B">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水泵</w:t>
                  </w:r>
                </w:p>
              </w:tc>
              <w:tc>
                <w:tcPr>
                  <w:tcW w:w="353" w:type="pct"/>
                  <w:noWrap w:val="0"/>
                  <w:vAlign w:val="center"/>
                </w:tcPr>
                <w:p w14:paraId="0921F6C4">
                  <w:pPr>
                    <w:pStyle w:val="34"/>
                    <w:bidi w:val="0"/>
                    <w:ind w:firstLine="0" w:firstLineChars="0"/>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349" w:type="pct"/>
                  <w:noWrap w:val="0"/>
                  <w:vAlign w:val="center"/>
                </w:tcPr>
                <w:p w14:paraId="11C4EAAA">
                  <w:pPr>
                    <w:pStyle w:val="34"/>
                    <w:bidi w:val="0"/>
                    <w:ind w:firstLine="0" w:firstLineChars="0"/>
                    <w:rPr>
                      <w:rFonts w:hint="default" w:eastAsia="宋体"/>
                      <w:color w:val="auto"/>
                      <w:sz w:val="18"/>
                      <w:szCs w:val="18"/>
                      <w:highlight w:val="none"/>
                      <w:lang w:val="en-US" w:eastAsia="zh-CN"/>
                    </w:rPr>
                  </w:pPr>
                  <w:r>
                    <w:rPr>
                      <w:rFonts w:hint="eastAsia"/>
                      <w:color w:val="auto"/>
                      <w:sz w:val="18"/>
                      <w:szCs w:val="18"/>
                      <w:highlight w:val="none"/>
                      <w:lang w:val="en-US" w:eastAsia="zh-CN"/>
                    </w:rPr>
                    <w:t>-57</w:t>
                  </w:r>
                </w:p>
              </w:tc>
              <w:tc>
                <w:tcPr>
                  <w:tcW w:w="403" w:type="pct"/>
                  <w:noWrap w:val="0"/>
                  <w:vAlign w:val="center"/>
                </w:tcPr>
                <w:p w14:paraId="147E3C8D">
                  <w:pPr>
                    <w:pStyle w:val="34"/>
                    <w:bidi w:val="0"/>
                    <w:ind w:firstLine="0" w:firstLineChars="0"/>
                    <w:rPr>
                      <w:rFonts w:hint="default" w:eastAsia="宋体"/>
                      <w:color w:val="auto"/>
                      <w:sz w:val="18"/>
                      <w:szCs w:val="18"/>
                      <w:highlight w:val="none"/>
                      <w:lang w:val="en-US" w:eastAsia="zh-CN"/>
                    </w:rPr>
                  </w:pPr>
                  <w:r>
                    <w:rPr>
                      <w:rFonts w:hint="eastAsia"/>
                      <w:color w:val="auto"/>
                      <w:sz w:val="18"/>
                      <w:szCs w:val="18"/>
                      <w:highlight w:val="none"/>
                      <w:lang w:val="en-US" w:eastAsia="zh-CN"/>
                    </w:rPr>
                    <w:t>-26</w:t>
                  </w:r>
                </w:p>
              </w:tc>
              <w:tc>
                <w:tcPr>
                  <w:tcW w:w="430" w:type="pct"/>
                  <w:noWrap w:val="0"/>
                  <w:vAlign w:val="center"/>
                </w:tcPr>
                <w:p w14:paraId="5690BFAF">
                  <w:pPr>
                    <w:pStyle w:val="34"/>
                    <w:bidi w:val="0"/>
                    <w:ind w:firstLine="0" w:firstLineChars="0"/>
                    <w:rPr>
                      <w:rFonts w:hint="eastAsia" w:eastAsia="宋体"/>
                      <w:color w:val="auto"/>
                      <w:sz w:val="18"/>
                      <w:szCs w:val="18"/>
                      <w:highlight w:val="none"/>
                      <w:lang w:val="en-US" w:eastAsia="zh-CN"/>
                    </w:rPr>
                  </w:pPr>
                  <w:r>
                    <w:rPr>
                      <w:rFonts w:hint="eastAsia"/>
                      <w:color w:val="auto"/>
                      <w:sz w:val="18"/>
                      <w:szCs w:val="18"/>
                      <w:highlight w:val="none"/>
                      <w:lang w:val="en-US" w:eastAsia="zh-CN"/>
                    </w:rPr>
                    <w:t>1</w:t>
                  </w:r>
                </w:p>
              </w:tc>
              <w:tc>
                <w:tcPr>
                  <w:tcW w:w="816" w:type="pct"/>
                  <w:noWrap w:val="0"/>
                  <w:vAlign w:val="center"/>
                </w:tcPr>
                <w:p w14:paraId="5E72A5D9">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85</w:t>
                  </w:r>
                </w:p>
              </w:tc>
              <w:tc>
                <w:tcPr>
                  <w:tcW w:w="1256" w:type="pct"/>
                  <w:noWrap w:val="0"/>
                  <w:vAlign w:val="center"/>
                </w:tcPr>
                <w:p w14:paraId="3DBBF4DB">
                  <w:pPr>
                    <w:pStyle w:val="34"/>
                    <w:bidi w:val="0"/>
                    <w:ind w:firstLine="0" w:firstLineChars="0"/>
                    <w:rPr>
                      <w:rFonts w:hint="eastAsia"/>
                      <w:color w:val="auto"/>
                      <w:sz w:val="18"/>
                      <w:szCs w:val="18"/>
                      <w:highlight w:val="none"/>
                    </w:rPr>
                  </w:pPr>
                  <w:r>
                    <w:rPr>
                      <w:rFonts w:hint="eastAsia" w:ascii="Times New Roman" w:hAnsi="Times New Roman" w:eastAsia="宋体" w:cs="Times New Roman"/>
                      <w:b w:val="0"/>
                      <w:bCs/>
                      <w:color w:val="auto"/>
                      <w:sz w:val="21"/>
                      <w:szCs w:val="21"/>
                      <w:highlight w:val="none"/>
                      <w:lang w:val="en-US" w:eastAsia="zh-CN"/>
                    </w:rPr>
                    <w:t>低噪声设备</w:t>
                  </w:r>
                </w:p>
              </w:tc>
              <w:tc>
                <w:tcPr>
                  <w:tcW w:w="477" w:type="pct"/>
                  <w:vMerge w:val="continue"/>
                  <w:noWrap w:val="0"/>
                  <w:vAlign w:val="center"/>
                </w:tcPr>
                <w:p w14:paraId="5CBA6FB6">
                  <w:pPr>
                    <w:pStyle w:val="34"/>
                    <w:bidi w:val="0"/>
                    <w:ind w:firstLine="0" w:firstLineChars="0"/>
                    <w:rPr>
                      <w:rFonts w:hint="eastAsia"/>
                      <w:color w:val="auto"/>
                      <w:sz w:val="18"/>
                      <w:szCs w:val="18"/>
                      <w:highlight w:val="none"/>
                    </w:rPr>
                  </w:pPr>
                </w:p>
              </w:tc>
            </w:tr>
          </w:tbl>
          <w:p w14:paraId="041439D7">
            <w:pPr>
              <w:widowControl/>
              <w:jc w:val="left"/>
              <w:rPr>
                <w:rFonts w:hint="eastAsia" w:ascii="宋体" w:hAnsi="宋体" w:cs="宋体"/>
                <w:color w:val="auto"/>
                <w:kern w:val="0"/>
                <w:sz w:val="18"/>
                <w:szCs w:val="18"/>
                <w:highlight w:val="none"/>
                <w:lang w:bidi="ar"/>
              </w:rPr>
            </w:pPr>
            <w:r>
              <w:rPr>
                <w:rFonts w:hint="eastAsia" w:ascii="宋体" w:hAnsi="宋体" w:cs="宋体"/>
                <w:color w:val="auto"/>
                <w:kern w:val="0"/>
                <w:sz w:val="18"/>
                <w:szCs w:val="18"/>
                <w:highlight w:val="none"/>
                <w:lang w:bidi="ar"/>
              </w:rPr>
              <w:t>注：坐标原点为项目厂界中心，东向为</w:t>
            </w:r>
            <w:r>
              <w:rPr>
                <w:color w:val="auto"/>
                <w:kern w:val="0"/>
                <w:sz w:val="18"/>
                <w:szCs w:val="18"/>
                <w:highlight w:val="none"/>
                <w:lang w:bidi="ar"/>
              </w:rPr>
              <w:t>X</w:t>
            </w:r>
            <w:r>
              <w:rPr>
                <w:rFonts w:hint="eastAsia" w:ascii="宋体" w:hAnsi="宋体" w:cs="宋体"/>
                <w:color w:val="auto"/>
                <w:kern w:val="0"/>
                <w:sz w:val="18"/>
                <w:szCs w:val="18"/>
                <w:highlight w:val="none"/>
                <w:lang w:bidi="ar"/>
              </w:rPr>
              <w:t>轴正方向，北向为</w:t>
            </w:r>
            <w:r>
              <w:rPr>
                <w:color w:val="auto"/>
                <w:kern w:val="0"/>
                <w:sz w:val="18"/>
                <w:szCs w:val="18"/>
                <w:highlight w:val="none"/>
                <w:lang w:bidi="ar"/>
              </w:rPr>
              <w:t>Y</w:t>
            </w:r>
            <w:r>
              <w:rPr>
                <w:rFonts w:hint="eastAsia" w:ascii="宋体" w:hAnsi="宋体" w:cs="宋体"/>
                <w:color w:val="auto"/>
                <w:kern w:val="0"/>
                <w:sz w:val="18"/>
                <w:szCs w:val="18"/>
                <w:highlight w:val="none"/>
                <w:lang w:bidi="ar"/>
              </w:rPr>
              <w:t>轴正方向，</w:t>
            </w:r>
            <w:r>
              <w:rPr>
                <w:color w:val="auto"/>
                <w:kern w:val="0"/>
                <w:sz w:val="18"/>
                <w:szCs w:val="18"/>
                <w:highlight w:val="none"/>
                <w:lang w:bidi="ar"/>
              </w:rPr>
              <w:t>Z</w:t>
            </w:r>
            <w:r>
              <w:rPr>
                <w:rFonts w:hint="eastAsia" w:ascii="宋体" w:hAnsi="宋体" w:cs="宋体"/>
                <w:color w:val="auto"/>
                <w:kern w:val="0"/>
                <w:sz w:val="18"/>
                <w:szCs w:val="18"/>
                <w:highlight w:val="none"/>
                <w:lang w:bidi="ar"/>
              </w:rPr>
              <w:t>轴以厂界南侧地平面为</w:t>
            </w:r>
            <w:r>
              <w:rPr>
                <w:color w:val="auto"/>
                <w:kern w:val="0"/>
                <w:sz w:val="18"/>
                <w:szCs w:val="18"/>
                <w:highlight w:val="none"/>
                <w:lang w:bidi="ar"/>
              </w:rPr>
              <w:t>0</w:t>
            </w:r>
            <w:r>
              <w:rPr>
                <w:rFonts w:hint="eastAsia" w:ascii="宋体" w:hAnsi="宋体" w:cs="宋体"/>
                <w:color w:val="auto"/>
                <w:kern w:val="0"/>
                <w:sz w:val="18"/>
                <w:szCs w:val="18"/>
                <w:highlight w:val="none"/>
                <w:lang w:bidi="ar"/>
              </w:rPr>
              <w:t>点。</w:t>
            </w:r>
          </w:p>
          <w:p w14:paraId="06C0A3A4">
            <w:pPr>
              <w:pStyle w:val="36"/>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color w:val="auto"/>
                <w:highlight w:val="none"/>
              </w:rPr>
            </w:pPr>
            <w:r>
              <w:rPr>
                <w:rFonts w:hint="eastAsia"/>
                <w:color w:val="auto"/>
                <w:highlight w:val="none"/>
              </w:rPr>
              <w:t>表4-</w:t>
            </w:r>
            <w:r>
              <w:rPr>
                <w:rFonts w:hint="eastAsia"/>
                <w:color w:val="auto"/>
                <w:highlight w:val="none"/>
                <w:lang w:val="en-US" w:eastAsia="zh-CN"/>
              </w:rPr>
              <w:t>7</w:t>
            </w:r>
            <w:r>
              <w:rPr>
                <w:rFonts w:hint="eastAsia"/>
                <w:color w:val="auto"/>
                <w:highlight w:val="none"/>
              </w:rPr>
              <w:t>噪声污染源源强核算结果及相关参数一览表（室外声源）</w:t>
            </w:r>
          </w:p>
          <w:tbl>
            <w:tblPr>
              <w:tblStyle w:val="23"/>
              <w:tblW w:w="499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9"/>
              <w:gridCol w:w="455"/>
              <w:gridCol w:w="440"/>
              <w:gridCol w:w="645"/>
              <w:gridCol w:w="484"/>
              <w:gridCol w:w="574"/>
              <w:gridCol w:w="486"/>
              <w:gridCol w:w="486"/>
              <w:gridCol w:w="487"/>
              <w:gridCol w:w="468"/>
              <w:gridCol w:w="619"/>
              <w:gridCol w:w="686"/>
              <w:gridCol w:w="514"/>
              <w:gridCol w:w="469"/>
              <w:gridCol w:w="398"/>
            </w:tblGrid>
            <w:tr w14:paraId="5836F1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268" w:type="pct"/>
                  <w:vMerge w:val="restart"/>
                  <w:noWrap w:val="0"/>
                  <w:vAlign w:val="center"/>
                </w:tcPr>
                <w:p w14:paraId="4A76A752">
                  <w:pPr>
                    <w:pStyle w:val="34"/>
                    <w:bidi w:val="0"/>
                    <w:rPr>
                      <w:rFonts w:hint="eastAsia"/>
                      <w:color w:val="auto"/>
                      <w:sz w:val="18"/>
                      <w:szCs w:val="18"/>
                      <w:highlight w:val="none"/>
                    </w:rPr>
                  </w:pPr>
                  <w:r>
                    <w:rPr>
                      <w:rFonts w:hint="eastAsia"/>
                      <w:color w:val="auto"/>
                      <w:sz w:val="18"/>
                      <w:szCs w:val="18"/>
                      <w:highlight w:val="none"/>
                    </w:rPr>
                    <w:t>序号</w:t>
                  </w:r>
                </w:p>
              </w:tc>
              <w:tc>
                <w:tcPr>
                  <w:tcW w:w="298" w:type="pct"/>
                  <w:vMerge w:val="restart"/>
                  <w:noWrap w:val="0"/>
                  <w:vAlign w:val="center"/>
                </w:tcPr>
                <w:p w14:paraId="21FF5CC0">
                  <w:pPr>
                    <w:pStyle w:val="34"/>
                    <w:bidi w:val="0"/>
                    <w:rPr>
                      <w:rFonts w:hint="eastAsia"/>
                      <w:color w:val="auto"/>
                      <w:sz w:val="18"/>
                      <w:szCs w:val="18"/>
                      <w:highlight w:val="none"/>
                    </w:rPr>
                  </w:pPr>
                  <w:r>
                    <w:rPr>
                      <w:rFonts w:hint="eastAsia"/>
                      <w:color w:val="auto"/>
                      <w:sz w:val="18"/>
                      <w:szCs w:val="18"/>
                      <w:highlight w:val="none"/>
                    </w:rPr>
                    <w:t>建筑物名称</w:t>
                  </w:r>
                </w:p>
              </w:tc>
              <w:tc>
                <w:tcPr>
                  <w:tcW w:w="288" w:type="pct"/>
                  <w:vMerge w:val="restart"/>
                  <w:noWrap w:val="0"/>
                  <w:vAlign w:val="center"/>
                </w:tcPr>
                <w:p w14:paraId="1C590DD8">
                  <w:pPr>
                    <w:pStyle w:val="34"/>
                    <w:bidi w:val="0"/>
                    <w:rPr>
                      <w:rFonts w:hint="eastAsia"/>
                      <w:color w:val="auto"/>
                      <w:sz w:val="18"/>
                      <w:szCs w:val="18"/>
                      <w:highlight w:val="none"/>
                    </w:rPr>
                  </w:pPr>
                  <w:r>
                    <w:rPr>
                      <w:rFonts w:hint="eastAsia"/>
                      <w:color w:val="auto"/>
                      <w:sz w:val="18"/>
                      <w:szCs w:val="18"/>
                      <w:highlight w:val="none"/>
                    </w:rPr>
                    <w:t>声源名称</w:t>
                  </w:r>
                </w:p>
              </w:tc>
              <w:tc>
                <w:tcPr>
                  <w:tcW w:w="423" w:type="pct"/>
                  <w:vMerge w:val="restart"/>
                  <w:noWrap w:val="0"/>
                  <w:vAlign w:val="center"/>
                </w:tcPr>
                <w:p w14:paraId="479D922A">
                  <w:pPr>
                    <w:pStyle w:val="34"/>
                    <w:bidi w:val="0"/>
                    <w:rPr>
                      <w:rFonts w:hint="eastAsia"/>
                      <w:color w:val="auto"/>
                      <w:sz w:val="18"/>
                      <w:szCs w:val="18"/>
                      <w:highlight w:val="none"/>
                    </w:rPr>
                  </w:pPr>
                  <w:r>
                    <w:rPr>
                      <w:rFonts w:hint="eastAsia"/>
                      <w:color w:val="auto"/>
                      <w:sz w:val="18"/>
                      <w:szCs w:val="18"/>
                      <w:highlight w:val="none"/>
                    </w:rPr>
                    <w:t>型号</w:t>
                  </w:r>
                </w:p>
              </w:tc>
              <w:tc>
                <w:tcPr>
                  <w:tcW w:w="317" w:type="pct"/>
                  <w:vMerge w:val="restart"/>
                  <w:noWrap w:val="0"/>
                  <w:vAlign w:val="center"/>
                </w:tcPr>
                <w:p w14:paraId="2B120B1D">
                  <w:pPr>
                    <w:pStyle w:val="34"/>
                    <w:bidi w:val="0"/>
                    <w:rPr>
                      <w:rFonts w:hint="eastAsia"/>
                      <w:color w:val="auto"/>
                      <w:sz w:val="18"/>
                      <w:szCs w:val="18"/>
                      <w:highlight w:val="none"/>
                    </w:rPr>
                  </w:pPr>
                  <w:r>
                    <w:rPr>
                      <w:rFonts w:hint="eastAsia"/>
                      <w:color w:val="auto"/>
                      <w:sz w:val="18"/>
                      <w:szCs w:val="18"/>
                      <w:highlight w:val="none"/>
                    </w:rPr>
                    <w:t>声功率级</w:t>
                  </w:r>
                </w:p>
                <w:p w14:paraId="147C4E16">
                  <w:pPr>
                    <w:pStyle w:val="34"/>
                    <w:bidi w:val="0"/>
                    <w:rPr>
                      <w:rFonts w:hint="eastAsia"/>
                      <w:color w:val="auto"/>
                      <w:sz w:val="18"/>
                      <w:szCs w:val="18"/>
                      <w:highlight w:val="none"/>
                    </w:rPr>
                  </w:pPr>
                  <w:r>
                    <w:rPr>
                      <w:color w:val="auto"/>
                      <w:sz w:val="18"/>
                      <w:szCs w:val="18"/>
                      <w:highlight w:val="none"/>
                    </w:rPr>
                    <w:t>dB(A)</w:t>
                  </w:r>
                </w:p>
              </w:tc>
              <w:tc>
                <w:tcPr>
                  <w:tcW w:w="376" w:type="pct"/>
                  <w:vMerge w:val="restart"/>
                  <w:noWrap w:val="0"/>
                  <w:vAlign w:val="center"/>
                </w:tcPr>
                <w:p w14:paraId="78471B08">
                  <w:pPr>
                    <w:pStyle w:val="34"/>
                    <w:bidi w:val="0"/>
                    <w:rPr>
                      <w:color w:val="auto"/>
                      <w:sz w:val="18"/>
                      <w:szCs w:val="18"/>
                      <w:highlight w:val="none"/>
                    </w:rPr>
                  </w:pPr>
                  <w:r>
                    <w:rPr>
                      <w:rFonts w:hint="eastAsia"/>
                      <w:color w:val="auto"/>
                      <w:sz w:val="18"/>
                      <w:szCs w:val="18"/>
                      <w:highlight w:val="none"/>
                    </w:rPr>
                    <w:t>声控制措施</w:t>
                  </w:r>
                </w:p>
              </w:tc>
              <w:tc>
                <w:tcPr>
                  <w:tcW w:w="957" w:type="pct"/>
                  <w:gridSpan w:val="3"/>
                  <w:noWrap w:val="0"/>
                  <w:vAlign w:val="center"/>
                </w:tcPr>
                <w:p w14:paraId="59C1A32C">
                  <w:pPr>
                    <w:pStyle w:val="34"/>
                    <w:bidi w:val="0"/>
                    <w:rPr>
                      <w:rFonts w:hint="eastAsia"/>
                      <w:color w:val="auto"/>
                      <w:sz w:val="18"/>
                      <w:szCs w:val="18"/>
                      <w:highlight w:val="none"/>
                    </w:rPr>
                  </w:pPr>
                  <w:r>
                    <w:rPr>
                      <w:rFonts w:hint="eastAsia"/>
                      <w:color w:val="auto"/>
                      <w:sz w:val="18"/>
                      <w:szCs w:val="18"/>
                      <w:highlight w:val="none"/>
                    </w:rPr>
                    <w:t>空间相对位置</w:t>
                  </w:r>
                </w:p>
              </w:tc>
              <w:tc>
                <w:tcPr>
                  <w:tcW w:w="307" w:type="pct"/>
                  <w:vMerge w:val="restart"/>
                  <w:noWrap w:val="0"/>
                  <w:vAlign w:val="center"/>
                </w:tcPr>
                <w:p w14:paraId="7BF74CFC">
                  <w:pPr>
                    <w:pStyle w:val="34"/>
                    <w:bidi w:val="0"/>
                    <w:rPr>
                      <w:color w:val="auto"/>
                      <w:sz w:val="18"/>
                      <w:szCs w:val="18"/>
                      <w:highlight w:val="none"/>
                    </w:rPr>
                  </w:pPr>
                  <w:r>
                    <w:rPr>
                      <w:rFonts w:hint="eastAsia"/>
                      <w:color w:val="auto"/>
                      <w:sz w:val="18"/>
                      <w:szCs w:val="18"/>
                      <w:highlight w:val="none"/>
                    </w:rPr>
                    <w:t>距室内边界距离/m</w:t>
                  </w:r>
                </w:p>
              </w:tc>
              <w:tc>
                <w:tcPr>
                  <w:tcW w:w="406" w:type="pct"/>
                  <w:vMerge w:val="restart"/>
                  <w:noWrap w:val="0"/>
                  <w:vAlign w:val="center"/>
                </w:tcPr>
                <w:p w14:paraId="50D5BD69">
                  <w:pPr>
                    <w:pStyle w:val="34"/>
                    <w:bidi w:val="0"/>
                    <w:rPr>
                      <w:color w:val="auto"/>
                      <w:sz w:val="18"/>
                      <w:szCs w:val="18"/>
                      <w:highlight w:val="none"/>
                    </w:rPr>
                  </w:pPr>
                  <w:r>
                    <w:rPr>
                      <w:rFonts w:hint="eastAsia"/>
                      <w:color w:val="auto"/>
                      <w:sz w:val="18"/>
                      <w:szCs w:val="18"/>
                      <w:highlight w:val="none"/>
                    </w:rPr>
                    <w:t>室内边界声级</w:t>
                  </w:r>
                  <w:r>
                    <w:rPr>
                      <w:color w:val="auto"/>
                      <w:sz w:val="18"/>
                      <w:szCs w:val="18"/>
                      <w:highlight w:val="none"/>
                    </w:rPr>
                    <w:t>dB(A)</w:t>
                  </w:r>
                </w:p>
              </w:tc>
              <w:tc>
                <w:tcPr>
                  <w:tcW w:w="450" w:type="pct"/>
                  <w:vMerge w:val="restart"/>
                  <w:noWrap w:val="0"/>
                  <w:vAlign w:val="center"/>
                </w:tcPr>
                <w:p w14:paraId="64B43A9B">
                  <w:pPr>
                    <w:pStyle w:val="34"/>
                    <w:bidi w:val="0"/>
                    <w:rPr>
                      <w:rFonts w:hint="eastAsia"/>
                      <w:color w:val="auto"/>
                      <w:sz w:val="18"/>
                      <w:szCs w:val="18"/>
                      <w:highlight w:val="none"/>
                    </w:rPr>
                  </w:pPr>
                  <w:r>
                    <w:rPr>
                      <w:rFonts w:hint="eastAsia"/>
                      <w:color w:val="auto"/>
                      <w:sz w:val="18"/>
                      <w:szCs w:val="18"/>
                      <w:highlight w:val="none"/>
                    </w:rPr>
                    <w:t>运行时段</w:t>
                  </w:r>
                </w:p>
              </w:tc>
              <w:tc>
                <w:tcPr>
                  <w:tcW w:w="337" w:type="pct"/>
                  <w:vMerge w:val="restart"/>
                  <w:noWrap w:val="0"/>
                  <w:vAlign w:val="center"/>
                </w:tcPr>
                <w:p w14:paraId="7A207709">
                  <w:pPr>
                    <w:pStyle w:val="34"/>
                    <w:bidi w:val="0"/>
                    <w:rPr>
                      <w:rFonts w:hint="eastAsia"/>
                      <w:color w:val="auto"/>
                      <w:sz w:val="18"/>
                      <w:szCs w:val="18"/>
                      <w:highlight w:val="none"/>
                    </w:rPr>
                  </w:pPr>
                  <w:r>
                    <w:rPr>
                      <w:rFonts w:hint="eastAsia"/>
                      <w:color w:val="auto"/>
                      <w:sz w:val="18"/>
                      <w:szCs w:val="18"/>
                      <w:highlight w:val="none"/>
                    </w:rPr>
                    <w:t>建筑物插入损</w:t>
                  </w:r>
                </w:p>
                <w:p w14:paraId="0D7D5EE6">
                  <w:pPr>
                    <w:pStyle w:val="34"/>
                    <w:bidi w:val="0"/>
                    <w:rPr>
                      <w:rFonts w:hint="eastAsia"/>
                      <w:color w:val="auto"/>
                      <w:sz w:val="18"/>
                      <w:szCs w:val="18"/>
                      <w:highlight w:val="none"/>
                    </w:rPr>
                  </w:pPr>
                  <w:r>
                    <w:rPr>
                      <w:rFonts w:hint="eastAsia"/>
                      <w:color w:val="auto"/>
                      <w:sz w:val="18"/>
                      <w:szCs w:val="18"/>
                      <w:highlight w:val="none"/>
                    </w:rPr>
                    <w:t>失</w:t>
                  </w:r>
                </w:p>
                <w:p w14:paraId="06CC89CC">
                  <w:pPr>
                    <w:pStyle w:val="34"/>
                    <w:bidi w:val="0"/>
                    <w:rPr>
                      <w:rFonts w:hint="eastAsia"/>
                      <w:color w:val="auto"/>
                      <w:sz w:val="18"/>
                      <w:szCs w:val="18"/>
                      <w:highlight w:val="none"/>
                    </w:rPr>
                  </w:pPr>
                  <w:r>
                    <w:rPr>
                      <w:color w:val="auto"/>
                      <w:sz w:val="18"/>
                      <w:szCs w:val="18"/>
                      <w:highlight w:val="none"/>
                    </w:rPr>
                    <w:t>dB(A)</w:t>
                  </w:r>
                </w:p>
              </w:tc>
              <w:tc>
                <w:tcPr>
                  <w:tcW w:w="568" w:type="pct"/>
                  <w:gridSpan w:val="2"/>
                  <w:noWrap w:val="0"/>
                  <w:vAlign w:val="center"/>
                </w:tcPr>
                <w:p w14:paraId="511886C7">
                  <w:pPr>
                    <w:pStyle w:val="34"/>
                    <w:bidi w:val="0"/>
                    <w:rPr>
                      <w:rFonts w:hint="eastAsia"/>
                      <w:color w:val="auto"/>
                      <w:sz w:val="18"/>
                      <w:szCs w:val="18"/>
                      <w:highlight w:val="none"/>
                    </w:rPr>
                  </w:pPr>
                  <w:r>
                    <w:rPr>
                      <w:rFonts w:hint="eastAsia"/>
                      <w:color w:val="auto"/>
                      <w:sz w:val="18"/>
                      <w:szCs w:val="18"/>
                      <w:highlight w:val="none"/>
                    </w:rPr>
                    <w:t>建筑物外噪声</w:t>
                  </w:r>
                </w:p>
              </w:tc>
            </w:tr>
            <w:tr w14:paraId="59A47E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8" w:hRule="atLeast"/>
              </w:trPr>
              <w:tc>
                <w:tcPr>
                  <w:tcW w:w="268" w:type="pct"/>
                  <w:vMerge w:val="continue"/>
                  <w:noWrap w:val="0"/>
                  <w:vAlign w:val="center"/>
                </w:tcPr>
                <w:p w14:paraId="474587DE">
                  <w:pPr>
                    <w:pStyle w:val="34"/>
                    <w:bidi w:val="0"/>
                    <w:rPr>
                      <w:rFonts w:hint="eastAsia"/>
                      <w:color w:val="auto"/>
                      <w:sz w:val="18"/>
                      <w:szCs w:val="18"/>
                      <w:highlight w:val="none"/>
                    </w:rPr>
                  </w:pPr>
                </w:p>
              </w:tc>
              <w:tc>
                <w:tcPr>
                  <w:tcW w:w="298" w:type="pct"/>
                  <w:vMerge w:val="continue"/>
                  <w:noWrap w:val="0"/>
                  <w:vAlign w:val="center"/>
                </w:tcPr>
                <w:p w14:paraId="135A0B82">
                  <w:pPr>
                    <w:pStyle w:val="34"/>
                    <w:bidi w:val="0"/>
                    <w:rPr>
                      <w:rFonts w:hint="eastAsia"/>
                      <w:color w:val="auto"/>
                      <w:sz w:val="18"/>
                      <w:szCs w:val="18"/>
                      <w:highlight w:val="none"/>
                    </w:rPr>
                  </w:pPr>
                </w:p>
              </w:tc>
              <w:tc>
                <w:tcPr>
                  <w:tcW w:w="288" w:type="pct"/>
                  <w:vMerge w:val="continue"/>
                  <w:noWrap w:val="0"/>
                  <w:vAlign w:val="center"/>
                </w:tcPr>
                <w:p w14:paraId="1DA8EE62">
                  <w:pPr>
                    <w:pStyle w:val="34"/>
                    <w:bidi w:val="0"/>
                    <w:rPr>
                      <w:rFonts w:hint="eastAsia"/>
                      <w:color w:val="auto"/>
                      <w:sz w:val="18"/>
                      <w:szCs w:val="18"/>
                      <w:highlight w:val="none"/>
                    </w:rPr>
                  </w:pPr>
                </w:p>
              </w:tc>
              <w:tc>
                <w:tcPr>
                  <w:tcW w:w="423" w:type="pct"/>
                  <w:vMerge w:val="continue"/>
                  <w:noWrap w:val="0"/>
                  <w:vAlign w:val="center"/>
                </w:tcPr>
                <w:p w14:paraId="7C9EC68D">
                  <w:pPr>
                    <w:pStyle w:val="34"/>
                    <w:bidi w:val="0"/>
                    <w:rPr>
                      <w:rFonts w:hint="eastAsia"/>
                      <w:color w:val="auto"/>
                      <w:sz w:val="18"/>
                      <w:szCs w:val="18"/>
                      <w:highlight w:val="none"/>
                    </w:rPr>
                  </w:pPr>
                </w:p>
              </w:tc>
              <w:tc>
                <w:tcPr>
                  <w:tcW w:w="317" w:type="pct"/>
                  <w:vMerge w:val="continue"/>
                  <w:noWrap w:val="0"/>
                  <w:vAlign w:val="center"/>
                </w:tcPr>
                <w:p w14:paraId="64D93A3E">
                  <w:pPr>
                    <w:pStyle w:val="34"/>
                    <w:bidi w:val="0"/>
                    <w:rPr>
                      <w:rFonts w:hint="eastAsia"/>
                      <w:color w:val="auto"/>
                      <w:sz w:val="18"/>
                      <w:szCs w:val="18"/>
                      <w:highlight w:val="none"/>
                    </w:rPr>
                  </w:pPr>
                </w:p>
              </w:tc>
              <w:tc>
                <w:tcPr>
                  <w:tcW w:w="376" w:type="pct"/>
                  <w:vMerge w:val="continue"/>
                  <w:noWrap w:val="0"/>
                  <w:vAlign w:val="center"/>
                </w:tcPr>
                <w:p w14:paraId="3E19D3E9">
                  <w:pPr>
                    <w:pStyle w:val="34"/>
                    <w:bidi w:val="0"/>
                    <w:rPr>
                      <w:rFonts w:hint="eastAsia"/>
                      <w:color w:val="auto"/>
                      <w:sz w:val="18"/>
                      <w:szCs w:val="18"/>
                      <w:highlight w:val="none"/>
                    </w:rPr>
                  </w:pPr>
                </w:p>
              </w:tc>
              <w:tc>
                <w:tcPr>
                  <w:tcW w:w="318" w:type="pct"/>
                  <w:noWrap w:val="0"/>
                  <w:vAlign w:val="center"/>
                </w:tcPr>
                <w:p w14:paraId="1FB1499F">
                  <w:pPr>
                    <w:pStyle w:val="34"/>
                    <w:bidi w:val="0"/>
                    <w:rPr>
                      <w:rFonts w:hint="eastAsia"/>
                      <w:color w:val="auto"/>
                      <w:sz w:val="18"/>
                      <w:szCs w:val="18"/>
                      <w:highlight w:val="none"/>
                    </w:rPr>
                  </w:pPr>
                  <w:r>
                    <w:rPr>
                      <w:rFonts w:hint="eastAsia"/>
                      <w:color w:val="auto"/>
                      <w:sz w:val="18"/>
                      <w:szCs w:val="18"/>
                      <w:highlight w:val="none"/>
                    </w:rPr>
                    <w:t>X</w:t>
                  </w:r>
                </w:p>
              </w:tc>
              <w:tc>
                <w:tcPr>
                  <w:tcW w:w="318" w:type="pct"/>
                  <w:noWrap w:val="0"/>
                  <w:vAlign w:val="center"/>
                </w:tcPr>
                <w:p w14:paraId="788945F3">
                  <w:pPr>
                    <w:pStyle w:val="34"/>
                    <w:bidi w:val="0"/>
                    <w:rPr>
                      <w:rFonts w:hint="eastAsia"/>
                      <w:color w:val="auto"/>
                      <w:sz w:val="18"/>
                      <w:szCs w:val="18"/>
                      <w:highlight w:val="none"/>
                    </w:rPr>
                  </w:pPr>
                  <w:r>
                    <w:rPr>
                      <w:rFonts w:hint="eastAsia"/>
                      <w:color w:val="auto"/>
                      <w:sz w:val="18"/>
                      <w:szCs w:val="18"/>
                      <w:highlight w:val="none"/>
                    </w:rPr>
                    <w:t>Y</w:t>
                  </w:r>
                </w:p>
              </w:tc>
              <w:tc>
                <w:tcPr>
                  <w:tcW w:w="319" w:type="pct"/>
                  <w:noWrap w:val="0"/>
                  <w:vAlign w:val="center"/>
                </w:tcPr>
                <w:p w14:paraId="4C9EAD13">
                  <w:pPr>
                    <w:pStyle w:val="34"/>
                    <w:bidi w:val="0"/>
                    <w:rPr>
                      <w:rFonts w:hint="eastAsia"/>
                      <w:color w:val="auto"/>
                      <w:sz w:val="18"/>
                      <w:szCs w:val="18"/>
                      <w:highlight w:val="none"/>
                    </w:rPr>
                  </w:pPr>
                  <w:r>
                    <w:rPr>
                      <w:rFonts w:hint="eastAsia"/>
                      <w:color w:val="auto"/>
                      <w:sz w:val="18"/>
                      <w:szCs w:val="18"/>
                      <w:highlight w:val="none"/>
                    </w:rPr>
                    <w:t>Z</w:t>
                  </w:r>
                </w:p>
              </w:tc>
              <w:tc>
                <w:tcPr>
                  <w:tcW w:w="307" w:type="pct"/>
                  <w:vMerge w:val="continue"/>
                  <w:noWrap w:val="0"/>
                  <w:vAlign w:val="center"/>
                </w:tcPr>
                <w:p w14:paraId="01DE0721">
                  <w:pPr>
                    <w:pStyle w:val="34"/>
                    <w:bidi w:val="0"/>
                    <w:rPr>
                      <w:rFonts w:hint="eastAsia"/>
                      <w:color w:val="auto"/>
                      <w:sz w:val="18"/>
                      <w:szCs w:val="18"/>
                      <w:highlight w:val="none"/>
                    </w:rPr>
                  </w:pPr>
                </w:p>
              </w:tc>
              <w:tc>
                <w:tcPr>
                  <w:tcW w:w="406" w:type="pct"/>
                  <w:vMerge w:val="continue"/>
                  <w:noWrap w:val="0"/>
                  <w:vAlign w:val="center"/>
                </w:tcPr>
                <w:p w14:paraId="1EF4C6B0">
                  <w:pPr>
                    <w:pStyle w:val="34"/>
                    <w:bidi w:val="0"/>
                    <w:rPr>
                      <w:rFonts w:hint="eastAsia"/>
                      <w:color w:val="auto"/>
                      <w:sz w:val="18"/>
                      <w:szCs w:val="18"/>
                      <w:highlight w:val="none"/>
                    </w:rPr>
                  </w:pPr>
                </w:p>
              </w:tc>
              <w:tc>
                <w:tcPr>
                  <w:tcW w:w="450" w:type="pct"/>
                  <w:vMerge w:val="continue"/>
                  <w:noWrap w:val="0"/>
                  <w:vAlign w:val="center"/>
                </w:tcPr>
                <w:p w14:paraId="426E4372">
                  <w:pPr>
                    <w:pStyle w:val="34"/>
                    <w:bidi w:val="0"/>
                    <w:rPr>
                      <w:rFonts w:hint="eastAsia"/>
                      <w:color w:val="auto"/>
                      <w:sz w:val="18"/>
                      <w:szCs w:val="18"/>
                      <w:highlight w:val="none"/>
                    </w:rPr>
                  </w:pPr>
                </w:p>
              </w:tc>
              <w:tc>
                <w:tcPr>
                  <w:tcW w:w="337" w:type="pct"/>
                  <w:vMerge w:val="continue"/>
                  <w:noWrap w:val="0"/>
                  <w:vAlign w:val="center"/>
                </w:tcPr>
                <w:p w14:paraId="409552AE">
                  <w:pPr>
                    <w:pStyle w:val="34"/>
                    <w:bidi w:val="0"/>
                    <w:rPr>
                      <w:rFonts w:hint="eastAsia"/>
                      <w:color w:val="auto"/>
                      <w:sz w:val="18"/>
                      <w:szCs w:val="18"/>
                      <w:highlight w:val="none"/>
                    </w:rPr>
                  </w:pPr>
                </w:p>
              </w:tc>
              <w:tc>
                <w:tcPr>
                  <w:tcW w:w="307" w:type="pct"/>
                  <w:noWrap w:val="0"/>
                  <w:vAlign w:val="center"/>
                </w:tcPr>
                <w:p w14:paraId="2E0003CE">
                  <w:pPr>
                    <w:pStyle w:val="34"/>
                    <w:bidi w:val="0"/>
                    <w:rPr>
                      <w:rFonts w:hint="eastAsia"/>
                      <w:color w:val="auto"/>
                      <w:sz w:val="18"/>
                      <w:szCs w:val="18"/>
                      <w:highlight w:val="none"/>
                    </w:rPr>
                  </w:pPr>
                  <w:r>
                    <w:rPr>
                      <w:rFonts w:hint="eastAsia"/>
                      <w:color w:val="auto"/>
                      <w:sz w:val="18"/>
                      <w:szCs w:val="18"/>
                      <w:highlight w:val="none"/>
                    </w:rPr>
                    <w:t>声压级</w:t>
                  </w:r>
                </w:p>
                <w:p w14:paraId="33BA9D4C">
                  <w:pPr>
                    <w:pStyle w:val="34"/>
                    <w:bidi w:val="0"/>
                    <w:rPr>
                      <w:rFonts w:hint="eastAsia"/>
                      <w:color w:val="auto"/>
                      <w:sz w:val="18"/>
                      <w:szCs w:val="18"/>
                      <w:highlight w:val="none"/>
                    </w:rPr>
                  </w:pPr>
                  <w:r>
                    <w:rPr>
                      <w:color w:val="auto"/>
                      <w:sz w:val="18"/>
                      <w:szCs w:val="18"/>
                      <w:highlight w:val="none"/>
                    </w:rPr>
                    <w:t>dB(A)</w:t>
                  </w:r>
                </w:p>
              </w:tc>
              <w:tc>
                <w:tcPr>
                  <w:tcW w:w="261" w:type="pct"/>
                  <w:noWrap w:val="0"/>
                  <w:vAlign w:val="center"/>
                </w:tcPr>
                <w:p w14:paraId="7CED58C3">
                  <w:pPr>
                    <w:pStyle w:val="34"/>
                    <w:bidi w:val="0"/>
                    <w:rPr>
                      <w:rFonts w:hint="eastAsia"/>
                      <w:color w:val="auto"/>
                      <w:sz w:val="18"/>
                      <w:szCs w:val="18"/>
                      <w:highlight w:val="none"/>
                    </w:rPr>
                  </w:pPr>
                  <w:r>
                    <w:rPr>
                      <w:rFonts w:hint="eastAsia"/>
                      <w:color w:val="auto"/>
                      <w:sz w:val="18"/>
                      <w:szCs w:val="18"/>
                      <w:highlight w:val="none"/>
                    </w:rPr>
                    <w:t>建筑物</w:t>
                  </w:r>
                </w:p>
                <w:p w14:paraId="2AAAE622">
                  <w:pPr>
                    <w:pStyle w:val="34"/>
                    <w:bidi w:val="0"/>
                    <w:rPr>
                      <w:rFonts w:hint="eastAsia"/>
                      <w:color w:val="auto"/>
                      <w:sz w:val="18"/>
                      <w:szCs w:val="18"/>
                      <w:highlight w:val="none"/>
                    </w:rPr>
                  </w:pPr>
                  <w:r>
                    <w:rPr>
                      <w:rFonts w:hint="eastAsia"/>
                      <w:color w:val="auto"/>
                      <w:sz w:val="18"/>
                      <w:szCs w:val="18"/>
                      <w:highlight w:val="none"/>
                    </w:rPr>
                    <w:t>外距离</w:t>
                  </w:r>
                </w:p>
              </w:tc>
            </w:tr>
            <w:tr w14:paraId="1FA233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trPr>
              <w:tc>
                <w:tcPr>
                  <w:tcW w:w="268" w:type="pct"/>
                  <w:noWrap w:val="0"/>
                  <w:vAlign w:val="center"/>
                </w:tcPr>
                <w:p w14:paraId="65DB1872">
                  <w:pPr>
                    <w:pStyle w:val="34"/>
                    <w:bidi w:val="0"/>
                    <w:rPr>
                      <w:rFonts w:hint="eastAsia"/>
                      <w:color w:val="auto"/>
                      <w:sz w:val="18"/>
                      <w:szCs w:val="18"/>
                      <w:highlight w:val="none"/>
                    </w:rPr>
                  </w:pPr>
                  <w:r>
                    <w:rPr>
                      <w:color w:val="auto"/>
                      <w:sz w:val="18"/>
                      <w:szCs w:val="18"/>
                      <w:highlight w:val="none"/>
                    </w:rPr>
                    <w:t>1</w:t>
                  </w:r>
                </w:p>
              </w:tc>
              <w:tc>
                <w:tcPr>
                  <w:tcW w:w="298" w:type="pct"/>
                  <w:vMerge w:val="restart"/>
                  <w:noWrap w:val="0"/>
                  <w:vAlign w:val="center"/>
                </w:tcPr>
                <w:p w14:paraId="65F05D4C">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混凝土搅拌站</w:t>
                  </w:r>
                </w:p>
              </w:tc>
              <w:tc>
                <w:tcPr>
                  <w:tcW w:w="288" w:type="pct"/>
                  <w:noWrap w:val="0"/>
                  <w:vAlign w:val="center"/>
                </w:tcPr>
                <w:p w14:paraId="6F5E9803">
                  <w:pPr>
                    <w:pStyle w:val="34"/>
                    <w:bidi w:val="0"/>
                    <w:rPr>
                      <w:rFonts w:hint="eastAsia"/>
                      <w:color w:val="auto"/>
                      <w:sz w:val="18"/>
                      <w:szCs w:val="18"/>
                      <w:highlight w:val="none"/>
                    </w:rPr>
                  </w:pPr>
                  <w:r>
                    <w:rPr>
                      <w:rFonts w:hint="eastAsia"/>
                      <w:color w:val="auto"/>
                      <w:sz w:val="18"/>
                      <w:szCs w:val="18"/>
                      <w:highlight w:val="none"/>
                      <w:lang w:val="en-US" w:eastAsia="zh-CN"/>
                    </w:rPr>
                    <w:t>搅拌机</w:t>
                  </w:r>
                </w:p>
              </w:tc>
              <w:tc>
                <w:tcPr>
                  <w:tcW w:w="423" w:type="pct"/>
                  <w:noWrap w:val="0"/>
                  <w:vAlign w:val="center"/>
                </w:tcPr>
                <w:p w14:paraId="2844A51B">
                  <w:pPr>
                    <w:pStyle w:val="34"/>
                    <w:bidi w:val="0"/>
                    <w:rPr>
                      <w:rFonts w:hint="eastAsia"/>
                      <w:color w:val="auto"/>
                      <w:sz w:val="18"/>
                      <w:szCs w:val="18"/>
                      <w:highlight w:val="none"/>
                    </w:rPr>
                  </w:pPr>
                  <w:r>
                    <w:rPr>
                      <w:rFonts w:hint="default"/>
                      <w:color w:val="auto"/>
                      <w:sz w:val="18"/>
                      <w:szCs w:val="18"/>
                      <w:highlight w:val="none"/>
                    </w:rPr>
                    <w:t>/</w:t>
                  </w:r>
                </w:p>
              </w:tc>
              <w:tc>
                <w:tcPr>
                  <w:tcW w:w="317" w:type="pct"/>
                  <w:noWrap w:val="0"/>
                  <w:vAlign w:val="center"/>
                </w:tcPr>
                <w:p w14:paraId="39B2E634">
                  <w:pPr>
                    <w:pStyle w:val="34"/>
                    <w:bidi w:val="0"/>
                    <w:rPr>
                      <w:color w:val="auto"/>
                      <w:sz w:val="18"/>
                      <w:szCs w:val="18"/>
                      <w:highlight w:val="none"/>
                    </w:rPr>
                  </w:pPr>
                  <w:r>
                    <w:rPr>
                      <w:rFonts w:hint="eastAsia"/>
                      <w:color w:val="auto"/>
                      <w:sz w:val="18"/>
                      <w:szCs w:val="18"/>
                      <w:highlight w:val="none"/>
                    </w:rPr>
                    <w:t>85</w:t>
                  </w:r>
                </w:p>
              </w:tc>
              <w:tc>
                <w:tcPr>
                  <w:tcW w:w="376" w:type="pct"/>
                  <w:vMerge w:val="restart"/>
                  <w:noWrap w:val="0"/>
                  <w:vAlign w:val="center"/>
                </w:tcPr>
                <w:p w14:paraId="49FBC8D4">
                  <w:pPr>
                    <w:pStyle w:val="34"/>
                    <w:bidi w:val="0"/>
                    <w:rPr>
                      <w:rFonts w:hint="eastAsia"/>
                      <w:color w:val="auto"/>
                      <w:sz w:val="18"/>
                      <w:szCs w:val="18"/>
                      <w:highlight w:val="none"/>
                    </w:rPr>
                  </w:pPr>
                  <w:r>
                    <w:rPr>
                      <w:rFonts w:hint="eastAsia"/>
                      <w:color w:val="auto"/>
                      <w:sz w:val="18"/>
                      <w:szCs w:val="18"/>
                      <w:highlight w:val="none"/>
                    </w:rPr>
                    <w:t>降噪、隔振、设备基础防震、选用低噪声设备</w:t>
                  </w:r>
                </w:p>
              </w:tc>
              <w:tc>
                <w:tcPr>
                  <w:tcW w:w="318" w:type="pct"/>
                  <w:noWrap w:val="0"/>
                  <w:vAlign w:val="center"/>
                </w:tcPr>
                <w:p w14:paraId="005CCAF7">
                  <w:pPr>
                    <w:pStyle w:val="34"/>
                    <w:bidi w:val="0"/>
                    <w:rPr>
                      <w:color w:val="auto"/>
                      <w:sz w:val="18"/>
                      <w:szCs w:val="18"/>
                      <w:highlight w:val="none"/>
                    </w:rPr>
                  </w:pPr>
                  <w:r>
                    <w:rPr>
                      <w:rFonts w:hint="eastAsia"/>
                      <w:color w:val="auto"/>
                      <w:sz w:val="18"/>
                      <w:szCs w:val="18"/>
                      <w:highlight w:val="none"/>
                    </w:rPr>
                    <w:t>-20</w:t>
                  </w:r>
                </w:p>
              </w:tc>
              <w:tc>
                <w:tcPr>
                  <w:tcW w:w="318" w:type="pct"/>
                  <w:noWrap w:val="0"/>
                  <w:vAlign w:val="center"/>
                </w:tcPr>
                <w:p w14:paraId="7039EEB5">
                  <w:pPr>
                    <w:pStyle w:val="34"/>
                    <w:bidi w:val="0"/>
                    <w:rPr>
                      <w:color w:val="auto"/>
                      <w:sz w:val="18"/>
                      <w:szCs w:val="18"/>
                      <w:highlight w:val="none"/>
                    </w:rPr>
                  </w:pPr>
                  <w:r>
                    <w:rPr>
                      <w:rFonts w:hint="eastAsia"/>
                      <w:color w:val="auto"/>
                      <w:sz w:val="18"/>
                      <w:szCs w:val="18"/>
                      <w:highlight w:val="none"/>
                    </w:rPr>
                    <w:t>-29</w:t>
                  </w:r>
                </w:p>
              </w:tc>
              <w:tc>
                <w:tcPr>
                  <w:tcW w:w="319" w:type="pct"/>
                  <w:noWrap w:val="0"/>
                  <w:vAlign w:val="center"/>
                </w:tcPr>
                <w:p w14:paraId="190BE499">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10</w:t>
                  </w:r>
                </w:p>
              </w:tc>
              <w:tc>
                <w:tcPr>
                  <w:tcW w:w="307" w:type="pct"/>
                  <w:noWrap w:val="0"/>
                  <w:vAlign w:val="center"/>
                </w:tcPr>
                <w:p w14:paraId="68AFBC61">
                  <w:pPr>
                    <w:pStyle w:val="34"/>
                    <w:bidi w:val="0"/>
                    <w:rPr>
                      <w:color w:val="auto"/>
                      <w:highlight w:val="none"/>
                    </w:rPr>
                  </w:pPr>
                  <w:r>
                    <w:rPr>
                      <w:rFonts w:hint="eastAsia"/>
                      <w:color w:val="auto"/>
                      <w:highlight w:val="none"/>
                      <w:lang w:val="en-US" w:eastAsia="zh-CN"/>
                    </w:rPr>
                    <w:t>1</w:t>
                  </w:r>
                </w:p>
              </w:tc>
              <w:tc>
                <w:tcPr>
                  <w:tcW w:w="406" w:type="pct"/>
                  <w:noWrap w:val="0"/>
                  <w:vAlign w:val="center"/>
                </w:tcPr>
                <w:p w14:paraId="4C440A3C">
                  <w:pPr>
                    <w:pStyle w:val="34"/>
                    <w:bidi w:val="0"/>
                    <w:rPr>
                      <w:rFonts w:hint="eastAsia"/>
                      <w:color w:val="auto"/>
                      <w:sz w:val="18"/>
                      <w:szCs w:val="18"/>
                      <w:highlight w:val="none"/>
                    </w:rPr>
                  </w:pPr>
                  <w:r>
                    <w:rPr>
                      <w:rFonts w:hint="eastAsia"/>
                      <w:color w:val="auto"/>
                      <w:sz w:val="18"/>
                      <w:szCs w:val="18"/>
                      <w:highlight w:val="none"/>
                    </w:rPr>
                    <w:t>79</w:t>
                  </w:r>
                </w:p>
              </w:tc>
              <w:tc>
                <w:tcPr>
                  <w:tcW w:w="450" w:type="pct"/>
                  <w:vMerge w:val="restart"/>
                  <w:noWrap w:val="0"/>
                  <w:vAlign w:val="center"/>
                </w:tcPr>
                <w:p w14:paraId="4208EFAB">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1800h（全</w:t>
                  </w:r>
                  <w:r>
                    <w:rPr>
                      <w:rFonts w:hint="eastAsia"/>
                      <w:color w:val="auto"/>
                      <w:sz w:val="18"/>
                      <w:szCs w:val="18"/>
                      <w:highlight w:val="none"/>
                    </w:rPr>
                    <w:t>昼间</w:t>
                  </w:r>
                  <w:r>
                    <w:rPr>
                      <w:rFonts w:hint="eastAsia"/>
                      <w:color w:val="auto"/>
                      <w:sz w:val="18"/>
                      <w:szCs w:val="18"/>
                      <w:highlight w:val="none"/>
                      <w:lang w:val="en-US" w:eastAsia="zh-CN"/>
                    </w:rPr>
                    <w:t>）</w:t>
                  </w:r>
                </w:p>
              </w:tc>
              <w:tc>
                <w:tcPr>
                  <w:tcW w:w="337" w:type="pct"/>
                  <w:noWrap w:val="0"/>
                  <w:vAlign w:val="center"/>
                </w:tcPr>
                <w:p w14:paraId="65A08D49">
                  <w:pPr>
                    <w:pStyle w:val="34"/>
                    <w:bidi w:val="0"/>
                    <w:rPr>
                      <w:color w:val="auto"/>
                      <w:sz w:val="18"/>
                      <w:szCs w:val="18"/>
                      <w:highlight w:val="none"/>
                    </w:rPr>
                  </w:pPr>
                  <w:r>
                    <w:rPr>
                      <w:rFonts w:hint="eastAsia"/>
                      <w:color w:val="auto"/>
                      <w:sz w:val="18"/>
                      <w:szCs w:val="18"/>
                      <w:highlight w:val="none"/>
                    </w:rPr>
                    <w:t>25</w:t>
                  </w:r>
                </w:p>
              </w:tc>
              <w:tc>
                <w:tcPr>
                  <w:tcW w:w="307" w:type="pct"/>
                  <w:noWrap w:val="0"/>
                  <w:vAlign w:val="center"/>
                </w:tcPr>
                <w:p w14:paraId="13633D52">
                  <w:pPr>
                    <w:pStyle w:val="34"/>
                    <w:bidi w:val="0"/>
                    <w:rPr>
                      <w:color w:val="auto"/>
                      <w:sz w:val="18"/>
                      <w:szCs w:val="18"/>
                      <w:highlight w:val="none"/>
                    </w:rPr>
                  </w:pPr>
                  <w:r>
                    <w:rPr>
                      <w:rFonts w:hint="eastAsia"/>
                      <w:color w:val="auto"/>
                      <w:sz w:val="18"/>
                      <w:szCs w:val="18"/>
                      <w:highlight w:val="none"/>
                    </w:rPr>
                    <w:t>54</w:t>
                  </w:r>
                </w:p>
              </w:tc>
              <w:tc>
                <w:tcPr>
                  <w:tcW w:w="261" w:type="pct"/>
                  <w:vMerge w:val="restart"/>
                  <w:noWrap w:val="0"/>
                  <w:vAlign w:val="center"/>
                </w:tcPr>
                <w:p w14:paraId="6B44D951">
                  <w:pPr>
                    <w:pStyle w:val="34"/>
                    <w:bidi w:val="0"/>
                    <w:rPr>
                      <w:rFonts w:hint="eastAsia"/>
                      <w:color w:val="auto"/>
                      <w:sz w:val="18"/>
                      <w:szCs w:val="18"/>
                      <w:highlight w:val="none"/>
                    </w:rPr>
                  </w:pPr>
                  <w:r>
                    <w:rPr>
                      <w:rFonts w:hint="eastAsia"/>
                      <w:color w:val="auto"/>
                      <w:sz w:val="18"/>
                      <w:szCs w:val="18"/>
                      <w:highlight w:val="none"/>
                    </w:rPr>
                    <w:t>1</w:t>
                  </w:r>
                </w:p>
              </w:tc>
            </w:tr>
            <w:tr w14:paraId="0FE9DF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trPr>
              <w:tc>
                <w:tcPr>
                  <w:tcW w:w="268" w:type="pct"/>
                  <w:noWrap w:val="0"/>
                  <w:vAlign w:val="center"/>
                </w:tcPr>
                <w:p w14:paraId="5BE93853">
                  <w:pPr>
                    <w:pStyle w:val="34"/>
                    <w:bidi w:val="0"/>
                    <w:rPr>
                      <w:rFonts w:hint="eastAsia"/>
                      <w:color w:val="auto"/>
                      <w:sz w:val="18"/>
                      <w:szCs w:val="18"/>
                      <w:highlight w:val="none"/>
                    </w:rPr>
                  </w:pPr>
                  <w:r>
                    <w:rPr>
                      <w:color w:val="auto"/>
                      <w:sz w:val="18"/>
                      <w:szCs w:val="18"/>
                      <w:highlight w:val="none"/>
                    </w:rPr>
                    <w:t>2</w:t>
                  </w:r>
                </w:p>
              </w:tc>
              <w:tc>
                <w:tcPr>
                  <w:tcW w:w="298" w:type="pct"/>
                  <w:vMerge w:val="continue"/>
                  <w:noWrap w:val="0"/>
                  <w:vAlign w:val="center"/>
                </w:tcPr>
                <w:p w14:paraId="630A0388">
                  <w:pPr>
                    <w:pStyle w:val="34"/>
                    <w:bidi w:val="0"/>
                    <w:rPr>
                      <w:rFonts w:hint="eastAsia"/>
                      <w:color w:val="auto"/>
                      <w:sz w:val="18"/>
                      <w:szCs w:val="18"/>
                      <w:highlight w:val="none"/>
                    </w:rPr>
                  </w:pPr>
                </w:p>
              </w:tc>
              <w:tc>
                <w:tcPr>
                  <w:tcW w:w="288" w:type="pct"/>
                  <w:noWrap w:val="0"/>
                  <w:vAlign w:val="center"/>
                </w:tcPr>
                <w:p w14:paraId="0EAC1E6E">
                  <w:pPr>
                    <w:pStyle w:val="34"/>
                    <w:bidi w:val="0"/>
                    <w:rPr>
                      <w:rFonts w:hint="eastAsia" w:eastAsia="宋体"/>
                      <w:color w:val="auto"/>
                      <w:sz w:val="18"/>
                      <w:szCs w:val="18"/>
                      <w:highlight w:val="none"/>
                      <w:lang w:val="en-US" w:eastAsia="zh-CN"/>
                    </w:rPr>
                  </w:pPr>
                  <w:r>
                    <w:rPr>
                      <w:rFonts w:hint="eastAsia"/>
                      <w:color w:val="auto"/>
                      <w:sz w:val="18"/>
                      <w:szCs w:val="18"/>
                      <w:highlight w:val="none"/>
                      <w:lang w:val="en-US" w:eastAsia="zh-CN"/>
                    </w:rPr>
                    <w:t>空压机</w:t>
                  </w:r>
                </w:p>
              </w:tc>
              <w:tc>
                <w:tcPr>
                  <w:tcW w:w="423" w:type="pct"/>
                  <w:noWrap w:val="0"/>
                  <w:vAlign w:val="center"/>
                </w:tcPr>
                <w:p w14:paraId="3236FE51">
                  <w:pPr>
                    <w:pStyle w:val="34"/>
                    <w:bidi w:val="0"/>
                    <w:rPr>
                      <w:rFonts w:hint="eastAsia"/>
                      <w:color w:val="auto"/>
                      <w:sz w:val="18"/>
                      <w:szCs w:val="18"/>
                      <w:highlight w:val="none"/>
                    </w:rPr>
                  </w:pPr>
                  <w:r>
                    <w:rPr>
                      <w:rFonts w:hint="default"/>
                      <w:color w:val="auto"/>
                      <w:sz w:val="18"/>
                      <w:szCs w:val="18"/>
                      <w:highlight w:val="none"/>
                    </w:rPr>
                    <w:t>/</w:t>
                  </w:r>
                </w:p>
              </w:tc>
              <w:tc>
                <w:tcPr>
                  <w:tcW w:w="317" w:type="pct"/>
                  <w:noWrap w:val="0"/>
                  <w:vAlign w:val="center"/>
                </w:tcPr>
                <w:p w14:paraId="60D844E4">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85</w:t>
                  </w:r>
                </w:p>
              </w:tc>
              <w:tc>
                <w:tcPr>
                  <w:tcW w:w="376" w:type="pct"/>
                  <w:vMerge w:val="continue"/>
                  <w:noWrap w:val="0"/>
                  <w:vAlign w:val="center"/>
                </w:tcPr>
                <w:p w14:paraId="3E2E96B1">
                  <w:pPr>
                    <w:pStyle w:val="34"/>
                    <w:bidi w:val="0"/>
                    <w:rPr>
                      <w:rFonts w:hint="eastAsia"/>
                      <w:color w:val="auto"/>
                      <w:sz w:val="18"/>
                      <w:szCs w:val="18"/>
                      <w:highlight w:val="none"/>
                    </w:rPr>
                  </w:pPr>
                </w:p>
              </w:tc>
              <w:tc>
                <w:tcPr>
                  <w:tcW w:w="318" w:type="pct"/>
                  <w:noWrap w:val="0"/>
                  <w:vAlign w:val="center"/>
                </w:tcPr>
                <w:p w14:paraId="2E2C492C">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-18</w:t>
                  </w:r>
                </w:p>
              </w:tc>
              <w:tc>
                <w:tcPr>
                  <w:tcW w:w="318" w:type="pct"/>
                  <w:noWrap w:val="0"/>
                  <w:vAlign w:val="center"/>
                </w:tcPr>
                <w:p w14:paraId="27BB0CD2">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-29</w:t>
                  </w:r>
                </w:p>
              </w:tc>
              <w:tc>
                <w:tcPr>
                  <w:tcW w:w="319" w:type="pct"/>
                  <w:noWrap w:val="0"/>
                  <w:vAlign w:val="center"/>
                </w:tcPr>
                <w:p w14:paraId="79046AD1">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1.5</w:t>
                  </w:r>
                </w:p>
              </w:tc>
              <w:tc>
                <w:tcPr>
                  <w:tcW w:w="307" w:type="pct"/>
                  <w:noWrap w:val="0"/>
                  <w:vAlign w:val="center"/>
                </w:tcPr>
                <w:p w14:paraId="11687371">
                  <w:pPr>
                    <w:pStyle w:val="34"/>
                    <w:bidi w:val="0"/>
                    <w:rPr>
                      <w:color w:val="auto"/>
                      <w:highlight w:val="none"/>
                    </w:rPr>
                  </w:pPr>
                  <w:r>
                    <w:rPr>
                      <w:rFonts w:hint="eastAsia"/>
                      <w:color w:val="auto"/>
                      <w:highlight w:val="none"/>
                      <w:lang w:val="en-US" w:eastAsia="zh-CN"/>
                    </w:rPr>
                    <w:t>1</w:t>
                  </w:r>
                </w:p>
              </w:tc>
              <w:tc>
                <w:tcPr>
                  <w:tcW w:w="406" w:type="pct"/>
                  <w:noWrap w:val="0"/>
                  <w:vAlign w:val="center"/>
                </w:tcPr>
                <w:p w14:paraId="652D97AB">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79</w:t>
                  </w:r>
                </w:p>
              </w:tc>
              <w:tc>
                <w:tcPr>
                  <w:tcW w:w="450" w:type="pct"/>
                  <w:vMerge w:val="continue"/>
                  <w:noWrap w:val="0"/>
                  <w:vAlign w:val="center"/>
                </w:tcPr>
                <w:p w14:paraId="058A25B7">
                  <w:pPr>
                    <w:pStyle w:val="34"/>
                    <w:bidi w:val="0"/>
                    <w:rPr>
                      <w:rFonts w:hint="eastAsia"/>
                      <w:color w:val="auto"/>
                      <w:sz w:val="18"/>
                      <w:szCs w:val="18"/>
                      <w:highlight w:val="none"/>
                    </w:rPr>
                  </w:pPr>
                </w:p>
              </w:tc>
              <w:tc>
                <w:tcPr>
                  <w:tcW w:w="337" w:type="pct"/>
                  <w:noWrap w:val="0"/>
                  <w:vAlign w:val="center"/>
                </w:tcPr>
                <w:p w14:paraId="7EC08481">
                  <w:pPr>
                    <w:pStyle w:val="34"/>
                    <w:bidi w:val="0"/>
                    <w:rPr>
                      <w:rFonts w:hint="eastAsia"/>
                      <w:color w:val="auto"/>
                      <w:sz w:val="18"/>
                      <w:szCs w:val="18"/>
                      <w:highlight w:val="none"/>
                    </w:rPr>
                  </w:pPr>
                  <w:r>
                    <w:rPr>
                      <w:rFonts w:hint="eastAsia"/>
                      <w:color w:val="auto"/>
                      <w:sz w:val="18"/>
                      <w:szCs w:val="18"/>
                      <w:highlight w:val="none"/>
                    </w:rPr>
                    <w:t>25</w:t>
                  </w:r>
                </w:p>
              </w:tc>
              <w:tc>
                <w:tcPr>
                  <w:tcW w:w="307" w:type="pct"/>
                  <w:noWrap w:val="0"/>
                  <w:vAlign w:val="center"/>
                </w:tcPr>
                <w:p w14:paraId="6C61BEB9">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54</w:t>
                  </w:r>
                </w:p>
              </w:tc>
              <w:tc>
                <w:tcPr>
                  <w:tcW w:w="261" w:type="pct"/>
                  <w:vMerge w:val="continue"/>
                  <w:noWrap w:val="0"/>
                  <w:vAlign w:val="center"/>
                </w:tcPr>
                <w:p w14:paraId="223A6E9F">
                  <w:pPr>
                    <w:pStyle w:val="34"/>
                    <w:bidi w:val="0"/>
                    <w:rPr>
                      <w:rFonts w:hint="eastAsia"/>
                      <w:color w:val="auto"/>
                      <w:sz w:val="18"/>
                      <w:szCs w:val="18"/>
                      <w:highlight w:val="none"/>
                    </w:rPr>
                  </w:pPr>
                </w:p>
              </w:tc>
            </w:tr>
            <w:tr w14:paraId="042E7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trPr>
              <w:tc>
                <w:tcPr>
                  <w:tcW w:w="268" w:type="pct"/>
                  <w:noWrap w:val="0"/>
                  <w:vAlign w:val="center"/>
                </w:tcPr>
                <w:p w14:paraId="3DA7CD89">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3</w:t>
                  </w:r>
                </w:p>
              </w:tc>
              <w:tc>
                <w:tcPr>
                  <w:tcW w:w="298" w:type="pct"/>
                  <w:vMerge w:val="continue"/>
                  <w:noWrap w:val="0"/>
                  <w:vAlign w:val="center"/>
                </w:tcPr>
                <w:p w14:paraId="5D10B927">
                  <w:pPr>
                    <w:pStyle w:val="34"/>
                    <w:bidi w:val="0"/>
                    <w:rPr>
                      <w:rFonts w:hint="eastAsia"/>
                      <w:color w:val="auto"/>
                      <w:sz w:val="18"/>
                      <w:szCs w:val="18"/>
                      <w:highlight w:val="none"/>
                    </w:rPr>
                  </w:pPr>
                </w:p>
              </w:tc>
              <w:tc>
                <w:tcPr>
                  <w:tcW w:w="288" w:type="pct"/>
                  <w:noWrap w:val="0"/>
                  <w:vAlign w:val="center"/>
                </w:tcPr>
                <w:p w14:paraId="7567D93B">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风机</w:t>
                  </w:r>
                </w:p>
              </w:tc>
              <w:tc>
                <w:tcPr>
                  <w:tcW w:w="423" w:type="pct"/>
                  <w:noWrap w:val="0"/>
                  <w:vAlign w:val="center"/>
                </w:tcPr>
                <w:p w14:paraId="09216015">
                  <w:pPr>
                    <w:pStyle w:val="34"/>
                    <w:bidi w:val="0"/>
                    <w:ind w:firstLine="0" w:firstLineChars="0"/>
                    <w:rPr>
                      <w:rFonts w:hint="default"/>
                      <w:color w:val="auto"/>
                      <w:sz w:val="18"/>
                      <w:szCs w:val="18"/>
                      <w:highlight w:val="none"/>
                    </w:rPr>
                  </w:pPr>
                  <w:r>
                    <w:rPr>
                      <w:rFonts w:hint="default"/>
                      <w:color w:val="auto"/>
                      <w:sz w:val="18"/>
                      <w:szCs w:val="18"/>
                      <w:highlight w:val="none"/>
                    </w:rPr>
                    <w:t>/</w:t>
                  </w:r>
                </w:p>
              </w:tc>
              <w:tc>
                <w:tcPr>
                  <w:tcW w:w="317" w:type="pct"/>
                  <w:noWrap w:val="0"/>
                  <w:vAlign w:val="center"/>
                </w:tcPr>
                <w:p w14:paraId="4C6EB63E">
                  <w:pPr>
                    <w:pStyle w:val="34"/>
                    <w:bidi w:val="0"/>
                    <w:ind w:firstLine="0" w:firstLineChars="0"/>
                    <w:rPr>
                      <w:rFonts w:hint="eastAsia"/>
                      <w:color w:val="auto"/>
                      <w:sz w:val="18"/>
                      <w:szCs w:val="18"/>
                      <w:highlight w:val="none"/>
                    </w:rPr>
                  </w:pPr>
                  <w:r>
                    <w:rPr>
                      <w:rFonts w:hint="eastAsia"/>
                      <w:color w:val="auto"/>
                      <w:sz w:val="18"/>
                      <w:szCs w:val="18"/>
                      <w:highlight w:val="none"/>
                    </w:rPr>
                    <w:t>8</w:t>
                  </w:r>
                  <w:r>
                    <w:rPr>
                      <w:rFonts w:hint="eastAsia"/>
                      <w:color w:val="auto"/>
                      <w:sz w:val="18"/>
                      <w:szCs w:val="18"/>
                      <w:highlight w:val="none"/>
                      <w:lang w:val="en-US" w:eastAsia="zh-CN"/>
                    </w:rPr>
                    <w:t>5</w:t>
                  </w:r>
                </w:p>
              </w:tc>
              <w:tc>
                <w:tcPr>
                  <w:tcW w:w="376" w:type="pct"/>
                  <w:vMerge w:val="continue"/>
                  <w:noWrap w:val="0"/>
                  <w:vAlign w:val="center"/>
                </w:tcPr>
                <w:p w14:paraId="401F4591">
                  <w:pPr>
                    <w:pStyle w:val="34"/>
                    <w:bidi w:val="0"/>
                    <w:rPr>
                      <w:rFonts w:hint="eastAsia"/>
                      <w:color w:val="auto"/>
                      <w:sz w:val="18"/>
                      <w:szCs w:val="18"/>
                      <w:highlight w:val="none"/>
                    </w:rPr>
                  </w:pPr>
                </w:p>
              </w:tc>
              <w:tc>
                <w:tcPr>
                  <w:tcW w:w="318" w:type="pct"/>
                  <w:noWrap w:val="0"/>
                  <w:vAlign w:val="center"/>
                </w:tcPr>
                <w:p w14:paraId="081562D1">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-20</w:t>
                  </w:r>
                </w:p>
              </w:tc>
              <w:tc>
                <w:tcPr>
                  <w:tcW w:w="318" w:type="pct"/>
                  <w:noWrap w:val="0"/>
                  <w:vAlign w:val="center"/>
                </w:tcPr>
                <w:p w14:paraId="2A0A778E">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-29</w:t>
                  </w:r>
                </w:p>
              </w:tc>
              <w:tc>
                <w:tcPr>
                  <w:tcW w:w="319" w:type="pct"/>
                  <w:noWrap w:val="0"/>
                  <w:vAlign w:val="center"/>
                </w:tcPr>
                <w:p w14:paraId="3BEB9E29">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10.5</w:t>
                  </w:r>
                </w:p>
              </w:tc>
              <w:tc>
                <w:tcPr>
                  <w:tcW w:w="307" w:type="pct"/>
                  <w:noWrap w:val="0"/>
                  <w:vAlign w:val="center"/>
                </w:tcPr>
                <w:p w14:paraId="780BECB5">
                  <w:pPr>
                    <w:pStyle w:val="34"/>
                    <w:bidi w:val="0"/>
                    <w:rPr>
                      <w:rFonts w:hint="eastAsia" w:eastAsia="宋体"/>
                      <w:color w:val="auto"/>
                      <w:sz w:val="18"/>
                      <w:szCs w:val="18"/>
                      <w:highlight w:val="none"/>
                      <w:lang w:val="en-US" w:eastAsia="zh-CN"/>
                    </w:rPr>
                  </w:pPr>
                  <w:r>
                    <w:rPr>
                      <w:rFonts w:hint="eastAsia"/>
                      <w:color w:val="auto"/>
                      <w:sz w:val="18"/>
                      <w:szCs w:val="18"/>
                      <w:highlight w:val="none"/>
                      <w:lang w:val="en-US" w:eastAsia="zh-CN"/>
                    </w:rPr>
                    <w:t>1</w:t>
                  </w:r>
                </w:p>
              </w:tc>
              <w:tc>
                <w:tcPr>
                  <w:tcW w:w="406" w:type="pct"/>
                  <w:noWrap w:val="0"/>
                  <w:vAlign w:val="center"/>
                </w:tcPr>
                <w:p w14:paraId="4BA42CF0">
                  <w:pPr>
                    <w:pStyle w:val="34"/>
                    <w:bidi w:val="0"/>
                    <w:ind w:firstLine="0" w:firstLineChars="0"/>
                    <w:rPr>
                      <w:rFonts w:hint="eastAsia"/>
                      <w:color w:val="auto"/>
                      <w:sz w:val="18"/>
                      <w:szCs w:val="18"/>
                      <w:highlight w:val="none"/>
                    </w:rPr>
                  </w:pPr>
                  <w:r>
                    <w:rPr>
                      <w:rFonts w:hint="eastAsia"/>
                      <w:color w:val="auto"/>
                      <w:sz w:val="18"/>
                      <w:szCs w:val="18"/>
                      <w:highlight w:val="none"/>
                    </w:rPr>
                    <w:t>7</w:t>
                  </w:r>
                  <w:r>
                    <w:rPr>
                      <w:rFonts w:hint="eastAsia"/>
                      <w:color w:val="auto"/>
                      <w:sz w:val="18"/>
                      <w:szCs w:val="18"/>
                      <w:highlight w:val="none"/>
                      <w:lang w:val="en-US" w:eastAsia="zh-CN"/>
                    </w:rPr>
                    <w:t>9</w:t>
                  </w:r>
                </w:p>
              </w:tc>
              <w:tc>
                <w:tcPr>
                  <w:tcW w:w="450" w:type="pct"/>
                  <w:vMerge w:val="continue"/>
                  <w:noWrap w:val="0"/>
                  <w:vAlign w:val="center"/>
                </w:tcPr>
                <w:p w14:paraId="14304D5F">
                  <w:pPr>
                    <w:pStyle w:val="34"/>
                    <w:bidi w:val="0"/>
                    <w:ind w:firstLine="0" w:firstLineChars="0"/>
                    <w:rPr>
                      <w:rFonts w:hint="eastAsia"/>
                      <w:color w:val="auto"/>
                      <w:sz w:val="18"/>
                      <w:szCs w:val="18"/>
                      <w:highlight w:val="none"/>
                    </w:rPr>
                  </w:pPr>
                </w:p>
              </w:tc>
              <w:tc>
                <w:tcPr>
                  <w:tcW w:w="337" w:type="pct"/>
                  <w:noWrap w:val="0"/>
                  <w:vAlign w:val="center"/>
                </w:tcPr>
                <w:p w14:paraId="37A2B82D">
                  <w:pPr>
                    <w:pStyle w:val="34"/>
                    <w:bidi w:val="0"/>
                    <w:ind w:firstLine="0" w:firstLineChars="0"/>
                    <w:rPr>
                      <w:rFonts w:hint="eastAsia"/>
                      <w:color w:val="auto"/>
                      <w:sz w:val="18"/>
                      <w:szCs w:val="18"/>
                      <w:highlight w:val="none"/>
                    </w:rPr>
                  </w:pPr>
                  <w:r>
                    <w:rPr>
                      <w:rFonts w:hint="eastAsia"/>
                      <w:color w:val="auto"/>
                      <w:sz w:val="18"/>
                      <w:szCs w:val="18"/>
                      <w:highlight w:val="none"/>
                    </w:rPr>
                    <w:t>25</w:t>
                  </w:r>
                </w:p>
              </w:tc>
              <w:tc>
                <w:tcPr>
                  <w:tcW w:w="307" w:type="pct"/>
                  <w:noWrap w:val="0"/>
                  <w:vAlign w:val="center"/>
                </w:tcPr>
                <w:p w14:paraId="3DD0A2BB">
                  <w:pPr>
                    <w:pStyle w:val="34"/>
                    <w:bidi w:val="0"/>
                    <w:ind w:firstLine="0" w:firstLineChars="0"/>
                    <w:rPr>
                      <w:rFonts w:hint="eastAsia"/>
                      <w:color w:val="auto"/>
                      <w:sz w:val="18"/>
                      <w:szCs w:val="18"/>
                      <w:highlight w:val="none"/>
                      <w:lang w:val="en-US" w:eastAsia="zh-CN"/>
                    </w:rPr>
                  </w:pPr>
                  <w:r>
                    <w:rPr>
                      <w:rFonts w:hint="eastAsia"/>
                      <w:color w:val="auto"/>
                      <w:sz w:val="18"/>
                      <w:szCs w:val="18"/>
                      <w:highlight w:val="none"/>
                      <w:lang w:val="en-US" w:eastAsia="zh-CN"/>
                    </w:rPr>
                    <w:t>54</w:t>
                  </w:r>
                </w:p>
              </w:tc>
              <w:tc>
                <w:tcPr>
                  <w:tcW w:w="261" w:type="pct"/>
                  <w:vMerge w:val="continue"/>
                  <w:noWrap w:val="0"/>
                  <w:vAlign w:val="center"/>
                </w:tcPr>
                <w:p w14:paraId="5BD053B9">
                  <w:pPr>
                    <w:pStyle w:val="34"/>
                    <w:bidi w:val="0"/>
                    <w:rPr>
                      <w:rFonts w:hint="eastAsia"/>
                      <w:color w:val="auto"/>
                      <w:sz w:val="18"/>
                      <w:szCs w:val="18"/>
                      <w:highlight w:val="none"/>
                    </w:rPr>
                  </w:pPr>
                </w:p>
              </w:tc>
            </w:tr>
          </w:tbl>
          <w:p w14:paraId="67969DA3">
            <w:pPr>
              <w:widowControl/>
              <w:jc w:val="left"/>
              <w:rPr>
                <w:rFonts w:hint="eastAsia" w:ascii="宋体" w:hAnsi="宋体" w:cs="宋体"/>
                <w:color w:val="auto"/>
                <w:kern w:val="0"/>
                <w:sz w:val="18"/>
                <w:szCs w:val="18"/>
                <w:highlight w:val="none"/>
                <w:lang w:bidi="ar"/>
              </w:rPr>
            </w:pPr>
            <w:r>
              <w:rPr>
                <w:rFonts w:hint="eastAsia" w:ascii="宋体" w:hAnsi="宋体" w:cs="宋体"/>
                <w:color w:val="auto"/>
                <w:kern w:val="0"/>
                <w:sz w:val="18"/>
                <w:szCs w:val="18"/>
                <w:highlight w:val="none"/>
                <w:lang w:bidi="ar"/>
              </w:rPr>
              <w:t>注：坐标原点为项目厂界中心，东向为</w:t>
            </w:r>
            <w:r>
              <w:rPr>
                <w:color w:val="auto"/>
                <w:kern w:val="0"/>
                <w:sz w:val="18"/>
                <w:szCs w:val="18"/>
                <w:highlight w:val="none"/>
                <w:lang w:bidi="ar"/>
              </w:rPr>
              <w:t>X</w:t>
            </w:r>
            <w:r>
              <w:rPr>
                <w:rFonts w:hint="eastAsia" w:ascii="宋体" w:hAnsi="宋体" w:cs="宋体"/>
                <w:color w:val="auto"/>
                <w:kern w:val="0"/>
                <w:sz w:val="18"/>
                <w:szCs w:val="18"/>
                <w:highlight w:val="none"/>
                <w:lang w:bidi="ar"/>
              </w:rPr>
              <w:t>轴正方向，北向为</w:t>
            </w:r>
            <w:r>
              <w:rPr>
                <w:color w:val="auto"/>
                <w:kern w:val="0"/>
                <w:sz w:val="18"/>
                <w:szCs w:val="18"/>
                <w:highlight w:val="none"/>
                <w:lang w:bidi="ar"/>
              </w:rPr>
              <w:t>Y</w:t>
            </w:r>
            <w:r>
              <w:rPr>
                <w:rFonts w:hint="eastAsia" w:ascii="宋体" w:hAnsi="宋体" w:cs="宋体"/>
                <w:color w:val="auto"/>
                <w:kern w:val="0"/>
                <w:sz w:val="18"/>
                <w:szCs w:val="18"/>
                <w:highlight w:val="none"/>
                <w:lang w:bidi="ar"/>
              </w:rPr>
              <w:t>轴正方向，</w:t>
            </w:r>
            <w:r>
              <w:rPr>
                <w:color w:val="auto"/>
                <w:kern w:val="0"/>
                <w:sz w:val="18"/>
                <w:szCs w:val="18"/>
                <w:highlight w:val="none"/>
                <w:lang w:bidi="ar"/>
              </w:rPr>
              <w:t>Z</w:t>
            </w:r>
            <w:r>
              <w:rPr>
                <w:rFonts w:hint="eastAsia" w:ascii="宋体" w:hAnsi="宋体" w:cs="宋体"/>
                <w:color w:val="auto"/>
                <w:kern w:val="0"/>
                <w:sz w:val="18"/>
                <w:szCs w:val="18"/>
                <w:highlight w:val="none"/>
                <w:lang w:bidi="ar"/>
              </w:rPr>
              <w:t>轴以厂界南侧地平面为</w:t>
            </w:r>
            <w:r>
              <w:rPr>
                <w:color w:val="auto"/>
                <w:kern w:val="0"/>
                <w:sz w:val="18"/>
                <w:szCs w:val="18"/>
                <w:highlight w:val="none"/>
                <w:lang w:bidi="ar"/>
              </w:rPr>
              <w:t>0</w:t>
            </w:r>
            <w:r>
              <w:rPr>
                <w:rFonts w:hint="eastAsia" w:ascii="宋体" w:hAnsi="宋体" w:cs="宋体"/>
                <w:color w:val="auto"/>
                <w:kern w:val="0"/>
                <w:sz w:val="18"/>
                <w:szCs w:val="18"/>
                <w:highlight w:val="none"/>
                <w:lang w:bidi="ar"/>
              </w:rPr>
              <w:t>点。</w:t>
            </w:r>
          </w:p>
          <w:p w14:paraId="43916398">
            <w:pPr>
              <w:pStyle w:val="17"/>
              <w:spacing w:line="360" w:lineRule="auto"/>
              <w:ind w:firstLine="482" w:firstLineChars="200"/>
              <w:rPr>
                <w:b/>
                <w:bCs/>
                <w:color w:val="auto"/>
                <w:sz w:val="24"/>
                <w:highlight w:val="none"/>
              </w:rPr>
            </w:pPr>
            <w:r>
              <w:rPr>
                <w:rFonts w:hint="eastAsia"/>
                <w:b/>
                <w:bCs/>
                <w:color w:val="auto"/>
                <w:sz w:val="24"/>
                <w:highlight w:val="none"/>
                <w:lang w:val="en-US" w:eastAsia="zh-CN"/>
              </w:rPr>
              <w:t>2、</w:t>
            </w:r>
            <w:r>
              <w:rPr>
                <w:rFonts w:hint="eastAsia"/>
                <w:b/>
                <w:bCs/>
                <w:color w:val="auto"/>
                <w:sz w:val="24"/>
                <w:highlight w:val="none"/>
              </w:rPr>
              <w:t>噪声环境影响预测</w:t>
            </w:r>
          </w:p>
          <w:p w14:paraId="68372085">
            <w:pPr>
              <w:adjustRightInd w:val="0"/>
              <w:snapToGrid w:val="0"/>
              <w:spacing w:line="360" w:lineRule="auto"/>
              <w:ind w:firstLine="480" w:firstLineChars="200"/>
              <w:rPr>
                <w:color w:val="auto"/>
                <w:sz w:val="24"/>
                <w:highlight w:val="none"/>
              </w:rPr>
            </w:pPr>
            <w:r>
              <w:rPr>
                <w:color w:val="auto"/>
                <w:sz w:val="24"/>
                <w:highlight w:val="none"/>
              </w:rPr>
              <w:t>根据《环境影响评价技术导则 声环境》（HJ2.4—2021）的要求，并结合建设项目声源的噪声排放特点，选择点声源预测模式，预测本项目运营期设备噪声对厂界</w:t>
            </w:r>
            <w:r>
              <w:rPr>
                <w:rFonts w:hint="eastAsia"/>
                <w:color w:val="auto"/>
                <w:sz w:val="24"/>
                <w:highlight w:val="none"/>
              </w:rPr>
              <w:t>及敏感点</w:t>
            </w:r>
            <w:r>
              <w:rPr>
                <w:color w:val="auto"/>
                <w:sz w:val="24"/>
                <w:highlight w:val="none"/>
              </w:rPr>
              <w:t>的影响。具体预测模式如下：</w:t>
            </w:r>
          </w:p>
          <w:p w14:paraId="760DC218">
            <w:pPr>
              <w:pStyle w:val="93"/>
              <w:spacing w:after="0"/>
              <w:rPr>
                <w:rFonts w:hint="eastAsia"/>
                <w:color w:val="auto"/>
                <w:szCs w:val="24"/>
                <w:highlight w:val="none"/>
              </w:rPr>
            </w:pPr>
            <w:r>
              <w:rPr>
                <w:rFonts w:ascii="Times New Roman" w:hAnsi="Times New Roman"/>
                <w:color w:val="auto"/>
                <w:szCs w:val="24"/>
                <w:highlight w:val="none"/>
              </w:rPr>
              <w:t>噪声预测值计算公式为：</w:t>
            </w:r>
          </w:p>
          <w:p w14:paraId="2EDA8590">
            <w:pPr>
              <w:spacing w:line="360" w:lineRule="auto"/>
              <w:ind w:firstLine="1200" w:firstLineChars="500"/>
              <w:rPr>
                <w:color w:val="auto"/>
                <w:sz w:val="24"/>
                <w:highlight w:val="none"/>
              </w:rPr>
            </w:pPr>
            <w:r>
              <w:rPr>
                <w:color w:val="auto"/>
                <w:sz w:val="24"/>
                <w:highlight w:val="none"/>
              </w:rPr>
              <w:drawing>
                <wp:inline distT="0" distB="0" distL="114300" distR="114300">
                  <wp:extent cx="2727960" cy="464820"/>
                  <wp:effectExtent l="0" t="0" r="15240" b="11430"/>
                  <wp:docPr id="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pic:cNvPicPr>
                            <a:picLocks noChangeAspect="1"/>
                          </pic:cNvPicPr>
                        </pic:nvPicPr>
                        <pic:blipFill>
                          <a:blip r:embed="rId28"/>
                          <a:stretch>
                            <a:fillRect/>
                          </a:stretch>
                        </pic:blipFill>
                        <pic:spPr>
                          <a:xfrm>
                            <a:off x="0" y="0"/>
                            <a:ext cx="2727960" cy="464820"/>
                          </a:xfrm>
                          <a:prstGeom prst="rect">
                            <a:avLst/>
                          </a:prstGeom>
                          <a:noFill/>
                          <a:ln>
                            <a:noFill/>
                          </a:ln>
                        </pic:spPr>
                      </pic:pic>
                    </a:graphicData>
                  </a:graphic>
                </wp:inline>
              </w:drawing>
            </w:r>
          </w:p>
          <w:p w14:paraId="40BC3ABB">
            <w:pPr>
              <w:spacing w:line="360" w:lineRule="auto"/>
              <w:ind w:firstLine="1200" w:firstLineChars="500"/>
              <w:rPr>
                <w:rFonts w:hint="eastAsia"/>
                <w:color w:val="auto"/>
                <w:sz w:val="24"/>
                <w:highlight w:val="none"/>
              </w:rPr>
            </w:pPr>
            <w:r>
              <w:rPr>
                <w:color w:val="auto"/>
                <w:sz w:val="24"/>
                <w:highlight w:val="none"/>
              </w:rPr>
              <w:t>其中：L</w:t>
            </w:r>
            <w:r>
              <w:rPr>
                <w:rFonts w:hint="eastAsia"/>
                <w:color w:val="auto"/>
                <w:sz w:val="24"/>
                <w:highlight w:val="none"/>
                <w:vertAlign w:val="subscript"/>
              </w:rPr>
              <w:t>eq</w:t>
            </w:r>
            <w:r>
              <w:rPr>
                <w:color w:val="auto"/>
                <w:sz w:val="24"/>
                <w:highlight w:val="none"/>
              </w:rPr>
              <w:t>—</w:t>
            </w:r>
            <w:r>
              <w:rPr>
                <w:rFonts w:hint="eastAsia"/>
                <w:color w:val="auto"/>
                <w:sz w:val="24"/>
                <w:highlight w:val="none"/>
              </w:rPr>
              <w:t>预测点的噪声预测值，</w:t>
            </w:r>
            <w:r>
              <w:rPr>
                <w:color w:val="auto"/>
                <w:sz w:val="24"/>
                <w:highlight w:val="none"/>
              </w:rPr>
              <w:t>dB</w:t>
            </w:r>
            <w:r>
              <w:rPr>
                <w:rFonts w:hint="eastAsia"/>
                <w:color w:val="auto"/>
                <w:sz w:val="24"/>
                <w:highlight w:val="none"/>
              </w:rPr>
              <w:t>；</w:t>
            </w:r>
          </w:p>
          <w:p w14:paraId="7BBBF5F5">
            <w:pPr>
              <w:spacing w:line="360" w:lineRule="auto"/>
              <w:ind w:firstLine="1920" w:firstLineChars="800"/>
              <w:rPr>
                <w:rFonts w:hint="eastAsia"/>
                <w:color w:val="auto"/>
                <w:sz w:val="24"/>
                <w:highlight w:val="none"/>
              </w:rPr>
            </w:pPr>
            <w:r>
              <w:rPr>
                <w:color w:val="auto"/>
                <w:sz w:val="24"/>
                <w:highlight w:val="none"/>
              </w:rPr>
              <w:t>L</w:t>
            </w:r>
            <w:r>
              <w:rPr>
                <w:rFonts w:hint="eastAsia"/>
                <w:color w:val="auto"/>
                <w:sz w:val="24"/>
                <w:highlight w:val="none"/>
                <w:vertAlign w:val="subscript"/>
              </w:rPr>
              <w:t>eqg</w:t>
            </w:r>
            <w:r>
              <w:rPr>
                <w:color w:val="auto"/>
                <w:sz w:val="24"/>
                <w:highlight w:val="none"/>
              </w:rPr>
              <w:t>—</w:t>
            </w:r>
            <w:r>
              <w:rPr>
                <w:rFonts w:hint="eastAsia"/>
                <w:color w:val="auto"/>
                <w:sz w:val="24"/>
                <w:highlight w:val="none"/>
              </w:rPr>
              <w:t>建设项目声源在预测点产生的噪声贡献值，</w:t>
            </w:r>
            <w:r>
              <w:rPr>
                <w:color w:val="auto"/>
                <w:sz w:val="24"/>
                <w:highlight w:val="none"/>
              </w:rPr>
              <w:t>dB</w:t>
            </w:r>
            <w:r>
              <w:rPr>
                <w:rFonts w:hint="eastAsia"/>
                <w:color w:val="auto"/>
                <w:sz w:val="24"/>
                <w:highlight w:val="none"/>
              </w:rPr>
              <w:t>；</w:t>
            </w:r>
          </w:p>
          <w:p w14:paraId="1CE1D1FC">
            <w:pPr>
              <w:pStyle w:val="93"/>
              <w:ind w:firstLine="1920" w:firstLineChars="800"/>
              <w:rPr>
                <w:rFonts w:hint="eastAsia" w:ascii="Times New Roman" w:hAnsi="Times New Roman"/>
                <w:color w:val="auto"/>
                <w:szCs w:val="24"/>
                <w:highlight w:val="none"/>
              </w:rPr>
            </w:pPr>
            <w:r>
              <w:rPr>
                <w:rFonts w:ascii="Times New Roman" w:hAnsi="Times New Roman"/>
                <w:color w:val="auto"/>
                <w:szCs w:val="24"/>
                <w:highlight w:val="none"/>
              </w:rPr>
              <w:t>L</w:t>
            </w:r>
            <w:r>
              <w:rPr>
                <w:rFonts w:hint="eastAsia" w:ascii="Times New Roman" w:hAnsi="Times New Roman"/>
                <w:color w:val="auto"/>
                <w:szCs w:val="24"/>
                <w:highlight w:val="none"/>
                <w:vertAlign w:val="subscript"/>
              </w:rPr>
              <w:t>eqb</w:t>
            </w:r>
            <w:r>
              <w:rPr>
                <w:rFonts w:ascii="Times New Roman" w:hAnsi="Times New Roman"/>
                <w:color w:val="auto"/>
                <w:szCs w:val="24"/>
                <w:highlight w:val="none"/>
              </w:rPr>
              <w:t>—</w:t>
            </w:r>
            <w:r>
              <w:rPr>
                <w:rFonts w:hint="eastAsia" w:ascii="Times New Roman" w:hAnsi="Times New Roman"/>
                <w:color w:val="auto"/>
                <w:szCs w:val="24"/>
                <w:highlight w:val="none"/>
              </w:rPr>
              <w:t>预测点的背景噪声值，</w:t>
            </w:r>
            <w:r>
              <w:rPr>
                <w:rFonts w:ascii="Times New Roman" w:hAnsi="Times New Roman"/>
                <w:color w:val="auto"/>
                <w:szCs w:val="24"/>
                <w:highlight w:val="none"/>
              </w:rPr>
              <w:t>dB</w:t>
            </w:r>
            <w:r>
              <w:rPr>
                <w:rFonts w:hint="eastAsia" w:ascii="Times New Roman" w:hAnsi="Times New Roman"/>
                <w:color w:val="auto"/>
                <w:szCs w:val="24"/>
                <w:highlight w:val="none"/>
              </w:rPr>
              <w:t>。</w:t>
            </w:r>
          </w:p>
          <w:p w14:paraId="71190E0C">
            <w:pPr>
              <w:pStyle w:val="93"/>
              <w:rPr>
                <w:rFonts w:hint="eastAsia"/>
                <w:color w:val="auto"/>
                <w:szCs w:val="24"/>
                <w:highlight w:val="none"/>
              </w:rPr>
            </w:pPr>
            <w:r>
              <w:rPr>
                <w:rFonts w:hint="eastAsia" w:ascii="Times New Roman" w:hAnsi="Times New Roman"/>
                <w:color w:val="auto"/>
                <w:szCs w:val="24"/>
                <w:highlight w:val="none"/>
              </w:rPr>
              <w:t>点声源距离衰减计算公式为：</w:t>
            </w:r>
          </w:p>
          <w:p w14:paraId="50606F1E">
            <w:pPr>
              <w:pStyle w:val="95"/>
              <w:ind w:firstLine="1205" w:firstLineChars="500"/>
              <w:rPr>
                <w:color w:val="auto"/>
                <w:szCs w:val="24"/>
                <w:highlight w:val="none"/>
              </w:rPr>
            </w:pPr>
            <w:r>
              <w:rPr>
                <w:rFonts w:ascii="Times New Roman" w:hAnsi="Times New Roman"/>
                <w:b/>
                <w:bCs/>
                <w:color w:val="auto"/>
                <w:szCs w:val="24"/>
                <w:highlight w:val="none"/>
              </w:rPr>
              <w:drawing>
                <wp:inline distT="0" distB="0" distL="114300" distR="114300">
                  <wp:extent cx="2162175" cy="419100"/>
                  <wp:effectExtent l="0" t="0" r="9525" b="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29"/>
                          <a:stretch>
                            <a:fillRect/>
                          </a:stretch>
                        </pic:blipFill>
                        <pic:spPr>
                          <a:xfrm>
                            <a:off x="0" y="0"/>
                            <a:ext cx="2162175" cy="419100"/>
                          </a:xfrm>
                          <a:prstGeom prst="rect">
                            <a:avLst/>
                          </a:prstGeom>
                          <a:noFill/>
                          <a:ln>
                            <a:noFill/>
                          </a:ln>
                        </pic:spPr>
                      </pic:pic>
                    </a:graphicData>
                  </a:graphic>
                </wp:inline>
              </w:drawing>
            </w:r>
          </w:p>
          <w:p w14:paraId="15621223">
            <w:pPr>
              <w:spacing w:line="360" w:lineRule="auto"/>
              <w:ind w:firstLine="1200" w:firstLineChars="500"/>
              <w:rPr>
                <w:rFonts w:hint="eastAsia"/>
                <w:color w:val="auto"/>
                <w:sz w:val="24"/>
                <w:highlight w:val="none"/>
              </w:rPr>
            </w:pPr>
            <w:r>
              <w:rPr>
                <w:color w:val="auto"/>
                <w:sz w:val="24"/>
                <w:highlight w:val="none"/>
              </w:rPr>
              <w:t>其中：L</w:t>
            </w:r>
            <w:r>
              <w:rPr>
                <w:rFonts w:hint="eastAsia"/>
                <w:color w:val="auto"/>
                <w:sz w:val="24"/>
                <w:highlight w:val="none"/>
                <w:vertAlign w:val="subscript"/>
              </w:rPr>
              <w:t>P</w:t>
            </w:r>
            <w:r>
              <w:rPr>
                <w:rFonts w:hint="eastAsia"/>
                <w:color w:val="auto"/>
                <w:sz w:val="24"/>
                <w:highlight w:val="none"/>
              </w:rPr>
              <w:t>（r）</w:t>
            </w:r>
            <w:r>
              <w:rPr>
                <w:color w:val="auto"/>
                <w:sz w:val="24"/>
                <w:highlight w:val="none"/>
              </w:rPr>
              <w:t>—</w:t>
            </w:r>
            <w:r>
              <w:rPr>
                <w:rFonts w:hint="eastAsia"/>
                <w:color w:val="auto"/>
                <w:sz w:val="24"/>
                <w:highlight w:val="none"/>
              </w:rPr>
              <w:t>预测点处声压级，</w:t>
            </w:r>
            <w:r>
              <w:rPr>
                <w:color w:val="auto"/>
                <w:sz w:val="24"/>
                <w:highlight w:val="none"/>
              </w:rPr>
              <w:t>dB</w:t>
            </w:r>
            <w:r>
              <w:rPr>
                <w:rFonts w:hint="eastAsia"/>
                <w:color w:val="auto"/>
                <w:sz w:val="24"/>
                <w:highlight w:val="none"/>
              </w:rPr>
              <w:t>；</w:t>
            </w:r>
          </w:p>
          <w:p w14:paraId="59736B67">
            <w:pPr>
              <w:spacing w:line="360" w:lineRule="auto"/>
              <w:ind w:firstLine="1920" w:firstLineChars="800"/>
              <w:rPr>
                <w:rFonts w:hint="eastAsia"/>
                <w:color w:val="auto"/>
                <w:sz w:val="24"/>
                <w:highlight w:val="none"/>
              </w:rPr>
            </w:pPr>
            <w:r>
              <w:rPr>
                <w:color w:val="auto"/>
                <w:sz w:val="24"/>
                <w:highlight w:val="none"/>
              </w:rPr>
              <w:t>L</w:t>
            </w:r>
            <w:r>
              <w:rPr>
                <w:rFonts w:hint="eastAsia"/>
                <w:color w:val="auto"/>
                <w:sz w:val="24"/>
                <w:highlight w:val="none"/>
                <w:vertAlign w:val="subscript"/>
              </w:rPr>
              <w:t>W</w:t>
            </w:r>
            <w:r>
              <w:rPr>
                <w:color w:val="auto"/>
                <w:sz w:val="24"/>
                <w:highlight w:val="none"/>
              </w:rPr>
              <w:t>—</w:t>
            </w:r>
            <w:r>
              <w:rPr>
                <w:rFonts w:hint="eastAsia"/>
                <w:color w:val="auto"/>
                <w:sz w:val="24"/>
                <w:highlight w:val="none"/>
              </w:rPr>
              <w:t>由点声源产生的倍频带声功率级，</w:t>
            </w:r>
            <w:r>
              <w:rPr>
                <w:color w:val="auto"/>
                <w:sz w:val="24"/>
                <w:highlight w:val="none"/>
              </w:rPr>
              <w:t>dB</w:t>
            </w:r>
            <w:r>
              <w:rPr>
                <w:rFonts w:hint="eastAsia"/>
                <w:color w:val="auto"/>
                <w:sz w:val="24"/>
                <w:highlight w:val="none"/>
              </w:rPr>
              <w:t>；</w:t>
            </w:r>
          </w:p>
          <w:p w14:paraId="2E045CBC">
            <w:pPr>
              <w:pStyle w:val="93"/>
              <w:ind w:firstLine="1920" w:firstLineChars="800"/>
              <w:rPr>
                <w:rFonts w:hint="eastAsia" w:ascii="Times New Roman" w:hAnsi="Times New Roman"/>
                <w:color w:val="auto"/>
                <w:szCs w:val="24"/>
                <w:highlight w:val="none"/>
              </w:rPr>
            </w:pPr>
            <w:r>
              <w:rPr>
                <w:rFonts w:hint="eastAsia" w:ascii="Times New Roman" w:hAnsi="Times New Roman"/>
                <w:color w:val="auto"/>
                <w:szCs w:val="24"/>
                <w:highlight w:val="none"/>
              </w:rPr>
              <w:t>r</w:t>
            </w:r>
            <w:r>
              <w:rPr>
                <w:rFonts w:ascii="Times New Roman" w:hAnsi="Times New Roman"/>
                <w:color w:val="auto"/>
                <w:szCs w:val="24"/>
                <w:highlight w:val="none"/>
              </w:rPr>
              <w:t>—</w:t>
            </w:r>
            <w:r>
              <w:rPr>
                <w:rFonts w:hint="eastAsia" w:ascii="Times New Roman" w:hAnsi="Times New Roman"/>
                <w:color w:val="auto"/>
                <w:szCs w:val="24"/>
                <w:highlight w:val="none"/>
              </w:rPr>
              <w:t>预测点距声源距离。</w:t>
            </w:r>
          </w:p>
          <w:p w14:paraId="5C5AB1D9">
            <w:pPr>
              <w:pStyle w:val="93"/>
              <w:rPr>
                <w:rFonts w:hint="eastAsia"/>
                <w:color w:val="auto"/>
                <w:szCs w:val="24"/>
                <w:highlight w:val="none"/>
              </w:rPr>
            </w:pPr>
            <w:r>
              <w:rPr>
                <w:rFonts w:hint="eastAsia" w:ascii="Times New Roman" w:hAnsi="Times New Roman"/>
                <w:color w:val="auto"/>
                <w:szCs w:val="24"/>
                <w:highlight w:val="none"/>
              </w:rPr>
              <w:t>声源对预测点产生的贡献值计算公式为：</w:t>
            </w:r>
          </w:p>
          <w:p w14:paraId="3AFE9835">
            <w:pPr>
              <w:spacing w:line="360" w:lineRule="auto"/>
              <w:ind w:firstLine="1200" w:firstLineChars="500"/>
              <w:rPr>
                <w:color w:val="auto"/>
                <w:sz w:val="24"/>
                <w:highlight w:val="none"/>
              </w:rPr>
            </w:pPr>
            <w:r>
              <w:rPr>
                <w:color w:val="auto"/>
                <w:sz w:val="24"/>
                <w:highlight w:val="none"/>
              </w:rPr>
              <w:drawing>
                <wp:inline distT="0" distB="0" distL="114300" distR="114300">
                  <wp:extent cx="2352040" cy="489585"/>
                  <wp:effectExtent l="0" t="0" r="10160" b="571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30"/>
                          <a:stretch>
                            <a:fillRect/>
                          </a:stretch>
                        </pic:blipFill>
                        <pic:spPr>
                          <a:xfrm>
                            <a:off x="0" y="0"/>
                            <a:ext cx="2352040" cy="489585"/>
                          </a:xfrm>
                          <a:prstGeom prst="rect">
                            <a:avLst/>
                          </a:prstGeom>
                          <a:noFill/>
                          <a:ln>
                            <a:noFill/>
                          </a:ln>
                        </pic:spPr>
                      </pic:pic>
                    </a:graphicData>
                  </a:graphic>
                </wp:inline>
              </w:drawing>
            </w:r>
          </w:p>
          <w:p w14:paraId="3B729305">
            <w:pPr>
              <w:spacing w:line="360" w:lineRule="auto"/>
              <w:ind w:firstLine="1200" w:firstLineChars="500"/>
              <w:rPr>
                <w:rFonts w:hint="eastAsia"/>
                <w:color w:val="auto"/>
                <w:sz w:val="24"/>
                <w:highlight w:val="none"/>
              </w:rPr>
            </w:pPr>
            <w:r>
              <w:rPr>
                <w:color w:val="auto"/>
                <w:sz w:val="24"/>
                <w:highlight w:val="none"/>
              </w:rPr>
              <w:t>其中：L</w:t>
            </w:r>
            <w:r>
              <w:rPr>
                <w:rFonts w:hint="eastAsia"/>
                <w:color w:val="auto"/>
                <w:sz w:val="24"/>
                <w:highlight w:val="none"/>
                <w:vertAlign w:val="subscript"/>
              </w:rPr>
              <w:t>eqg</w:t>
            </w:r>
            <w:r>
              <w:rPr>
                <w:color w:val="auto"/>
                <w:sz w:val="24"/>
                <w:highlight w:val="none"/>
              </w:rPr>
              <w:t>—</w:t>
            </w:r>
            <w:r>
              <w:rPr>
                <w:rFonts w:hint="eastAsia"/>
                <w:color w:val="auto"/>
                <w:sz w:val="24"/>
                <w:highlight w:val="none"/>
              </w:rPr>
              <w:t>噪声贡献值，</w:t>
            </w:r>
            <w:r>
              <w:rPr>
                <w:color w:val="auto"/>
                <w:sz w:val="24"/>
                <w:highlight w:val="none"/>
              </w:rPr>
              <w:t>dB</w:t>
            </w:r>
            <w:r>
              <w:rPr>
                <w:rFonts w:hint="eastAsia"/>
                <w:color w:val="auto"/>
                <w:sz w:val="24"/>
                <w:highlight w:val="none"/>
              </w:rPr>
              <w:t>；</w:t>
            </w:r>
          </w:p>
          <w:p w14:paraId="67619368">
            <w:pPr>
              <w:spacing w:line="360" w:lineRule="auto"/>
              <w:ind w:firstLine="1920" w:firstLineChars="800"/>
              <w:rPr>
                <w:rFonts w:hint="eastAsia"/>
                <w:color w:val="auto"/>
                <w:sz w:val="24"/>
                <w:highlight w:val="none"/>
              </w:rPr>
            </w:pPr>
            <w:r>
              <w:rPr>
                <w:rFonts w:hint="eastAsia"/>
                <w:color w:val="auto"/>
                <w:sz w:val="24"/>
                <w:highlight w:val="none"/>
              </w:rPr>
              <w:t>T</w:t>
            </w:r>
            <w:r>
              <w:rPr>
                <w:color w:val="auto"/>
                <w:sz w:val="24"/>
                <w:highlight w:val="none"/>
              </w:rPr>
              <w:t>—</w:t>
            </w:r>
            <w:r>
              <w:rPr>
                <w:rFonts w:hint="eastAsia"/>
                <w:color w:val="auto"/>
                <w:sz w:val="24"/>
                <w:highlight w:val="none"/>
              </w:rPr>
              <w:t>预测计算的时间段，S；</w:t>
            </w:r>
          </w:p>
          <w:p w14:paraId="0845690B">
            <w:pPr>
              <w:spacing w:line="360" w:lineRule="auto"/>
              <w:ind w:firstLine="1920" w:firstLineChars="800"/>
              <w:rPr>
                <w:rFonts w:hint="eastAsia"/>
                <w:color w:val="auto"/>
                <w:sz w:val="24"/>
                <w:highlight w:val="none"/>
              </w:rPr>
            </w:pPr>
            <w:r>
              <w:rPr>
                <w:rFonts w:hint="eastAsia"/>
                <w:color w:val="auto"/>
                <w:sz w:val="24"/>
                <w:highlight w:val="none"/>
              </w:rPr>
              <w:t>t</w:t>
            </w:r>
            <w:r>
              <w:rPr>
                <w:rFonts w:hint="eastAsia"/>
                <w:color w:val="auto"/>
                <w:sz w:val="24"/>
                <w:highlight w:val="none"/>
                <w:vertAlign w:val="subscript"/>
              </w:rPr>
              <w:t>i</w:t>
            </w:r>
            <w:r>
              <w:rPr>
                <w:color w:val="auto"/>
                <w:sz w:val="24"/>
                <w:highlight w:val="none"/>
              </w:rPr>
              <w:t>—</w:t>
            </w:r>
            <w:r>
              <w:rPr>
                <w:rFonts w:hint="eastAsia"/>
                <w:color w:val="auto"/>
                <w:sz w:val="24"/>
                <w:highlight w:val="none"/>
              </w:rPr>
              <w:t>i声源在T时段内的运行时间，S；</w:t>
            </w:r>
          </w:p>
          <w:p w14:paraId="09058D0B">
            <w:pPr>
              <w:spacing w:line="360" w:lineRule="auto"/>
              <w:ind w:firstLine="1920" w:firstLineChars="800"/>
              <w:rPr>
                <w:color w:val="auto"/>
                <w:sz w:val="24"/>
                <w:highlight w:val="none"/>
              </w:rPr>
            </w:pPr>
            <w:r>
              <w:rPr>
                <w:rFonts w:hint="eastAsia"/>
                <w:color w:val="auto"/>
                <w:sz w:val="24"/>
                <w:highlight w:val="none"/>
              </w:rPr>
              <w:t>L</w:t>
            </w:r>
            <w:r>
              <w:rPr>
                <w:rFonts w:hint="eastAsia"/>
                <w:color w:val="auto"/>
                <w:sz w:val="24"/>
                <w:highlight w:val="none"/>
                <w:vertAlign w:val="subscript"/>
              </w:rPr>
              <w:t>Ai</w:t>
            </w:r>
            <w:r>
              <w:rPr>
                <w:color w:val="auto"/>
                <w:sz w:val="24"/>
                <w:highlight w:val="none"/>
              </w:rPr>
              <w:t>—</w:t>
            </w:r>
            <w:r>
              <w:rPr>
                <w:rFonts w:hint="eastAsia"/>
                <w:color w:val="auto"/>
                <w:sz w:val="24"/>
                <w:highlight w:val="none"/>
              </w:rPr>
              <w:t>i声源在预测点产生的等效连续A声级，</w:t>
            </w:r>
            <w:r>
              <w:rPr>
                <w:color w:val="auto"/>
                <w:sz w:val="24"/>
                <w:highlight w:val="none"/>
              </w:rPr>
              <w:t>dB</w:t>
            </w:r>
            <w:r>
              <w:rPr>
                <w:rFonts w:hint="eastAsia"/>
                <w:color w:val="auto"/>
                <w:sz w:val="24"/>
                <w:highlight w:val="none"/>
              </w:rPr>
              <w:t>。</w:t>
            </w:r>
          </w:p>
          <w:p w14:paraId="52DAACA4">
            <w:pPr>
              <w:adjustRightInd w:val="0"/>
              <w:snapToGrid w:val="0"/>
              <w:spacing w:line="360" w:lineRule="auto"/>
              <w:ind w:firstLine="480" w:firstLineChars="200"/>
              <w:rPr>
                <w:color w:val="auto"/>
                <w:sz w:val="24"/>
                <w:highlight w:val="none"/>
              </w:rPr>
            </w:pPr>
            <w:r>
              <w:rPr>
                <w:color w:val="auto"/>
                <w:sz w:val="24"/>
                <w:highlight w:val="none"/>
              </w:rPr>
              <w:t>经上述公式计算，噪声预测结果见表4-</w:t>
            </w:r>
            <w:r>
              <w:rPr>
                <w:rFonts w:hint="eastAsia"/>
                <w:color w:val="auto"/>
                <w:sz w:val="24"/>
                <w:highlight w:val="none"/>
                <w:lang w:val="en-US" w:eastAsia="zh-CN"/>
              </w:rPr>
              <w:t>8</w:t>
            </w:r>
            <w:r>
              <w:rPr>
                <w:color w:val="auto"/>
                <w:sz w:val="24"/>
                <w:highlight w:val="none"/>
              </w:rPr>
              <w:t>。</w:t>
            </w:r>
          </w:p>
          <w:p w14:paraId="25C4D394">
            <w:pPr>
              <w:pStyle w:val="36"/>
              <w:bidi w:val="0"/>
              <w:rPr>
                <w:rFonts w:hint="eastAsia"/>
                <w:color w:val="auto"/>
                <w:highlight w:val="none"/>
              </w:rPr>
            </w:pPr>
            <w:r>
              <w:rPr>
                <w:rFonts w:hint="eastAsia"/>
                <w:color w:val="auto"/>
                <w:highlight w:val="none"/>
              </w:rPr>
              <w:t>表4-</w:t>
            </w:r>
            <w:r>
              <w:rPr>
                <w:rFonts w:hint="eastAsia"/>
                <w:color w:val="auto"/>
                <w:highlight w:val="none"/>
                <w:lang w:val="en-US" w:eastAsia="zh-CN"/>
              </w:rPr>
              <w:t>8</w:t>
            </w:r>
            <w:r>
              <w:rPr>
                <w:rFonts w:hint="eastAsia"/>
                <w:color w:val="auto"/>
                <w:highlight w:val="none"/>
              </w:rPr>
              <w:t>厂界噪声预测结果  单位：dB(A)</w:t>
            </w:r>
          </w:p>
          <w:tbl>
            <w:tblPr>
              <w:tblStyle w:val="2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17"/>
              <w:gridCol w:w="1074"/>
              <w:gridCol w:w="1107"/>
              <w:gridCol w:w="1007"/>
              <w:gridCol w:w="1008"/>
              <w:gridCol w:w="1007"/>
              <w:gridCol w:w="1008"/>
            </w:tblGrid>
            <w:tr w14:paraId="6E8095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928" w:type="pct"/>
                  <w:vMerge w:val="restart"/>
                  <w:noWrap w:val="0"/>
                  <w:vAlign w:val="center"/>
                </w:tcPr>
                <w:p w14:paraId="22A19513">
                  <w:pPr>
                    <w:pStyle w:val="34"/>
                    <w:bidi w:val="0"/>
                    <w:rPr>
                      <w:color w:val="auto"/>
                      <w:highlight w:val="none"/>
                    </w:rPr>
                  </w:pPr>
                  <w:r>
                    <w:rPr>
                      <w:color w:val="auto"/>
                      <w:highlight w:val="none"/>
                    </w:rPr>
                    <w:t>项目</w:t>
                  </w:r>
                </w:p>
              </w:tc>
              <w:tc>
                <w:tcPr>
                  <w:tcW w:w="1428" w:type="pct"/>
                  <w:gridSpan w:val="2"/>
                  <w:tcBorders>
                    <w:right w:val="single" w:color="auto" w:sz="4" w:space="0"/>
                  </w:tcBorders>
                  <w:noWrap w:val="0"/>
                  <w:vAlign w:val="center"/>
                </w:tcPr>
                <w:p w14:paraId="3C0D612C">
                  <w:pPr>
                    <w:pStyle w:val="34"/>
                    <w:bidi w:val="0"/>
                    <w:rPr>
                      <w:color w:val="auto"/>
                      <w:highlight w:val="none"/>
                    </w:rPr>
                  </w:pPr>
                  <w:r>
                    <w:rPr>
                      <w:color w:val="auto"/>
                      <w:highlight w:val="none"/>
                    </w:rPr>
                    <w:t>贡献值</w:t>
                  </w:r>
                </w:p>
              </w:tc>
              <w:tc>
                <w:tcPr>
                  <w:tcW w:w="1321" w:type="pct"/>
                  <w:gridSpan w:val="2"/>
                  <w:noWrap w:val="0"/>
                  <w:vAlign w:val="center"/>
                </w:tcPr>
                <w:p w14:paraId="1C92A61F">
                  <w:pPr>
                    <w:pStyle w:val="34"/>
                    <w:bidi w:val="0"/>
                    <w:rPr>
                      <w:color w:val="auto"/>
                      <w:highlight w:val="none"/>
                    </w:rPr>
                  </w:pPr>
                  <w:r>
                    <w:rPr>
                      <w:color w:val="auto"/>
                      <w:highlight w:val="none"/>
                    </w:rPr>
                    <w:t>标准值</w:t>
                  </w:r>
                </w:p>
              </w:tc>
              <w:tc>
                <w:tcPr>
                  <w:tcW w:w="1321" w:type="pct"/>
                  <w:gridSpan w:val="2"/>
                  <w:noWrap w:val="0"/>
                  <w:vAlign w:val="center"/>
                </w:tcPr>
                <w:p w14:paraId="733B9AAC">
                  <w:pPr>
                    <w:pStyle w:val="34"/>
                    <w:bidi w:val="0"/>
                    <w:rPr>
                      <w:color w:val="auto"/>
                      <w:highlight w:val="none"/>
                    </w:rPr>
                  </w:pPr>
                  <w:r>
                    <w:rPr>
                      <w:color w:val="auto"/>
                      <w:highlight w:val="none"/>
                    </w:rPr>
                    <w:t>超标和达标情况</w:t>
                  </w:r>
                </w:p>
              </w:tc>
            </w:tr>
            <w:tr w14:paraId="2C01A3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28" w:type="pct"/>
                  <w:vMerge w:val="continue"/>
                  <w:noWrap w:val="0"/>
                  <w:vAlign w:val="center"/>
                </w:tcPr>
                <w:p w14:paraId="077C1B8A">
                  <w:pPr>
                    <w:pStyle w:val="34"/>
                    <w:bidi w:val="0"/>
                    <w:rPr>
                      <w:color w:val="auto"/>
                      <w:highlight w:val="none"/>
                    </w:rPr>
                  </w:pPr>
                </w:p>
              </w:tc>
              <w:tc>
                <w:tcPr>
                  <w:tcW w:w="703" w:type="pct"/>
                  <w:tcBorders>
                    <w:right w:val="single" w:color="auto" w:sz="4" w:space="0"/>
                  </w:tcBorders>
                  <w:noWrap w:val="0"/>
                  <w:vAlign w:val="center"/>
                </w:tcPr>
                <w:p w14:paraId="00CD4833">
                  <w:pPr>
                    <w:pStyle w:val="34"/>
                    <w:bidi w:val="0"/>
                    <w:rPr>
                      <w:rFonts w:hint="eastAsia"/>
                      <w:color w:val="auto"/>
                      <w:highlight w:val="none"/>
                    </w:rPr>
                  </w:pPr>
                  <w:r>
                    <w:rPr>
                      <w:rFonts w:hint="eastAsia"/>
                      <w:color w:val="auto"/>
                      <w:highlight w:val="none"/>
                    </w:rPr>
                    <w:t>昼间</w:t>
                  </w:r>
                </w:p>
              </w:tc>
              <w:tc>
                <w:tcPr>
                  <w:tcW w:w="725" w:type="pct"/>
                  <w:tcBorders>
                    <w:right w:val="single" w:color="auto" w:sz="4" w:space="0"/>
                  </w:tcBorders>
                  <w:noWrap w:val="0"/>
                  <w:vAlign w:val="center"/>
                </w:tcPr>
                <w:p w14:paraId="36981436">
                  <w:pPr>
                    <w:pStyle w:val="34"/>
                    <w:bidi w:val="0"/>
                    <w:rPr>
                      <w:color w:val="auto"/>
                      <w:highlight w:val="none"/>
                    </w:rPr>
                  </w:pPr>
                  <w:r>
                    <w:rPr>
                      <w:rFonts w:hint="eastAsia"/>
                      <w:color w:val="auto"/>
                      <w:highlight w:val="none"/>
                    </w:rPr>
                    <w:t>夜间</w:t>
                  </w:r>
                </w:p>
              </w:tc>
              <w:tc>
                <w:tcPr>
                  <w:tcW w:w="660" w:type="pct"/>
                  <w:noWrap w:val="0"/>
                  <w:vAlign w:val="center"/>
                </w:tcPr>
                <w:p w14:paraId="1046F8D6">
                  <w:pPr>
                    <w:pStyle w:val="34"/>
                    <w:bidi w:val="0"/>
                    <w:rPr>
                      <w:rFonts w:hint="eastAsia"/>
                      <w:color w:val="auto"/>
                      <w:highlight w:val="none"/>
                    </w:rPr>
                  </w:pPr>
                  <w:r>
                    <w:rPr>
                      <w:rFonts w:hint="eastAsia"/>
                      <w:color w:val="auto"/>
                      <w:highlight w:val="none"/>
                    </w:rPr>
                    <w:t>昼间</w:t>
                  </w:r>
                </w:p>
              </w:tc>
              <w:tc>
                <w:tcPr>
                  <w:tcW w:w="660" w:type="pct"/>
                  <w:noWrap w:val="0"/>
                  <w:vAlign w:val="center"/>
                </w:tcPr>
                <w:p w14:paraId="0D0F0335">
                  <w:pPr>
                    <w:pStyle w:val="34"/>
                    <w:bidi w:val="0"/>
                    <w:rPr>
                      <w:rFonts w:hint="eastAsia"/>
                      <w:color w:val="auto"/>
                      <w:highlight w:val="none"/>
                    </w:rPr>
                  </w:pPr>
                  <w:r>
                    <w:rPr>
                      <w:rFonts w:hint="eastAsia"/>
                      <w:color w:val="auto"/>
                      <w:highlight w:val="none"/>
                    </w:rPr>
                    <w:t>夜间</w:t>
                  </w:r>
                </w:p>
              </w:tc>
              <w:tc>
                <w:tcPr>
                  <w:tcW w:w="660" w:type="pct"/>
                  <w:noWrap w:val="0"/>
                  <w:vAlign w:val="center"/>
                </w:tcPr>
                <w:p w14:paraId="01515978">
                  <w:pPr>
                    <w:pStyle w:val="34"/>
                    <w:bidi w:val="0"/>
                    <w:rPr>
                      <w:rFonts w:hint="eastAsia"/>
                      <w:color w:val="auto"/>
                      <w:highlight w:val="none"/>
                    </w:rPr>
                  </w:pPr>
                  <w:r>
                    <w:rPr>
                      <w:color w:val="auto"/>
                      <w:highlight w:val="none"/>
                    </w:rPr>
                    <w:t>昼间</w:t>
                  </w:r>
                </w:p>
              </w:tc>
              <w:tc>
                <w:tcPr>
                  <w:tcW w:w="661" w:type="pct"/>
                  <w:noWrap w:val="0"/>
                  <w:vAlign w:val="center"/>
                </w:tcPr>
                <w:p w14:paraId="70B4EEF6">
                  <w:pPr>
                    <w:pStyle w:val="34"/>
                    <w:bidi w:val="0"/>
                    <w:rPr>
                      <w:rFonts w:hint="eastAsia"/>
                      <w:color w:val="auto"/>
                      <w:highlight w:val="none"/>
                    </w:rPr>
                  </w:pPr>
                  <w:r>
                    <w:rPr>
                      <w:color w:val="auto"/>
                      <w:highlight w:val="none"/>
                    </w:rPr>
                    <w:t>夜间</w:t>
                  </w:r>
                </w:p>
              </w:tc>
            </w:tr>
            <w:tr w14:paraId="7AFD8E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28" w:type="pct"/>
                  <w:noWrap w:val="0"/>
                  <w:vAlign w:val="center"/>
                </w:tcPr>
                <w:p w14:paraId="42EFE62D">
                  <w:pPr>
                    <w:pStyle w:val="34"/>
                    <w:bidi w:val="0"/>
                    <w:rPr>
                      <w:color w:val="auto"/>
                      <w:highlight w:val="none"/>
                    </w:rPr>
                  </w:pPr>
                  <w:r>
                    <w:rPr>
                      <w:rFonts w:hint="eastAsia"/>
                      <w:color w:val="auto"/>
                      <w:highlight w:val="none"/>
                    </w:rPr>
                    <w:t>厂界东侧</w:t>
                  </w:r>
                </w:p>
              </w:tc>
              <w:tc>
                <w:tcPr>
                  <w:tcW w:w="1074" w:type="dxa"/>
                  <w:noWrap w:val="0"/>
                  <w:vAlign w:val="center"/>
                </w:tcPr>
                <w:p w14:paraId="32EC1674">
                  <w:pPr>
                    <w:pStyle w:val="34"/>
                    <w:bidi w:val="0"/>
                    <w:rPr>
                      <w:color w:val="auto"/>
                      <w:highlight w:val="none"/>
                    </w:rPr>
                  </w:pPr>
                  <w:r>
                    <w:rPr>
                      <w:rFonts w:hint="eastAsia"/>
                      <w:color w:val="auto"/>
                      <w:highlight w:val="none"/>
                      <w:lang w:val="en-US" w:eastAsia="zh-CN"/>
                    </w:rPr>
                    <w:t>44.9</w:t>
                  </w:r>
                </w:p>
              </w:tc>
              <w:tc>
                <w:tcPr>
                  <w:tcW w:w="725" w:type="pct"/>
                  <w:noWrap w:val="0"/>
                  <w:vAlign w:val="center"/>
                </w:tcPr>
                <w:p w14:paraId="170955DC">
                  <w:pPr>
                    <w:pStyle w:val="34"/>
                    <w:bidi w:val="0"/>
                    <w:rPr>
                      <w:color w:val="auto"/>
                      <w:highlight w:val="none"/>
                    </w:rPr>
                  </w:pPr>
                  <w:r>
                    <w:rPr>
                      <w:rFonts w:hint="eastAsia"/>
                      <w:color w:val="auto"/>
                      <w:highlight w:val="none"/>
                    </w:rPr>
                    <w:t>0</w:t>
                  </w:r>
                </w:p>
              </w:tc>
              <w:tc>
                <w:tcPr>
                  <w:tcW w:w="1056" w:type="dxa"/>
                  <w:noWrap w:val="0"/>
                  <w:vAlign w:val="center"/>
                </w:tcPr>
                <w:p w14:paraId="10A238B7">
                  <w:pPr>
                    <w:pStyle w:val="34"/>
                    <w:bidi w:val="0"/>
                    <w:rPr>
                      <w:color w:val="auto"/>
                      <w:highlight w:val="none"/>
                    </w:rPr>
                  </w:pPr>
                  <w:r>
                    <w:rPr>
                      <w:color w:val="auto"/>
                      <w:highlight w:val="none"/>
                    </w:rPr>
                    <w:t>6</w:t>
                  </w:r>
                  <w:r>
                    <w:rPr>
                      <w:rFonts w:hint="eastAsia"/>
                      <w:color w:val="auto"/>
                      <w:highlight w:val="none"/>
                    </w:rPr>
                    <w:t>0</w:t>
                  </w:r>
                </w:p>
              </w:tc>
              <w:tc>
                <w:tcPr>
                  <w:tcW w:w="1057" w:type="dxa"/>
                  <w:noWrap w:val="0"/>
                  <w:vAlign w:val="center"/>
                </w:tcPr>
                <w:p w14:paraId="48E588B8">
                  <w:pPr>
                    <w:pStyle w:val="34"/>
                    <w:bidi w:val="0"/>
                    <w:rPr>
                      <w:color w:val="auto"/>
                      <w:highlight w:val="none"/>
                    </w:rPr>
                  </w:pPr>
                  <w:r>
                    <w:rPr>
                      <w:rFonts w:hint="eastAsia"/>
                      <w:color w:val="auto"/>
                      <w:highlight w:val="none"/>
                    </w:rPr>
                    <w:t>50</w:t>
                  </w:r>
                </w:p>
              </w:tc>
              <w:tc>
                <w:tcPr>
                  <w:tcW w:w="660" w:type="pct"/>
                  <w:noWrap w:val="0"/>
                  <w:vAlign w:val="center"/>
                </w:tcPr>
                <w:p w14:paraId="1524552B">
                  <w:pPr>
                    <w:pStyle w:val="34"/>
                    <w:bidi w:val="0"/>
                    <w:rPr>
                      <w:rFonts w:hint="eastAsia"/>
                      <w:color w:val="auto"/>
                      <w:highlight w:val="none"/>
                    </w:rPr>
                  </w:pPr>
                  <w:r>
                    <w:rPr>
                      <w:rFonts w:hint="eastAsia"/>
                      <w:color w:val="auto"/>
                      <w:highlight w:val="none"/>
                    </w:rPr>
                    <w:t>达标</w:t>
                  </w:r>
                </w:p>
              </w:tc>
              <w:tc>
                <w:tcPr>
                  <w:tcW w:w="661" w:type="pct"/>
                  <w:noWrap w:val="0"/>
                  <w:vAlign w:val="center"/>
                </w:tcPr>
                <w:p w14:paraId="23A6AEBC">
                  <w:pPr>
                    <w:pStyle w:val="34"/>
                    <w:bidi w:val="0"/>
                    <w:rPr>
                      <w:rFonts w:hint="eastAsia"/>
                      <w:color w:val="auto"/>
                      <w:highlight w:val="none"/>
                    </w:rPr>
                  </w:pPr>
                  <w:r>
                    <w:rPr>
                      <w:rFonts w:hint="eastAsia"/>
                      <w:color w:val="auto"/>
                      <w:highlight w:val="none"/>
                    </w:rPr>
                    <w:t>达标</w:t>
                  </w:r>
                </w:p>
              </w:tc>
            </w:tr>
            <w:tr w14:paraId="4DF7EB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28" w:type="pct"/>
                  <w:noWrap w:val="0"/>
                  <w:vAlign w:val="center"/>
                </w:tcPr>
                <w:p w14:paraId="58B691A7">
                  <w:pPr>
                    <w:pStyle w:val="34"/>
                    <w:bidi w:val="0"/>
                    <w:rPr>
                      <w:color w:val="auto"/>
                      <w:highlight w:val="none"/>
                    </w:rPr>
                  </w:pPr>
                  <w:r>
                    <w:rPr>
                      <w:rFonts w:hint="eastAsia"/>
                      <w:color w:val="auto"/>
                      <w:highlight w:val="none"/>
                    </w:rPr>
                    <w:t>厂界南侧</w:t>
                  </w:r>
                </w:p>
              </w:tc>
              <w:tc>
                <w:tcPr>
                  <w:tcW w:w="1074" w:type="dxa"/>
                  <w:noWrap w:val="0"/>
                  <w:vAlign w:val="center"/>
                </w:tcPr>
                <w:p w14:paraId="06123A1A">
                  <w:pPr>
                    <w:pStyle w:val="34"/>
                    <w:bidi w:val="0"/>
                    <w:rPr>
                      <w:color w:val="auto"/>
                      <w:highlight w:val="none"/>
                    </w:rPr>
                  </w:pPr>
                  <w:r>
                    <w:rPr>
                      <w:rFonts w:hint="eastAsia"/>
                      <w:color w:val="auto"/>
                      <w:highlight w:val="none"/>
                      <w:lang w:val="en-US" w:eastAsia="zh-CN"/>
                    </w:rPr>
                    <w:t>41.9</w:t>
                  </w:r>
                </w:p>
              </w:tc>
              <w:tc>
                <w:tcPr>
                  <w:tcW w:w="725" w:type="pct"/>
                  <w:noWrap w:val="0"/>
                  <w:vAlign w:val="center"/>
                </w:tcPr>
                <w:p w14:paraId="6CFE6F77">
                  <w:pPr>
                    <w:pStyle w:val="34"/>
                    <w:bidi w:val="0"/>
                    <w:rPr>
                      <w:color w:val="auto"/>
                      <w:highlight w:val="none"/>
                    </w:rPr>
                  </w:pPr>
                  <w:r>
                    <w:rPr>
                      <w:rFonts w:hint="eastAsia"/>
                      <w:color w:val="auto"/>
                      <w:highlight w:val="none"/>
                    </w:rPr>
                    <w:t>0</w:t>
                  </w:r>
                </w:p>
              </w:tc>
              <w:tc>
                <w:tcPr>
                  <w:tcW w:w="1056" w:type="dxa"/>
                  <w:noWrap w:val="0"/>
                  <w:vAlign w:val="center"/>
                </w:tcPr>
                <w:p w14:paraId="4884B793">
                  <w:pPr>
                    <w:pStyle w:val="34"/>
                    <w:bidi w:val="0"/>
                    <w:ind w:firstLine="0" w:firstLineChars="0"/>
                    <w:rPr>
                      <w:rFonts w:hint="eastAsia"/>
                      <w:color w:val="auto"/>
                      <w:highlight w:val="none"/>
                    </w:rPr>
                  </w:pPr>
                  <w:r>
                    <w:rPr>
                      <w:color w:val="auto"/>
                      <w:highlight w:val="none"/>
                    </w:rPr>
                    <w:t>6</w:t>
                  </w:r>
                  <w:r>
                    <w:rPr>
                      <w:rFonts w:hint="eastAsia"/>
                      <w:color w:val="auto"/>
                      <w:highlight w:val="none"/>
                    </w:rPr>
                    <w:t>0</w:t>
                  </w:r>
                </w:p>
              </w:tc>
              <w:tc>
                <w:tcPr>
                  <w:tcW w:w="1057" w:type="dxa"/>
                  <w:noWrap w:val="0"/>
                  <w:vAlign w:val="center"/>
                </w:tcPr>
                <w:p w14:paraId="7A12A358">
                  <w:pPr>
                    <w:pStyle w:val="34"/>
                    <w:bidi w:val="0"/>
                    <w:ind w:firstLine="0" w:firstLineChars="0"/>
                    <w:rPr>
                      <w:rFonts w:hint="eastAsia"/>
                      <w:color w:val="auto"/>
                      <w:highlight w:val="none"/>
                    </w:rPr>
                  </w:pPr>
                  <w:r>
                    <w:rPr>
                      <w:rFonts w:hint="eastAsia"/>
                      <w:color w:val="auto"/>
                      <w:highlight w:val="none"/>
                    </w:rPr>
                    <w:t>50</w:t>
                  </w:r>
                </w:p>
              </w:tc>
              <w:tc>
                <w:tcPr>
                  <w:tcW w:w="660" w:type="pct"/>
                  <w:noWrap w:val="0"/>
                  <w:vAlign w:val="center"/>
                </w:tcPr>
                <w:p w14:paraId="43A06530">
                  <w:pPr>
                    <w:pStyle w:val="34"/>
                    <w:bidi w:val="0"/>
                    <w:rPr>
                      <w:rFonts w:hint="eastAsia"/>
                      <w:color w:val="auto"/>
                      <w:highlight w:val="none"/>
                    </w:rPr>
                  </w:pPr>
                  <w:r>
                    <w:rPr>
                      <w:rFonts w:hint="eastAsia"/>
                      <w:color w:val="auto"/>
                      <w:highlight w:val="none"/>
                    </w:rPr>
                    <w:t>达标</w:t>
                  </w:r>
                </w:p>
              </w:tc>
              <w:tc>
                <w:tcPr>
                  <w:tcW w:w="661" w:type="pct"/>
                  <w:noWrap w:val="0"/>
                  <w:vAlign w:val="center"/>
                </w:tcPr>
                <w:p w14:paraId="6004333C">
                  <w:pPr>
                    <w:pStyle w:val="34"/>
                    <w:bidi w:val="0"/>
                    <w:rPr>
                      <w:rFonts w:hint="eastAsia"/>
                      <w:color w:val="auto"/>
                      <w:highlight w:val="none"/>
                    </w:rPr>
                  </w:pPr>
                  <w:r>
                    <w:rPr>
                      <w:rFonts w:hint="eastAsia"/>
                      <w:color w:val="auto"/>
                      <w:highlight w:val="none"/>
                    </w:rPr>
                    <w:t>达标</w:t>
                  </w:r>
                </w:p>
              </w:tc>
            </w:tr>
            <w:tr w14:paraId="53029A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28" w:type="pct"/>
                  <w:noWrap w:val="0"/>
                  <w:vAlign w:val="center"/>
                </w:tcPr>
                <w:p w14:paraId="2F7ED810">
                  <w:pPr>
                    <w:pStyle w:val="34"/>
                    <w:bidi w:val="0"/>
                    <w:rPr>
                      <w:color w:val="auto"/>
                      <w:highlight w:val="none"/>
                    </w:rPr>
                  </w:pPr>
                  <w:r>
                    <w:rPr>
                      <w:rFonts w:hint="eastAsia"/>
                      <w:color w:val="auto"/>
                      <w:highlight w:val="none"/>
                    </w:rPr>
                    <w:t>厂界西侧</w:t>
                  </w:r>
                </w:p>
              </w:tc>
              <w:tc>
                <w:tcPr>
                  <w:tcW w:w="1074" w:type="dxa"/>
                  <w:noWrap w:val="0"/>
                  <w:vAlign w:val="center"/>
                </w:tcPr>
                <w:p w14:paraId="14AE02B9">
                  <w:pPr>
                    <w:pStyle w:val="34"/>
                    <w:bidi w:val="0"/>
                    <w:rPr>
                      <w:color w:val="auto"/>
                      <w:highlight w:val="none"/>
                    </w:rPr>
                  </w:pPr>
                  <w:r>
                    <w:rPr>
                      <w:rFonts w:hint="eastAsia"/>
                      <w:color w:val="auto"/>
                      <w:highlight w:val="none"/>
                      <w:lang w:val="en-US" w:eastAsia="zh-CN"/>
                    </w:rPr>
                    <w:t>40.8</w:t>
                  </w:r>
                </w:p>
              </w:tc>
              <w:tc>
                <w:tcPr>
                  <w:tcW w:w="725" w:type="pct"/>
                  <w:noWrap w:val="0"/>
                  <w:vAlign w:val="center"/>
                </w:tcPr>
                <w:p w14:paraId="15698EE6">
                  <w:pPr>
                    <w:pStyle w:val="34"/>
                    <w:bidi w:val="0"/>
                    <w:rPr>
                      <w:color w:val="auto"/>
                      <w:highlight w:val="none"/>
                    </w:rPr>
                  </w:pPr>
                  <w:r>
                    <w:rPr>
                      <w:rFonts w:hint="eastAsia"/>
                      <w:color w:val="auto"/>
                      <w:highlight w:val="none"/>
                    </w:rPr>
                    <w:t>0</w:t>
                  </w:r>
                </w:p>
              </w:tc>
              <w:tc>
                <w:tcPr>
                  <w:tcW w:w="1057" w:type="dxa"/>
                  <w:noWrap w:val="0"/>
                  <w:vAlign w:val="center"/>
                </w:tcPr>
                <w:p w14:paraId="6C06831B">
                  <w:pPr>
                    <w:pStyle w:val="34"/>
                    <w:bidi w:val="0"/>
                    <w:ind w:firstLine="0" w:firstLineChars="0"/>
                    <w:rPr>
                      <w:color w:val="auto"/>
                      <w:highlight w:val="none"/>
                    </w:rPr>
                  </w:pPr>
                  <w:r>
                    <w:rPr>
                      <w:color w:val="auto"/>
                      <w:highlight w:val="none"/>
                    </w:rPr>
                    <w:t>6</w:t>
                  </w:r>
                  <w:r>
                    <w:rPr>
                      <w:rFonts w:hint="eastAsia"/>
                      <w:color w:val="auto"/>
                      <w:highlight w:val="none"/>
                    </w:rPr>
                    <w:t>0</w:t>
                  </w:r>
                </w:p>
              </w:tc>
              <w:tc>
                <w:tcPr>
                  <w:tcW w:w="1057" w:type="dxa"/>
                  <w:noWrap w:val="0"/>
                  <w:vAlign w:val="center"/>
                </w:tcPr>
                <w:p w14:paraId="34C8FC85">
                  <w:pPr>
                    <w:pStyle w:val="34"/>
                    <w:bidi w:val="0"/>
                    <w:ind w:firstLine="0" w:firstLineChars="0"/>
                    <w:rPr>
                      <w:rFonts w:hint="eastAsia"/>
                      <w:color w:val="auto"/>
                      <w:highlight w:val="none"/>
                    </w:rPr>
                  </w:pPr>
                  <w:r>
                    <w:rPr>
                      <w:rFonts w:hint="eastAsia"/>
                      <w:color w:val="auto"/>
                      <w:highlight w:val="none"/>
                    </w:rPr>
                    <w:t>50</w:t>
                  </w:r>
                </w:p>
              </w:tc>
              <w:tc>
                <w:tcPr>
                  <w:tcW w:w="660" w:type="pct"/>
                  <w:noWrap w:val="0"/>
                  <w:vAlign w:val="center"/>
                </w:tcPr>
                <w:p w14:paraId="30795087">
                  <w:pPr>
                    <w:pStyle w:val="34"/>
                    <w:bidi w:val="0"/>
                    <w:rPr>
                      <w:rFonts w:hint="eastAsia"/>
                      <w:color w:val="auto"/>
                      <w:highlight w:val="none"/>
                    </w:rPr>
                  </w:pPr>
                  <w:r>
                    <w:rPr>
                      <w:rFonts w:hint="eastAsia"/>
                      <w:color w:val="auto"/>
                      <w:highlight w:val="none"/>
                    </w:rPr>
                    <w:t>达标</w:t>
                  </w:r>
                </w:p>
              </w:tc>
              <w:tc>
                <w:tcPr>
                  <w:tcW w:w="661" w:type="pct"/>
                  <w:noWrap w:val="0"/>
                  <w:vAlign w:val="center"/>
                </w:tcPr>
                <w:p w14:paraId="745655A0">
                  <w:pPr>
                    <w:pStyle w:val="34"/>
                    <w:bidi w:val="0"/>
                    <w:rPr>
                      <w:rFonts w:hint="eastAsia"/>
                      <w:color w:val="auto"/>
                      <w:highlight w:val="none"/>
                    </w:rPr>
                  </w:pPr>
                  <w:r>
                    <w:rPr>
                      <w:rFonts w:hint="eastAsia"/>
                      <w:color w:val="auto"/>
                      <w:highlight w:val="none"/>
                    </w:rPr>
                    <w:t>达标</w:t>
                  </w:r>
                </w:p>
              </w:tc>
            </w:tr>
            <w:tr w14:paraId="51C266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28" w:type="pct"/>
                  <w:noWrap w:val="0"/>
                  <w:vAlign w:val="center"/>
                </w:tcPr>
                <w:p w14:paraId="1E66996F">
                  <w:pPr>
                    <w:pStyle w:val="34"/>
                    <w:bidi w:val="0"/>
                    <w:rPr>
                      <w:color w:val="auto"/>
                      <w:highlight w:val="none"/>
                    </w:rPr>
                  </w:pPr>
                  <w:r>
                    <w:rPr>
                      <w:rFonts w:hint="eastAsia"/>
                      <w:color w:val="auto"/>
                      <w:highlight w:val="none"/>
                    </w:rPr>
                    <w:t>厂界北侧</w:t>
                  </w:r>
                </w:p>
              </w:tc>
              <w:tc>
                <w:tcPr>
                  <w:tcW w:w="1074" w:type="dxa"/>
                  <w:noWrap w:val="0"/>
                  <w:vAlign w:val="center"/>
                </w:tcPr>
                <w:p w14:paraId="680F0BDA">
                  <w:pPr>
                    <w:pStyle w:val="34"/>
                    <w:bidi w:val="0"/>
                    <w:rPr>
                      <w:color w:val="auto"/>
                      <w:highlight w:val="none"/>
                    </w:rPr>
                  </w:pPr>
                  <w:r>
                    <w:rPr>
                      <w:rFonts w:hint="eastAsia"/>
                      <w:color w:val="auto"/>
                      <w:highlight w:val="none"/>
                      <w:lang w:val="en-US" w:eastAsia="zh-CN"/>
                    </w:rPr>
                    <w:t>42.7</w:t>
                  </w:r>
                </w:p>
              </w:tc>
              <w:tc>
                <w:tcPr>
                  <w:tcW w:w="725" w:type="pct"/>
                  <w:noWrap w:val="0"/>
                  <w:vAlign w:val="center"/>
                </w:tcPr>
                <w:p w14:paraId="1BC5E654">
                  <w:pPr>
                    <w:pStyle w:val="34"/>
                    <w:bidi w:val="0"/>
                    <w:rPr>
                      <w:color w:val="auto"/>
                      <w:highlight w:val="none"/>
                    </w:rPr>
                  </w:pPr>
                  <w:r>
                    <w:rPr>
                      <w:rFonts w:hint="eastAsia"/>
                      <w:color w:val="auto"/>
                      <w:highlight w:val="none"/>
                    </w:rPr>
                    <w:t>0</w:t>
                  </w:r>
                </w:p>
              </w:tc>
              <w:tc>
                <w:tcPr>
                  <w:tcW w:w="1057" w:type="dxa"/>
                  <w:noWrap w:val="0"/>
                  <w:vAlign w:val="center"/>
                </w:tcPr>
                <w:p w14:paraId="1B8A6E74">
                  <w:pPr>
                    <w:pStyle w:val="34"/>
                    <w:bidi w:val="0"/>
                    <w:rPr>
                      <w:rFonts w:hint="eastAsia"/>
                      <w:color w:val="auto"/>
                      <w:highlight w:val="none"/>
                    </w:rPr>
                  </w:pPr>
                  <w:r>
                    <w:rPr>
                      <w:color w:val="auto"/>
                      <w:highlight w:val="none"/>
                    </w:rPr>
                    <w:t>6</w:t>
                  </w:r>
                  <w:r>
                    <w:rPr>
                      <w:rFonts w:hint="eastAsia"/>
                      <w:color w:val="auto"/>
                      <w:highlight w:val="none"/>
                    </w:rPr>
                    <w:t>0</w:t>
                  </w:r>
                </w:p>
              </w:tc>
              <w:tc>
                <w:tcPr>
                  <w:tcW w:w="1057" w:type="dxa"/>
                  <w:noWrap w:val="0"/>
                  <w:vAlign w:val="center"/>
                </w:tcPr>
                <w:p w14:paraId="2897F2E9">
                  <w:pPr>
                    <w:pStyle w:val="34"/>
                    <w:bidi w:val="0"/>
                    <w:rPr>
                      <w:rFonts w:hint="eastAsia"/>
                      <w:color w:val="auto"/>
                      <w:highlight w:val="none"/>
                    </w:rPr>
                  </w:pPr>
                  <w:r>
                    <w:rPr>
                      <w:rFonts w:hint="eastAsia"/>
                      <w:color w:val="auto"/>
                      <w:highlight w:val="none"/>
                    </w:rPr>
                    <w:t>50</w:t>
                  </w:r>
                </w:p>
              </w:tc>
              <w:tc>
                <w:tcPr>
                  <w:tcW w:w="660" w:type="pct"/>
                  <w:noWrap w:val="0"/>
                  <w:vAlign w:val="center"/>
                </w:tcPr>
                <w:p w14:paraId="0572BFF2">
                  <w:pPr>
                    <w:pStyle w:val="34"/>
                    <w:bidi w:val="0"/>
                    <w:rPr>
                      <w:rFonts w:hint="eastAsia"/>
                      <w:color w:val="auto"/>
                      <w:highlight w:val="none"/>
                    </w:rPr>
                  </w:pPr>
                  <w:r>
                    <w:rPr>
                      <w:rFonts w:hint="eastAsia"/>
                      <w:color w:val="auto"/>
                      <w:highlight w:val="none"/>
                    </w:rPr>
                    <w:t>达标</w:t>
                  </w:r>
                </w:p>
              </w:tc>
              <w:tc>
                <w:tcPr>
                  <w:tcW w:w="661" w:type="pct"/>
                  <w:noWrap w:val="0"/>
                  <w:vAlign w:val="center"/>
                </w:tcPr>
                <w:p w14:paraId="40C6D2C0">
                  <w:pPr>
                    <w:pStyle w:val="34"/>
                    <w:bidi w:val="0"/>
                    <w:rPr>
                      <w:rFonts w:hint="eastAsia"/>
                      <w:color w:val="auto"/>
                      <w:highlight w:val="none"/>
                    </w:rPr>
                  </w:pPr>
                  <w:r>
                    <w:rPr>
                      <w:rFonts w:hint="eastAsia"/>
                      <w:color w:val="auto"/>
                      <w:highlight w:val="none"/>
                    </w:rPr>
                    <w:t>达标</w:t>
                  </w:r>
                </w:p>
              </w:tc>
            </w:tr>
          </w:tbl>
          <w:p w14:paraId="511150AD">
            <w:pPr>
              <w:pStyle w:val="30"/>
              <w:bidi w:val="0"/>
              <w:rPr>
                <w:b/>
                <w:bCs/>
                <w:color w:val="auto"/>
                <w:highlight w:val="none"/>
              </w:rPr>
            </w:pPr>
            <w:r>
              <w:rPr>
                <w:rFonts w:hint="eastAsia"/>
                <w:b/>
                <w:bCs/>
                <w:color w:val="auto"/>
                <w:highlight w:val="none"/>
                <w:lang w:val="en-US" w:eastAsia="zh-CN"/>
              </w:rPr>
              <w:t>3</w:t>
            </w:r>
            <w:r>
              <w:rPr>
                <w:rFonts w:hint="eastAsia"/>
                <w:b/>
                <w:bCs/>
                <w:color w:val="auto"/>
                <w:highlight w:val="none"/>
              </w:rPr>
              <w:t>、噪声影响分析</w:t>
            </w:r>
          </w:p>
          <w:p w14:paraId="2F045035">
            <w:pPr>
              <w:pStyle w:val="31"/>
              <w:bidi w:val="0"/>
              <w:rPr>
                <w:rFonts w:hint="eastAsia"/>
                <w:color w:val="auto"/>
                <w:highlight w:val="none"/>
              </w:rPr>
            </w:pPr>
            <w:r>
              <w:rPr>
                <w:color w:val="auto"/>
                <w:highlight w:val="none"/>
              </w:rPr>
              <w:t>本</w:t>
            </w:r>
            <w:r>
              <w:rPr>
                <w:rFonts w:hint="eastAsia"/>
                <w:color w:val="auto"/>
                <w:highlight w:val="none"/>
              </w:rPr>
              <w:t>项目</w:t>
            </w:r>
            <w:r>
              <w:rPr>
                <w:color w:val="auto"/>
                <w:highlight w:val="none"/>
              </w:rPr>
              <w:t>选用低噪声设备，基础</w:t>
            </w:r>
            <w:r>
              <w:rPr>
                <w:rFonts w:hint="eastAsia"/>
                <w:color w:val="auto"/>
                <w:highlight w:val="none"/>
              </w:rPr>
              <w:t>减振等措施。</w:t>
            </w:r>
            <w:r>
              <w:rPr>
                <w:color w:val="auto"/>
                <w:highlight w:val="none"/>
              </w:rPr>
              <w:t>厂界噪声贡献</w:t>
            </w:r>
            <w:r>
              <w:rPr>
                <w:rFonts w:hint="eastAsia"/>
                <w:color w:val="auto"/>
                <w:highlight w:val="none"/>
              </w:rPr>
              <w:t>值</w:t>
            </w:r>
            <w:r>
              <w:rPr>
                <w:color w:val="auto"/>
                <w:highlight w:val="none"/>
              </w:rPr>
              <w:t>满足《工业企业厂界环境噪声排放标准》（GB12348-2008）表1中2类标准（昼间≤60dB（A），夜间≤50dB（A））</w:t>
            </w:r>
            <w:r>
              <w:rPr>
                <w:rFonts w:hint="eastAsia"/>
                <w:color w:val="auto"/>
                <w:highlight w:val="none"/>
              </w:rPr>
              <w:t>。本项目经减振、消声、隔声处理等降噪措施后，项目排放的噪声可以得到有效控制，产生的噪声对周围环境的影响较小。</w:t>
            </w:r>
          </w:p>
          <w:p w14:paraId="440A77E5">
            <w:pPr>
              <w:pStyle w:val="31"/>
              <w:bidi w:val="0"/>
              <w:rPr>
                <w:b/>
                <w:bCs/>
                <w:color w:val="auto"/>
                <w:highlight w:val="none"/>
              </w:rPr>
            </w:pPr>
            <w:r>
              <w:rPr>
                <w:rFonts w:hint="eastAsia"/>
                <w:b/>
                <w:bCs/>
                <w:color w:val="auto"/>
                <w:highlight w:val="none"/>
                <w:lang w:val="en-US" w:eastAsia="zh-CN"/>
              </w:rPr>
              <w:t>4</w:t>
            </w:r>
            <w:r>
              <w:rPr>
                <w:rFonts w:hint="eastAsia"/>
                <w:b/>
                <w:bCs/>
                <w:color w:val="auto"/>
                <w:highlight w:val="none"/>
              </w:rPr>
              <w:t>、监测计划</w:t>
            </w:r>
          </w:p>
          <w:p w14:paraId="3387EA81">
            <w:pPr>
              <w:pStyle w:val="31"/>
              <w:bidi w:val="0"/>
              <w:rPr>
                <w:color w:val="auto"/>
                <w:highlight w:val="none"/>
              </w:rPr>
            </w:pPr>
            <w:r>
              <w:rPr>
                <w:color w:val="auto"/>
                <w:highlight w:val="none"/>
              </w:rPr>
              <w:t>根据《排污单位自行监测技术指南</w:t>
            </w:r>
            <w:r>
              <w:rPr>
                <w:rFonts w:hint="eastAsia"/>
                <w:color w:val="auto"/>
                <w:highlight w:val="none"/>
              </w:rPr>
              <w:t xml:space="preserve"> </w:t>
            </w:r>
            <w:r>
              <w:rPr>
                <w:color w:val="auto"/>
                <w:highlight w:val="none"/>
              </w:rPr>
              <w:t>总则》（H819-2017）</w:t>
            </w:r>
            <w:r>
              <w:rPr>
                <w:rFonts w:hint="eastAsia"/>
                <w:color w:val="auto"/>
                <w:sz w:val="24"/>
                <w:highlight w:val="none"/>
              </w:rPr>
              <w:t>和《排污许可证申请与核发技术规范 工业噪声》（HJ 1301-2023）</w:t>
            </w:r>
            <w:r>
              <w:rPr>
                <w:color w:val="auto"/>
                <w:highlight w:val="none"/>
              </w:rPr>
              <w:t>，制定本项目噪声监测计划如下</w:t>
            </w:r>
            <w:r>
              <w:rPr>
                <w:rFonts w:hint="eastAsia"/>
                <w:color w:val="auto"/>
                <w:highlight w:val="none"/>
              </w:rPr>
              <w:t>。</w:t>
            </w:r>
          </w:p>
          <w:p w14:paraId="2066EC2B">
            <w:pPr>
              <w:pStyle w:val="36"/>
              <w:bidi w:val="0"/>
              <w:rPr>
                <w:color w:val="auto"/>
                <w:highlight w:val="none"/>
              </w:rPr>
            </w:pPr>
            <w:r>
              <w:rPr>
                <w:color w:val="auto"/>
                <w:highlight w:val="none"/>
              </w:rPr>
              <w:t>表4</w:t>
            </w:r>
            <w:r>
              <w:rPr>
                <w:rFonts w:hint="eastAsia"/>
                <w:color w:val="auto"/>
                <w:highlight w:val="none"/>
              </w:rPr>
              <w:t>-</w:t>
            </w:r>
            <w:r>
              <w:rPr>
                <w:rFonts w:hint="eastAsia"/>
                <w:color w:val="auto"/>
                <w:highlight w:val="none"/>
                <w:lang w:val="en-US" w:eastAsia="zh-CN"/>
              </w:rPr>
              <w:t>9</w:t>
            </w:r>
            <w:r>
              <w:rPr>
                <w:color w:val="auto"/>
                <w:highlight w:val="none"/>
              </w:rPr>
              <w:t>项目噪声监测计划表</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4"/>
              <w:gridCol w:w="1476"/>
              <w:gridCol w:w="2084"/>
              <w:gridCol w:w="2656"/>
            </w:tblGrid>
            <w:tr w14:paraId="18545F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6" w:type="pct"/>
                  <w:vAlign w:val="center"/>
                </w:tcPr>
                <w:p w14:paraId="4890DDD5">
                  <w:pPr>
                    <w:pStyle w:val="34"/>
                    <w:bidi w:val="0"/>
                    <w:rPr>
                      <w:color w:val="auto"/>
                      <w:highlight w:val="none"/>
                    </w:rPr>
                  </w:pPr>
                  <w:r>
                    <w:rPr>
                      <w:rFonts w:hint="eastAsia"/>
                      <w:color w:val="auto"/>
                      <w:highlight w:val="none"/>
                    </w:rPr>
                    <w:t>类别</w:t>
                  </w:r>
                </w:p>
              </w:tc>
              <w:tc>
                <w:tcPr>
                  <w:tcW w:w="967" w:type="pct"/>
                  <w:vAlign w:val="center"/>
                </w:tcPr>
                <w:p w14:paraId="7A34CD94">
                  <w:pPr>
                    <w:pStyle w:val="34"/>
                    <w:bidi w:val="0"/>
                    <w:rPr>
                      <w:color w:val="auto"/>
                      <w:highlight w:val="none"/>
                    </w:rPr>
                  </w:pPr>
                  <w:r>
                    <w:rPr>
                      <w:rFonts w:hint="eastAsia"/>
                      <w:color w:val="auto"/>
                      <w:highlight w:val="none"/>
                    </w:rPr>
                    <w:t>监测点位</w:t>
                  </w:r>
                </w:p>
              </w:tc>
              <w:tc>
                <w:tcPr>
                  <w:tcW w:w="1365" w:type="pct"/>
                  <w:vAlign w:val="center"/>
                </w:tcPr>
                <w:p w14:paraId="5B0375C2">
                  <w:pPr>
                    <w:pStyle w:val="34"/>
                    <w:bidi w:val="0"/>
                    <w:rPr>
                      <w:color w:val="auto"/>
                      <w:highlight w:val="none"/>
                    </w:rPr>
                  </w:pPr>
                  <w:r>
                    <w:rPr>
                      <w:rFonts w:hint="eastAsia"/>
                      <w:color w:val="auto"/>
                      <w:highlight w:val="none"/>
                    </w:rPr>
                    <w:t>监测项目</w:t>
                  </w:r>
                </w:p>
              </w:tc>
              <w:tc>
                <w:tcPr>
                  <w:tcW w:w="1740" w:type="pct"/>
                  <w:vAlign w:val="center"/>
                </w:tcPr>
                <w:p w14:paraId="6B2E2649">
                  <w:pPr>
                    <w:pStyle w:val="34"/>
                    <w:bidi w:val="0"/>
                    <w:rPr>
                      <w:color w:val="auto"/>
                      <w:highlight w:val="none"/>
                    </w:rPr>
                  </w:pPr>
                  <w:r>
                    <w:rPr>
                      <w:rFonts w:hint="eastAsia"/>
                      <w:color w:val="auto"/>
                      <w:highlight w:val="none"/>
                    </w:rPr>
                    <w:t>监测频次</w:t>
                  </w:r>
                </w:p>
              </w:tc>
            </w:tr>
            <w:tr w14:paraId="340846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6" w:type="pct"/>
                  <w:vAlign w:val="center"/>
                </w:tcPr>
                <w:p w14:paraId="65D9DE2D">
                  <w:pPr>
                    <w:pStyle w:val="34"/>
                    <w:bidi w:val="0"/>
                    <w:rPr>
                      <w:color w:val="auto"/>
                      <w:highlight w:val="none"/>
                    </w:rPr>
                  </w:pPr>
                  <w:r>
                    <w:rPr>
                      <w:rFonts w:hint="eastAsia"/>
                      <w:color w:val="auto"/>
                      <w:highlight w:val="none"/>
                    </w:rPr>
                    <w:t>厂界噪声</w:t>
                  </w:r>
                </w:p>
              </w:tc>
              <w:tc>
                <w:tcPr>
                  <w:tcW w:w="967" w:type="pct"/>
                  <w:vAlign w:val="center"/>
                </w:tcPr>
                <w:p w14:paraId="1DC763E8">
                  <w:pPr>
                    <w:pStyle w:val="34"/>
                    <w:bidi w:val="0"/>
                    <w:rPr>
                      <w:color w:val="auto"/>
                      <w:highlight w:val="none"/>
                    </w:rPr>
                  </w:pPr>
                  <w:r>
                    <w:rPr>
                      <w:rFonts w:hint="eastAsia"/>
                      <w:color w:val="auto"/>
                      <w:highlight w:val="none"/>
                    </w:rPr>
                    <w:t>厂界四周</w:t>
                  </w:r>
                </w:p>
              </w:tc>
              <w:tc>
                <w:tcPr>
                  <w:tcW w:w="1365" w:type="pct"/>
                  <w:vAlign w:val="center"/>
                </w:tcPr>
                <w:p w14:paraId="28F2EF1B">
                  <w:pPr>
                    <w:pStyle w:val="34"/>
                    <w:bidi w:val="0"/>
                    <w:rPr>
                      <w:color w:val="auto"/>
                      <w:highlight w:val="none"/>
                    </w:rPr>
                  </w:pPr>
                  <w:r>
                    <w:rPr>
                      <w:rFonts w:hint="eastAsia"/>
                      <w:color w:val="auto"/>
                      <w:highlight w:val="none"/>
                    </w:rPr>
                    <w:t>等效连续A声级</w:t>
                  </w:r>
                </w:p>
              </w:tc>
              <w:tc>
                <w:tcPr>
                  <w:tcW w:w="1740" w:type="pct"/>
                  <w:vAlign w:val="center"/>
                </w:tcPr>
                <w:p w14:paraId="42C83BBC">
                  <w:pPr>
                    <w:pStyle w:val="34"/>
                    <w:bidi w:val="0"/>
                    <w:rPr>
                      <w:color w:val="auto"/>
                      <w:highlight w:val="none"/>
                    </w:rPr>
                  </w:pPr>
                  <w:r>
                    <w:rPr>
                      <w:rFonts w:hint="eastAsia"/>
                      <w:color w:val="auto"/>
                      <w:highlight w:val="none"/>
                    </w:rPr>
                    <w:t>1次/季度</w:t>
                  </w:r>
                </w:p>
              </w:tc>
            </w:tr>
          </w:tbl>
          <w:p w14:paraId="783F7E1A">
            <w:pPr>
              <w:pStyle w:val="31"/>
              <w:bidi w:val="0"/>
              <w:rPr>
                <w:b/>
                <w:bCs/>
                <w:color w:val="auto"/>
                <w:highlight w:val="none"/>
              </w:rPr>
            </w:pPr>
            <w:r>
              <w:rPr>
                <w:rFonts w:hint="eastAsia"/>
                <w:b/>
                <w:bCs/>
                <w:color w:val="auto"/>
                <w:highlight w:val="none"/>
              </w:rPr>
              <w:t>四</w:t>
            </w:r>
            <w:r>
              <w:rPr>
                <w:rFonts w:hint="eastAsia"/>
                <w:b/>
                <w:bCs/>
                <w:color w:val="auto"/>
                <w:highlight w:val="none"/>
                <w:lang w:eastAsia="zh-CN"/>
              </w:rPr>
              <w:t>、</w:t>
            </w:r>
            <w:r>
              <w:rPr>
                <w:rFonts w:hint="eastAsia"/>
                <w:b/>
                <w:bCs/>
                <w:color w:val="auto"/>
                <w:highlight w:val="none"/>
              </w:rPr>
              <w:t>固废</w:t>
            </w:r>
          </w:p>
          <w:p w14:paraId="174D8CB0">
            <w:pPr>
              <w:spacing w:line="360" w:lineRule="auto"/>
              <w:ind w:firstLine="482" w:firstLineChars="200"/>
              <w:contextualSpacing/>
              <w:rPr>
                <w:rFonts w:hAnsi="宋体"/>
                <w:b/>
                <w:bCs/>
                <w:color w:val="auto"/>
                <w:sz w:val="24"/>
                <w:highlight w:val="none"/>
              </w:rPr>
            </w:pPr>
            <w:r>
              <w:rPr>
                <w:b/>
                <w:bCs/>
                <w:color w:val="auto"/>
                <w:sz w:val="24"/>
                <w:highlight w:val="none"/>
              </w:rPr>
              <w:t>1</w:t>
            </w:r>
            <w:r>
              <w:rPr>
                <w:rFonts w:hAnsi="宋体"/>
                <w:b/>
                <w:bCs/>
                <w:color w:val="auto"/>
                <w:sz w:val="24"/>
                <w:highlight w:val="none"/>
              </w:rPr>
              <w:t>、</w:t>
            </w:r>
            <w:r>
              <w:rPr>
                <w:rFonts w:hint="eastAsia" w:hAnsi="宋体"/>
                <w:b/>
                <w:bCs/>
                <w:color w:val="auto"/>
                <w:sz w:val="24"/>
                <w:highlight w:val="none"/>
              </w:rPr>
              <w:t>固体废物产生情况</w:t>
            </w:r>
          </w:p>
          <w:p w14:paraId="4CA180D2">
            <w:pPr>
              <w:pStyle w:val="31"/>
              <w:bidi w:val="0"/>
              <w:rPr>
                <w:color w:val="auto"/>
                <w:highlight w:val="none"/>
              </w:rPr>
            </w:pPr>
            <w:r>
              <w:rPr>
                <w:color w:val="auto"/>
                <w:highlight w:val="none"/>
              </w:rPr>
              <w:t>本项目运营期产生的固体废物主要为</w:t>
            </w:r>
            <w:r>
              <w:rPr>
                <w:rFonts w:hint="eastAsia"/>
                <w:color w:val="auto"/>
                <w:highlight w:val="none"/>
              </w:rPr>
              <w:t>废活性炭</w:t>
            </w:r>
            <w:r>
              <w:rPr>
                <w:rFonts w:hint="eastAsia"/>
                <w:color w:val="auto"/>
                <w:highlight w:val="none"/>
                <w:lang w:eastAsia="zh-CN"/>
              </w:rPr>
              <w:t>、</w:t>
            </w:r>
            <w:r>
              <w:rPr>
                <w:rFonts w:hint="eastAsia"/>
                <w:color w:val="auto"/>
                <w:highlight w:val="none"/>
              </w:rPr>
              <w:t>布袋除尘器收尘</w:t>
            </w:r>
            <w:r>
              <w:rPr>
                <w:rFonts w:hint="eastAsia"/>
                <w:color w:val="auto"/>
                <w:highlight w:val="none"/>
                <w:lang w:eastAsia="zh-CN"/>
              </w:rPr>
              <w:t>、</w:t>
            </w:r>
            <w:r>
              <w:rPr>
                <w:color w:val="auto"/>
                <w:highlight w:val="none"/>
                <w:lang w:val="en-US" w:eastAsia="zh-CN"/>
              </w:rPr>
              <w:t>废导热油</w:t>
            </w:r>
            <w:r>
              <w:rPr>
                <w:rFonts w:hint="eastAsia"/>
                <w:color w:val="auto"/>
                <w:highlight w:val="none"/>
                <w:lang w:val="en-US" w:eastAsia="zh-CN"/>
              </w:rPr>
              <w:t>、</w:t>
            </w:r>
            <w:r>
              <w:rPr>
                <w:color w:val="auto"/>
                <w:highlight w:val="none"/>
                <w:lang w:val="en-US" w:eastAsia="zh-CN"/>
              </w:rPr>
              <w:t>废料</w:t>
            </w:r>
            <w:r>
              <w:rPr>
                <w:rFonts w:hint="eastAsia"/>
                <w:color w:val="auto"/>
                <w:highlight w:val="none"/>
                <w:lang w:eastAsia="zh-CN"/>
              </w:rPr>
              <w:t>、</w:t>
            </w:r>
            <w:r>
              <w:rPr>
                <w:rFonts w:hint="eastAsia"/>
                <w:color w:val="auto"/>
                <w:highlight w:val="none"/>
              </w:rPr>
              <w:t>溢料</w:t>
            </w:r>
            <w:r>
              <w:rPr>
                <w:rFonts w:hint="eastAsia"/>
                <w:color w:val="auto"/>
                <w:highlight w:val="none"/>
                <w:lang w:eastAsia="zh-CN"/>
              </w:rPr>
              <w:t>、</w:t>
            </w:r>
            <w:r>
              <w:rPr>
                <w:rFonts w:hint="eastAsia"/>
                <w:color w:val="auto"/>
                <w:highlight w:val="none"/>
              </w:rPr>
              <w:t>实验室废料</w:t>
            </w:r>
            <w:r>
              <w:rPr>
                <w:rFonts w:hint="eastAsia"/>
                <w:color w:val="auto"/>
                <w:highlight w:val="none"/>
                <w:lang w:eastAsia="zh-CN"/>
              </w:rPr>
              <w:t>、</w:t>
            </w:r>
            <w:r>
              <w:rPr>
                <w:rFonts w:hint="eastAsia"/>
                <w:color w:val="auto"/>
                <w:highlight w:val="none"/>
              </w:rPr>
              <w:t>废油脂</w:t>
            </w:r>
            <w:r>
              <w:rPr>
                <w:rFonts w:hint="eastAsia"/>
                <w:color w:val="auto"/>
                <w:highlight w:val="none"/>
                <w:lang w:eastAsia="zh-CN"/>
              </w:rPr>
              <w:t>、</w:t>
            </w:r>
            <w:r>
              <w:rPr>
                <w:color w:val="auto"/>
                <w:highlight w:val="none"/>
                <w:lang w:val="en-US" w:eastAsia="zh-CN"/>
              </w:rPr>
              <w:t>生活垃圾</w:t>
            </w:r>
            <w:r>
              <w:rPr>
                <w:rFonts w:hint="eastAsia"/>
                <w:color w:val="auto"/>
                <w:highlight w:val="none"/>
                <w:lang w:val="en-US" w:eastAsia="zh-CN"/>
              </w:rPr>
              <w:t>等</w:t>
            </w:r>
            <w:r>
              <w:rPr>
                <w:color w:val="auto"/>
                <w:highlight w:val="none"/>
              </w:rPr>
              <w:t>。</w:t>
            </w:r>
          </w:p>
          <w:p w14:paraId="1BA39F20">
            <w:pPr>
              <w:pStyle w:val="31"/>
              <w:bidi w:val="0"/>
              <w:rPr>
                <w:rFonts w:hint="default"/>
                <w:color w:val="auto"/>
                <w:highlight w:val="none"/>
                <w:lang w:val="en-US"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lang w:val="en-US" w:eastAsia="zh-CN"/>
              </w:rPr>
              <w:t>生活垃圾</w:t>
            </w:r>
          </w:p>
          <w:p w14:paraId="00E286DA">
            <w:pPr>
              <w:pStyle w:val="31"/>
              <w:bidi w:val="0"/>
              <w:rPr>
                <w:rFonts w:hint="default"/>
                <w:color w:val="auto"/>
                <w:highlight w:val="none"/>
                <w:lang w:val="en-US" w:eastAsia="zh-CN"/>
              </w:rPr>
            </w:pPr>
            <w:r>
              <w:rPr>
                <w:rFonts w:hint="eastAsia"/>
                <w:color w:val="auto"/>
                <w:highlight w:val="none"/>
                <w:lang w:val="en-US" w:eastAsia="zh-CN"/>
              </w:rPr>
              <w:t>①生活垃圾</w:t>
            </w:r>
          </w:p>
          <w:p w14:paraId="7974FC8C">
            <w:pPr>
              <w:pStyle w:val="31"/>
              <w:bidi w:val="0"/>
              <w:rPr>
                <w:rFonts w:hint="eastAsia"/>
                <w:color w:val="auto"/>
                <w:highlight w:val="none"/>
                <w:lang w:eastAsia="zh-CN"/>
              </w:rPr>
            </w:pPr>
            <w:r>
              <w:rPr>
                <w:color w:val="auto"/>
                <w:highlight w:val="none"/>
              </w:rPr>
              <w:t>本项目生活垃圾按照0.</w:t>
            </w:r>
            <w:r>
              <w:rPr>
                <w:rFonts w:hint="eastAsia"/>
                <w:color w:val="auto"/>
                <w:highlight w:val="none"/>
              </w:rPr>
              <w:t>5</w:t>
            </w:r>
            <w:r>
              <w:rPr>
                <w:color w:val="auto"/>
                <w:highlight w:val="none"/>
              </w:rPr>
              <w:t>kg/人•d计算，职工</w:t>
            </w:r>
            <w:r>
              <w:rPr>
                <w:rFonts w:hint="eastAsia"/>
                <w:color w:val="auto"/>
                <w:highlight w:val="none"/>
                <w:lang w:val="en-US" w:eastAsia="zh-CN"/>
              </w:rPr>
              <w:t>13</w:t>
            </w:r>
            <w:r>
              <w:rPr>
                <w:color w:val="auto"/>
                <w:highlight w:val="none"/>
              </w:rPr>
              <w:t>人，生活垃圾量为</w:t>
            </w:r>
            <w:r>
              <w:rPr>
                <w:rFonts w:hint="eastAsia"/>
                <w:color w:val="auto"/>
                <w:highlight w:val="none"/>
                <w:lang w:val="en-US" w:eastAsia="zh-CN"/>
              </w:rPr>
              <w:t>1.17</w:t>
            </w:r>
            <w:r>
              <w:rPr>
                <w:color w:val="auto"/>
                <w:highlight w:val="none"/>
              </w:rPr>
              <w:t>t/a</w:t>
            </w:r>
            <w:r>
              <w:rPr>
                <w:rFonts w:hint="eastAsia"/>
                <w:color w:val="auto"/>
                <w:highlight w:val="none"/>
                <w:lang w:eastAsia="zh-CN"/>
              </w:rPr>
              <w:t>，</w:t>
            </w:r>
            <w:r>
              <w:rPr>
                <w:color w:val="auto"/>
                <w:highlight w:val="none"/>
              </w:rPr>
              <w:t>本项目生活垃圾交由市政部门统一处理</w:t>
            </w:r>
            <w:r>
              <w:rPr>
                <w:rFonts w:hint="eastAsia"/>
                <w:color w:val="auto"/>
                <w:highlight w:val="none"/>
                <w:lang w:eastAsia="zh-CN"/>
              </w:rPr>
              <w:t>；</w:t>
            </w:r>
          </w:p>
          <w:p w14:paraId="22276920">
            <w:pPr>
              <w:pStyle w:val="31"/>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lang w:val="en-US" w:eastAsia="zh-CN"/>
              </w:rPr>
              <w:t>一般固废</w:t>
            </w:r>
          </w:p>
          <w:p w14:paraId="0FFF087B">
            <w:pPr>
              <w:pStyle w:val="31"/>
              <w:bidi w:val="0"/>
              <w:rPr>
                <w:rFonts w:hint="eastAsia"/>
                <w:color w:val="auto"/>
                <w:highlight w:val="none"/>
              </w:rPr>
            </w:pPr>
            <w:r>
              <w:rPr>
                <w:rFonts w:hint="eastAsia"/>
                <w:color w:val="auto"/>
                <w:highlight w:val="none"/>
                <w:lang w:val="en-US" w:eastAsia="zh-CN"/>
              </w:rPr>
              <w:t>①</w:t>
            </w:r>
            <w:r>
              <w:rPr>
                <w:rFonts w:hint="eastAsia"/>
                <w:color w:val="auto"/>
                <w:highlight w:val="none"/>
              </w:rPr>
              <w:t>布袋除尘器收尘</w:t>
            </w:r>
          </w:p>
          <w:p w14:paraId="6FC61E4A">
            <w:pPr>
              <w:pStyle w:val="31"/>
              <w:bidi w:val="0"/>
              <w:rPr>
                <w:rFonts w:hint="eastAsia"/>
                <w:color w:val="auto"/>
                <w:highlight w:val="none"/>
                <w:lang w:val="en-US" w:eastAsia="zh-CN"/>
              </w:rPr>
            </w:pPr>
            <w:r>
              <w:rPr>
                <w:rFonts w:hint="eastAsia"/>
                <w:color w:val="auto"/>
                <w:highlight w:val="none"/>
                <w:lang w:val="en-US" w:eastAsia="zh-CN"/>
              </w:rPr>
              <w:t>a.</w:t>
            </w:r>
            <w:r>
              <w:rPr>
                <w:rFonts w:hint="eastAsia"/>
                <w:color w:val="auto"/>
                <w:highlight w:val="none"/>
                <w:lang w:val="en-US" w:eastAsia="zh-CN"/>
              </w:rPr>
              <w:t>水泥筒仓</w:t>
            </w:r>
            <w:r>
              <w:rPr>
                <w:rFonts w:hint="eastAsia"/>
                <w:color w:val="auto"/>
                <w:highlight w:val="none"/>
              </w:rPr>
              <w:t>布袋除尘器收尘</w:t>
            </w:r>
          </w:p>
          <w:p w14:paraId="3B4A6A22">
            <w:pPr>
              <w:pStyle w:val="31"/>
              <w:bidi w:val="0"/>
              <w:rPr>
                <w:rFonts w:hint="eastAsia"/>
                <w:color w:val="auto"/>
                <w:highlight w:val="none"/>
                <w:lang w:eastAsia="zh-CN"/>
              </w:rPr>
            </w:pPr>
            <w:r>
              <w:rPr>
                <w:rFonts w:hint="eastAsia"/>
                <w:color w:val="auto"/>
                <w:highlight w:val="none"/>
                <w:lang w:val="en-US" w:eastAsia="zh-CN"/>
              </w:rPr>
              <w:t>水泥筒仓</w:t>
            </w:r>
            <w:r>
              <w:rPr>
                <w:rFonts w:hint="eastAsia"/>
                <w:color w:val="auto"/>
                <w:highlight w:val="none"/>
              </w:rPr>
              <w:t>布袋除尘器收尘</w:t>
            </w:r>
            <w:r>
              <w:rPr>
                <w:color w:val="auto"/>
                <w:highlight w:val="none"/>
              </w:rPr>
              <w:t>收集的粉尘约为</w:t>
            </w:r>
            <w:r>
              <w:rPr>
                <w:rFonts w:hint="eastAsia"/>
                <w:color w:val="auto"/>
                <w:highlight w:val="none"/>
                <w:lang w:val="en-US" w:eastAsia="zh-CN"/>
              </w:rPr>
              <w:t>1.9t/a，</w:t>
            </w:r>
            <w:r>
              <w:rPr>
                <w:color w:val="auto"/>
                <w:highlight w:val="none"/>
              </w:rPr>
              <w:t>作为原料回用于生产</w:t>
            </w:r>
            <w:r>
              <w:rPr>
                <w:rFonts w:hint="eastAsia"/>
                <w:color w:val="auto"/>
                <w:highlight w:val="none"/>
                <w:lang w:eastAsia="zh-CN"/>
              </w:rPr>
              <w:t>；</w:t>
            </w:r>
          </w:p>
          <w:p w14:paraId="4990B6E7">
            <w:pPr>
              <w:pStyle w:val="31"/>
              <w:bidi w:val="0"/>
              <w:rPr>
                <w:rFonts w:hint="default"/>
                <w:color w:val="auto"/>
                <w:highlight w:val="none"/>
                <w:lang w:val="en-US" w:eastAsia="zh-CN"/>
              </w:rPr>
            </w:pPr>
            <w:r>
              <w:rPr>
                <w:rFonts w:hint="eastAsia"/>
                <w:color w:val="auto"/>
                <w:highlight w:val="none"/>
                <w:lang w:val="en-US" w:eastAsia="zh-CN"/>
              </w:rPr>
              <w:t>b.</w:t>
            </w:r>
            <w:r>
              <w:rPr>
                <w:rFonts w:hint="eastAsia"/>
                <w:color w:val="auto"/>
                <w:highlight w:val="none"/>
                <w:lang w:val="en-US" w:eastAsia="zh-CN"/>
              </w:rPr>
              <w:t>粉煤灰筒仓</w:t>
            </w:r>
            <w:r>
              <w:rPr>
                <w:rFonts w:hint="eastAsia"/>
                <w:color w:val="auto"/>
                <w:highlight w:val="none"/>
              </w:rPr>
              <w:t>布袋除尘器收尘</w:t>
            </w:r>
          </w:p>
          <w:p w14:paraId="38EFB2F5">
            <w:pPr>
              <w:pStyle w:val="31"/>
              <w:bidi w:val="0"/>
              <w:rPr>
                <w:rFonts w:hint="eastAsia"/>
                <w:color w:val="auto"/>
                <w:highlight w:val="none"/>
                <w:lang w:eastAsia="zh-CN"/>
              </w:rPr>
            </w:pPr>
            <w:r>
              <w:rPr>
                <w:rFonts w:hint="eastAsia"/>
                <w:color w:val="auto"/>
                <w:highlight w:val="none"/>
                <w:lang w:val="en-US" w:eastAsia="zh-CN"/>
              </w:rPr>
              <w:t>粉煤灰筒</w:t>
            </w:r>
            <w:r>
              <w:rPr>
                <w:rFonts w:hint="eastAsia"/>
                <w:color w:val="auto"/>
                <w:highlight w:val="none"/>
              </w:rPr>
              <w:t>布袋除尘器收尘</w:t>
            </w:r>
            <w:r>
              <w:rPr>
                <w:color w:val="auto"/>
                <w:highlight w:val="none"/>
              </w:rPr>
              <w:t>收集的粉尘约为</w:t>
            </w:r>
            <w:r>
              <w:rPr>
                <w:rFonts w:hint="eastAsia"/>
                <w:color w:val="auto"/>
                <w:highlight w:val="none"/>
                <w:lang w:val="en-US" w:eastAsia="zh-CN"/>
              </w:rPr>
              <w:t>0.594t/a，</w:t>
            </w:r>
            <w:r>
              <w:rPr>
                <w:color w:val="auto"/>
                <w:highlight w:val="none"/>
              </w:rPr>
              <w:t>作为原料回用于生产</w:t>
            </w:r>
            <w:r>
              <w:rPr>
                <w:rFonts w:hint="eastAsia"/>
                <w:color w:val="auto"/>
                <w:highlight w:val="none"/>
                <w:lang w:eastAsia="zh-CN"/>
              </w:rPr>
              <w:t>；</w:t>
            </w:r>
          </w:p>
          <w:p w14:paraId="237F7042">
            <w:pPr>
              <w:pStyle w:val="31"/>
              <w:bidi w:val="0"/>
              <w:rPr>
                <w:rFonts w:hint="eastAsia"/>
                <w:color w:val="auto"/>
                <w:highlight w:val="none"/>
              </w:rPr>
            </w:pPr>
            <w:r>
              <w:rPr>
                <w:rFonts w:hint="eastAsia"/>
                <w:color w:val="auto"/>
                <w:highlight w:val="none"/>
                <w:lang w:val="en-US" w:eastAsia="zh-CN"/>
              </w:rPr>
              <w:t>c.</w:t>
            </w:r>
            <w:r>
              <w:rPr>
                <w:rFonts w:hint="eastAsia"/>
                <w:color w:val="auto"/>
                <w:highlight w:val="none"/>
                <w:lang w:val="en-US" w:eastAsia="zh-CN"/>
              </w:rPr>
              <w:t>外加剂罐</w:t>
            </w:r>
            <w:r>
              <w:rPr>
                <w:rFonts w:hint="eastAsia"/>
                <w:color w:val="auto"/>
                <w:highlight w:val="none"/>
              </w:rPr>
              <w:t>布袋除尘器收尘</w:t>
            </w:r>
          </w:p>
          <w:p w14:paraId="52B9A8F8">
            <w:pPr>
              <w:pStyle w:val="31"/>
              <w:bidi w:val="0"/>
              <w:rPr>
                <w:rFonts w:hint="eastAsia"/>
                <w:color w:val="auto"/>
                <w:highlight w:val="none"/>
                <w:lang w:eastAsia="zh-CN"/>
              </w:rPr>
            </w:pPr>
            <w:r>
              <w:rPr>
                <w:rFonts w:hint="eastAsia"/>
                <w:color w:val="auto"/>
                <w:highlight w:val="none"/>
                <w:lang w:val="en-US" w:eastAsia="zh-CN"/>
              </w:rPr>
              <w:t>外加剂罐</w:t>
            </w:r>
            <w:r>
              <w:rPr>
                <w:rFonts w:hint="eastAsia"/>
                <w:color w:val="auto"/>
                <w:highlight w:val="none"/>
              </w:rPr>
              <w:t>布袋除尘器</w:t>
            </w:r>
            <w:r>
              <w:rPr>
                <w:color w:val="auto"/>
                <w:highlight w:val="none"/>
              </w:rPr>
              <w:t>收集的粉尘约为</w:t>
            </w:r>
            <w:r>
              <w:rPr>
                <w:rFonts w:hint="eastAsia"/>
                <w:color w:val="auto"/>
                <w:highlight w:val="none"/>
                <w:lang w:val="en-US" w:eastAsia="zh-CN"/>
              </w:rPr>
              <w:t>0.0594t/a，</w:t>
            </w:r>
            <w:r>
              <w:rPr>
                <w:color w:val="auto"/>
                <w:highlight w:val="none"/>
              </w:rPr>
              <w:t>作为原料回用于生产</w:t>
            </w:r>
            <w:r>
              <w:rPr>
                <w:rFonts w:hint="eastAsia"/>
                <w:color w:val="auto"/>
                <w:highlight w:val="none"/>
                <w:lang w:eastAsia="zh-CN"/>
              </w:rPr>
              <w:t>；</w:t>
            </w:r>
          </w:p>
          <w:p w14:paraId="19E028F3">
            <w:pPr>
              <w:pStyle w:val="31"/>
              <w:bidi w:val="0"/>
              <w:rPr>
                <w:rFonts w:hint="eastAsia"/>
                <w:color w:val="auto"/>
                <w:highlight w:val="none"/>
                <w:lang w:val="en-US" w:eastAsia="zh-CN"/>
              </w:rPr>
            </w:pPr>
            <w:r>
              <w:rPr>
                <w:rFonts w:hint="eastAsia"/>
                <w:color w:val="auto"/>
                <w:highlight w:val="none"/>
                <w:lang w:val="en-US" w:eastAsia="zh-CN"/>
              </w:rPr>
              <w:t>d.</w:t>
            </w:r>
            <w:r>
              <w:rPr>
                <w:rFonts w:hint="eastAsia"/>
                <w:color w:val="auto"/>
                <w:highlight w:val="none"/>
                <w:lang w:val="en-US" w:eastAsia="zh-CN"/>
              </w:rPr>
              <w:t>搅拌机布袋除尘器收尘</w:t>
            </w:r>
          </w:p>
          <w:p w14:paraId="0336E087">
            <w:pPr>
              <w:pStyle w:val="31"/>
              <w:bidi w:val="0"/>
              <w:rPr>
                <w:rFonts w:hint="default"/>
                <w:color w:val="auto"/>
                <w:highlight w:val="none"/>
                <w:lang w:val="en-US" w:eastAsia="zh-CN"/>
              </w:rPr>
            </w:pPr>
            <w:r>
              <w:rPr>
                <w:rFonts w:hint="eastAsia"/>
                <w:color w:val="auto"/>
                <w:highlight w:val="none"/>
                <w:lang w:val="en-US" w:eastAsia="zh-CN"/>
              </w:rPr>
              <w:t>搅拌机布袋除尘器</w:t>
            </w:r>
            <w:r>
              <w:rPr>
                <w:color w:val="auto"/>
                <w:highlight w:val="none"/>
              </w:rPr>
              <w:t>收集的粉尘约为</w:t>
            </w:r>
            <w:r>
              <w:rPr>
                <w:rFonts w:hint="eastAsia"/>
                <w:color w:val="auto"/>
                <w:highlight w:val="none"/>
                <w:lang w:val="en-US" w:eastAsia="zh-CN"/>
              </w:rPr>
              <w:t>15.9t/a，</w:t>
            </w:r>
            <w:r>
              <w:rPr>
                <w:color w:val="auto"/>
                <w:highlight w:val="none"/>
              </w:rPr>
              <w:t>作为原料回用于生产</w:t>
            </w:r>
            <w:r>
              <w:rPr>
                <w:rFonts w:hint="eastAsia"/>
                <w:color w:val="auto"/>
                <w:highlight w:val="none"/>
                <w:lang w:eastAsia="zh-CN"/>
              </w:rPr>
              <w:t>；</w:t>
            </w:r>
          </w:p>
          <w:p w14:paraId="6DA9B5BC">
            <w:pPr>
              <w:pStyle w:val="31"/>
              <w:bidi w:val="0"/>
              <w:rPr>
                <w:rFonts w:hint="eastAsia"/>
                <w:color w:val="auto"/>
                <w:highlight w:val="none"/>
                <w:lang w:val="en-US" w:eastAsia="zh-CN"/>
              </w:rPr>
            </w:pPr>
            <w:r>
              <w:rPr>
                <w:rFonts w:hint="eastAsia"/>
                <w:color w:val="auto"/>
                <w:highlight w:val="none"/>
                <w:lang w:val="en-US" w:eastAsia="zh-CN"/>
              </w:rPr>
              <w:t>②实验室废料</w:t>
            </w:r>
          </w:p>
          <w:p w14:paraId="27BC3EAD">
            <w:pPr>
              <w:pStyle w:val="31"/>
              <w:bidi w:val="0"/>
              <w:rPr>
                <w:rFonts w:hint="eastAsia"/>
                <w:color w:val="auto"/>
                <w:highlight w:val="none"/>
                <w:lang w:eastAsia="zh-CN"/>
              </w:rPr>
            </w:pPr>
            <w:r>
              <w:rPr>
                <w:rFonts w:hint="eastAsia"/>
                <w:color w:val="auto"/>
                <w:highlight w:val="none"/>
                <w:lang w:val="en-US" w:eastAsia="zh-CN"/>
              </w:rPr>
              <w:t>本项目实验室检测</w:t>
            </w:r>
            <w:r>
              <w:rPr>
                <w:color w:val="auto"/>
                <w:highlight w:val="none"/>
              </w:rPr>
              <w:t>会产生一定量的试验混凝土，产生量</w:t>
            </w:r>
            <w:r>
              <w:rPr>
                <w:rFonts w:hint="eastAsia"/>
                <w:color w:val="auto"/>
                <w:highlight w:val="none"/>
                <w:lang w:val="en-US" w:eastAsia="zh-CN"/>
              </w:rPr>
              <w:t>约为1.5t/a</w:t>
            </w:r>
            <w:r>
              <w:rPr>
                <w:color w:val="auto"/>
                <w:highlight w:val="none"/>
              </w:rPr>
              <w:t>，</w:t>
            </w:r>
            <w:r>
              <w:rPr>
                <w:rFonts w:hint="eastAsia"/>
                <w:color w:val="auto"/>
                <w:highlight w:val="none"/>
                <w:lang w:val="en-US" w:eastAsia="zh-CN"/>
              </w:rPr>
              <w:t>由</w:t>
            </w:r>
            <w:r>
              <w:rPr>
                <w:color w:val="auto"/>
                <w:highlight w:val="none"/>
              </w:rPr>
              <w:t>骨料供应商回收破碎后重新利用</w:t>
            </w:r>
            <w:r>
              <w:rPr>
                <w:rFonts w:hint="eastAsia"/>
                <w:color w:val="auto"/>
                <w:highlight w:val="none"/>
                <w:lang w:eastAsia="zh-CN"/>
              </w:rPr>
              <w:t>；</w:t>
            </w:r>
          </w:p>
          <w:p w14:paraId="23B1FC8B">
            <w:pPr>
              <w:pStyle w:val="31"/>
              <w:bidi w:val="0"/>
              <w:rPr>
                <w:rFonts w:hint="eastAsia"/>
                <w:color w:val="auto"/>
                <w:highlight w:val="none"/>
                <w:lang w:val="en-US" w:eastAsia="zh-CN"/>
              </w:rPr>
            </w:pPr>
            <w:r>
              <w:rPr>
                <w:rFonts w:hint="eastAsia"/>
                <w:color w:val="auto"/>
                <w:highlight w:val="none"/>
                <w:lang w:val="en-US" w:eastAsia="zh-CN"/>
              </w:rPr>
              <w:t>③废布袋</w:t>
            </w:r>
          </w:p>
          <w:p w14:paraId="05C12AC5">
            <w:pPr>
              <w:pStyle w:val="31"/>
              <w:bidi w:val="0"/>
              <w:rPr>
                <w:rFonts w:hint="default"/>
                <w:color w:val="auto"/>
                <w:highlight w:val="none"/>
                <w:lang w:val="en-US" w:eastAsia="zh-CN"/>
              </w:rPr>
            </w:pPr>
            <w:r>
              <w:rPr>
                <w:rFonts w:hint="default"/>
                <w:color w:val="auto"/>
                <w:highlight w:val="none"/>
              </w:rPr>
              <w:t>废弃</w:t>
            </w:r>
            <w:r>
              <w:rPr>
                <w:rFonts w:hint="eastAsia"/>
                <w:color w:val="auto"/>
                <w:highlight w:val="none"/>
                <w:lang w:val="en-US" w:eastAsia="zh-CN"/>
              </w:rPr>
              <w:t>布袋</w:t>
            </w:r>
            <w:r>
              <w:rPr>
                <w:rFonts w:hint="default"/>
                <w:color w:val="auto"/>
                <w:highlight w:val="none"/>
              </w:rPr>
              <w:t>产生量约为0.</w:t>
            </w:r>
            <w:r>
              <w:rPr>
                <w:rFonts w:hint="eastAsia"/>
                <w:color w:val="auto"/>
                <w:highlight w:val="none"/>
                <w:lang w:val="en-US" w:eastAsia="zh-CN"/>
              </w:rPr>
              <w:t>02</w:t>
            </w:r>
            <w:r>
              <w:rPr>
                <w:rFonts w:hint="default"/>
                <w:color w:val="auto"/>
                <w:highlight w:val="none"/>
              </w:rPr>
              <w:t>t/a</w:t>
            </w:r>
            <w:r>
              <w:rPr>
                <w:rFonts w:hint="eastAsia"/>
                <w:color w:val="auto"/>
                <w:highlight w:val="none"/>
                <w:lang w:eastAsia="zh-CN"/>
              </w:rPr>
              <w:t>，</w:t>
            </w:r>
            <w:r>
              <w:rPr>
                <w:rFonts w:hint="eastAsia"/>
                <w:color w:val="auto"/>
                <w:highlight w:val="none"/>
                <w:lang w:val="en-US" w:eastAsia="zh-CN"/>
              </w:rPr>
              <w:t>布袋除尘器</w:t>
            </w:r>
            <w:r>
              <w:rPr>
                <w:rFonts w:hint="default"/>
                <w:color w:val="auto"/>
                <w:highlight w:val="none"/>
              </w:rPr>
              <w:t>产生的废</w:t>
            </w:r>
            <w:r>
              <w:rPr>
                <w:rFonts w:hint="eastAsia"/>
                <w:color w:val="auto"/>
                <w:highlight w:val="none"/>
                <w:lang w:val="en-US" w:eastAsia="zh-CN"/>
              </w:rPr>
              <w:t>布袋</w:t>
            </w:r>
            <w:r>
              <w:rPr>
                <w:rFonts w:hint="default"/>
                <w:color w:val="auto"/>
                <w:highlight w:val="none"/>
              </w:rPr>
              <w:t>由厂家</w:t>
            </w:r>
            <w:r>
              <w:rPr>
                <w:rFonts w:hint="eastAsia"/>
                <w:color w:val="auto"/>
                <w:highlight w:val="none"/>
                <w:lang w:val="en-US" w:eastAsia="zh-CN"/>
              </w:rPr>
              <w:t>更换并</w:t>
            </w:r>
            <w:r>
              <w:rPr>
                <w:rFonts w:hint="default"/>
                <w:color w:val="auto"/>
                <w:highlight w:val="none"/>
              </w:rPr>
              <w:t>回收</w:t>
            </w:r>
            <w:r>
              <w:rPr>
                <w:rFonts w:hint="eastAsia"/>
                <w:color w:val="auto"/>
                <w:highlight w:val="none"/>
                <w:lang w:val="en-US" w:eastAsia="zh-CN"/>
              </w:rPr>
              <w:t>处置</w:t>
            </w:r>
            <w:r>
              <w:rPr>
                <w:rFonts w:hint="default"/>
                <w:color w:val="auto"/>
                <w:highlight w:val="none"/>
              </w:rPr>
              <w:t>。</w:t>
            </w:r>
          </w:p>
          <w:p w14:paraId="281A0EA6">
            <w:pPr>
              <w:pStyle w:val="31"/>
              <w:bidi w:val="0"/>
              <w:rPr>
                <w:rFonts w:hint="default"/>
                <w:color w:val="auto"/>
                <w:highlight w:val="none"/>
                <w:lang w:val="en-US" w:eastAsia="zh-CN"/>
              </w:rPr>
            </w:pPr>
            <w:r>
              <w:rPr>
                <w:rFonts w:hint="eastAsia"/>
                <w:color w:val="auto"/>
                <w:highlight w:val="none"/>
                <w:lang w:val="en-US" w:eastAsia="zh-CN"/>
              </w:rPr>
              <w:t>④沉淀池底泥</w:t>
            </w:r>
          </w:p>
          <w:p w14:paraId="6FF8C345">
            <w:pPr>
              <w:pStyle w:val="31"/>
              <w:bidi w:val="0"/>
              <w:rPr>
                <w:rFonts w:hint="default"/>
                <w:color w:val="auto"/>
                <w:highlight w:val="none"/>
                <w:lang w:val="en-US" w:eastAsia="zh-CN"/>
              </w:rPr>
            </w:pPr>
            <w:r>
              <w:rPr>
                <w:rFonts w:hint="eastAsia"/>
                <w:color w:val="auto"/>
                <w:highlight w:val="none"/>
                <w:lang w:val="en-US" w:eastAsia="zh-CN"/>
              </w:rPr>
              <w:t>本项目沉淀池底泥产生量约为0.05t/a，污泥产生量定期自然晾干挖出，交由市政环卫部门处理。</w:t>
            </w:r>
          </w:p>
          <w:p w14:paraId="46CCB23C">
            <w:pPr>
              <w:pStyle w:val="31"/>
              <w:bidi w:val="0"/>
              <w:rPr>
                <w:rFonts w:hint="default"/>
                <w:color w:val="auto"/>
                <w:highlight w:val="none"/>
                <w:lang w:val="en-US"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lang w:val="en-US" w:eastAsia="zh-CN"/>
              </w:rPr>
              <w:t>危险废物</w:t>
            </w:r>
          </w:p>
          <w:p w14:paraId="4023C77C">
            <w:pPr>
              <w:pStyle w:val="31"/>
              <w:bidi w:val="0"/>
              <w:rPr>
                <w:rFonts w:hint="eastAsia"/>
                <w:color w:val="auto"/>
                <w:highlight w:val="none"/>
                <w:lang w:val="en-US" w:eastAsia="zh-CN"/>
              </w:rPr>
            </w:pPr>
            <w:r>
              <w:rPr>
                <w:rFonts w:hint="eastAsia"/>
                <w:color w:val="auto"/>
                <w:highlight w:val="none"/>
                <w:lang w:val="en-US" w:eastAsia="zh-CN"/>
              </w:rPr>
              <w:t>①</w:t>
            </w:r>
            <w:r>
              <w:rPr>
                <w:rFonts w:hint="eastAsia"/>
                <w:color w:val="auto"/>
                <w:highlight w:val="none"/>
                <w:lang w:eastAsia="zh-CN"/>
              </w:rPr>
              <w:t>废润滑油</w:t>
            </w:r>
          </w:p>
          <w:p w14:paraId="0F7886A8">
            <w:pPr>
              <w:pStyle w:val="31"/>
              <w:bidi w:val="0"/>
              <w:rPr>
                <w:color w:val="auto"/>
                <w:highlight w:val="none"/>
              </w:rPr>
            </w:pPr>
            <w:r>
              <w:rPr>
                <w:rFonts w:hint="eastAsia"/>
                <w:color w:val="auto"/>
                <w:highlight w:val="none"/>
                <w:lang w:val="en-US" w:eastAsia="zh-CN"/>
              </w:rPr>
              <w:t>设备维护保养、维修产生废润滑油</w:t>
            </w:r>
            <w:r>
              <w:rPr>
                <w:rFonts w:hint="eastAsia"/>
                <w:color w:val="auto"/>
                <w:highlight w:val="none"/>
                <w:lang w:eastAsia="zh-CN"/>
              </w:rPr>
              <w:t>，</w:t>
            </w:r>
            <w:r>
              <w:rPr>
                <w:rFonts w:hint="default"/>
                <w:color w:val="auto"/>
                <w:highlight w:val="none"/>
              </w:rPr>
              <w:t>对照</w:t>
            </w:r>
            <w:r>
              <w:rPr>
                <w:rFonts w:hint="eastAsia"/>
                <w:color w:val="auto"/>
                <w:highlight w:val="none"/>
                <w:lang w:eastAsia="zh-CN"/>
              </w:rPr>
              <w:t>《国家危险废物名录（2025年版）》</w:t>
            </w:r>
            <w:r>
              <w:rPr>
                <w:color w:val="auto"/>
                <w:highlight w:val="none"/>
              </w:rPr>
              <w:t>，</w:t>
            </w:r>
            <w:r>
              <w:rPr>
                <w:rFonts w:hint="eastAsia"/>
                <w:color w:val="auto"/>
                <w:highlight w:val="none"/>
                <w:lang w:eastAsia="zh-CN"/>
              </w:rPr>
              <w:t>废润滑油</w:t>
            </w:r>
            <w:r>
              <w:rPr>
                <w:color w:val="auto"/>
                <w:highlight w:val="none"/>
              </w:rPr>
              <w:t>属于“HW08废矿物油与含矿物油废物”中的“900-214-08车辆、轮船及其它机械维修过程中产生的废发动机油、制动器油、自动变速器油、齿轮油等废润滑油”</w:t>
            </w:r>
            <w:r>
              <w:rPr>
                <w:rFonts w:hint="eastAsia"/>
                <w:color w:val="auto"/>
                <w:highlight w:val="none"/>
                <w:lang w:eastAsia="zh-CN"/>
              </w:rPr>
              <w:t>，</w:t>
            </w:r>
            <w:r>
              <w:rPr>
                <w:rFonts w:hint="default"/>
                <w:color w:val="auto"/>
                <w:highlight w:val="none"/>
              </w:rPr>
              <w:t>产生量约为0.</w:t>
            </w:r>
            <w:r>
              <w:rPr>
                <w:rFonts w:hint="eastAsia"/>
                <w:color w:val="auto"/>
                <w:highlight w:val="none"/>
                <w:lang w:val="en-US" w:eastAsia="zh-CN"/>
              </w:rPr>
              <w:t>01</w:t>
            </w:r>
            <w:r>
              <w:rPr>
                <w:rFonts w:hint="default"/>
                <w:color w:val="auto"/>
                <w:highlight w:val="none"/>
              </w:rPr>
              <w:t>t/a</w:t>
            </w:r>
            <w:r>
              <w:rPr>
                <w:color w:val="auto"/>
                <w:highlight w:val="none"/>
              </w:rPr>
              <w:t>；</w:t>
            </w:r>
          </w:p>
          <w:p w14:paraId="3719A626">
            <w:pPr>
              <w:pStyle w:val="31"/>
              <w:bidi w:val="0"/>
              <w:rPr>
                <w:rFonts w:hint="default"/>
                <w:color w:val="auto"/>
                <w:highlight w:val="none"/>
                <w:lang w:val="en-US" w:eastAsia="zh-CN"/>
              </w:rPr>
            </w:pPr>
            <w:r>
              <w:rPr>
                <w:rFonts w:hint="eastAsia"/>
                <w:color w:val="auto"/>
                <w:highlight w:val="none"/>
                <w:lang w:val="en-US" w:eastAsia="zh-CN"/>
              </w:rPr>
              <w:t>②</w:t>
            </w:r>
            <w:r>
              <w:rPr>
                <w:color w:val="auto"/>
                <w:highlight w:val="none"/>
              </w:rPr>
              <w:t>废油桶</w:t>
            </w:r>
          </w:p>
          <w:p w14:paraId="435423C0">
            <w:pPr>
              <w:pStyle w:val="31"/>
              <w:bidi w:val="0"/>
              <w:rPr>
                <w:rFonts w:hint="eastAsia"/>
                <w:color w:val="auto"/>
                <w:highlight w:val="none"/>
                <w:lang w:eastAsia="zh-CN"/>
              </w:rPr>
            </w:pPr>
            <w:r>
              <w:rPr>
                <w:rFonts w:hint="eastAsia"/>
                <w:color w:val="auto"/>
                <w:highlight w:val="none"/>
                <w:lang w:val="en-US" w:eastAsia="zh-CN"/>
              </w:rPr>
              <w:t>润滑油使用产生的废油桶，</w:t>
            </w:r>
            <w:r>
              <w:rPr>
                <w:rFonts w:hint="default"/>
                <w:color w:val="auto"/>
                <w:highlight w:val="none"/>
              </w:rPr>
              <w:t>对照</w:t>
            </w:r>
            <w:r>
              <w:rPr>
                <w:rFonts w:hint="eastAsia"/>
                <w:color w:val="auto"/>
                <w:highlight w:val="none"/>
                <w:lang w:eastAsia="zh-CN"/>
              </w:rPr>
              <w:t>《国家危险废物名录（2025年版）》</w:t>
            </w:r>
            <w:r>
              <w:rPr>
                <w:color w:val="auto"/>
                <w:highlight w:val="none"/>
              </w:rPr>
              <w:t>，废油桶属于“HW08废矿物油与含矿物油废物”中的“900-249-08其他生产、销售、使用过程中产生的废矿物油及沾染矿物油的废弃包装物”</w:t>
            </w:r>
            <w:r>
              <w:rPr>
                <w:rFonts w:hint="default"/>
                <w:color w:val="auto"/>
                <w:highlight w:val="none"/>
              </w:rPr>
              <w:t>，产生量约为0.0</w:t>
            </w:r>
            <w:r>
              <w:rPr>
                <w:rFonts w:hint="eastAsia"/>
                <w:color w:val="auto"/>
                <w:highlight w:val="none"/>
                <w:lang w:val="en-US" w:eastAsia="zh-CN"/>
              </w:rPr>
              <w:t>005</w:t>
            </w:r>
            <w:r>
              <w:rPr>
                <w:rFonts w:hint="default"/>
                <w:color w:val="auto"/>
                <w:highlight w:val="none"/>
              </w:rPr>
              <w:t>t/a</w:t>
            </w:r>
            <w:r>
              <w:rPr>
                <w:rFonts w:hint="eastAsia"/>
                <w:color w:val="auto"/>
                <w:highlight w:val="none"/>
                <w:lang w:eastAsia="zh-CN"/>
              </w:rPr>
              <w:t>；</w:t>
            </w:r>
          </w:p>
          <w:p w14:paraId="4A12A4D4">
            <w:pPr>
              <w:pStyle w:val="31"/>
              <w:bidi w:val="0"/>
              <w:rPr>
                <w:rFonts w:hint="eastAsia"/>
                <w:color w:val="auto"/>
                <w:highlight w:val="none"/>
                <w:lang w:val="en-US" w:eastAsia="zh-CN"/>
              </w:rPr>
            </w:pPr>
            <w:r>
              <w:rPr>
                <w:rFonts w:hint="eastAsia"/>
                <w:color w:val="auto"/>
                <w:highlight w:val="none"/>
                <w:lang w:val="en-US" w:eastAsia="zh-CN"/>
              </w:rPr>
              <w:t>③</w:t>
            </w:r>
            <w:r>
              <w:rPr>
                <w:rFonts w:hint="default"/>
                <w:color w:val="auto"/>
                <w:highlight w:val="none"/>
              </w:rPr>
              <w:t>含油抹布及棉纱手套</w:t>
            </w:r>
          </w:p>
          <w:p w14:paraId="03840559">
            <w:pPr>
              <w:pStyle w:val="31"/>
              <w:bidi w:val="0"/>
              <w:rPr>
                <w:rFonts w:hint="eastAsia"/>
                <w:color w:val="auto"/>
                <w:highlight w:val="none"/>
                <w:lang w:eastAsia="zh-CN"/>
              </w:rPr>
            </w:pPr>
            <w:r>
              <w:rPr>
                <w:rFonts w:hint="default"/>
                <w:color w:val="auto"/>
                <w:highlight w:val="none"/>
              </w:rPr>
              <w:t>对照</w:t>
            </w:r>
            <w:r>
              <w:rPr>
                <w:rFonts w:hint="eastAsia"/>
                <w:color w:val="auto"/>
                <w:highlight w:val="none"/>
                <w:lang w:eastAsia="zh-CN"/>
              </w:rPr>
              <w:t>《国家危险废物名录（2025年版）》</w:t>
            </w:r>
            <w:r>
              <w:rPr>
                <w:color w:val="auto"/>
                <w:highlight w:val="none"/>
              </w:rPr>
              <w:t>，</w:t>
            </w:r>
            <w:r>
              <w:rPr>
                <w:rFonts w:hint="default"/>
                <w:color w:val="auto"/>
                <w:highlight w:val="none"/>
              </w:rPr>
              <w:t>含油抹布及棉纱手套属于</w:t>
            </w:r>
            <w:r>
              <w:rPr>
                <w:rFonts w:hint="eastAsia"/>
                <w:color w:val="auto"/>
                <w:highlight w:val="none"/>
                <w:lang w:eastAsia="zh-CN"/>
              </w:rPr>
              <w:t>“</w:t>
            </w:r>
            <w:r>
              <w:rPr>
                <w:rFonts w:hint="default"/>
                <w:color w:val="auto"/>
                <w:highlight w:val="none"/>
              </w:rPr>
              <w:t>HW49其他废物</w:t>
            </w:r>
            <w:r>
              <w:rPr>
                <w:rFonts w:hint="eastAsia"/>
                <w:color w:val="auto"/>
                <w:highlight w:val="none"/>
                <w:lang w:eastAsia="zh-CN"/>
              </w:rPr>
              <w:t>”</w:t>
            </w:r>
            <w:r>
              <w:rPr>
                <w:rFonts w:hint="default"/>
                <w:color w:val="auto"/>
                <w:highlight w:val="none"/>
              </w:rPr>
              <w:t>，</w:t>
            </w:r>
            <w:r>
              <w:rPr>
                <w:rFonts w:hint="eastAsia"/>
                <w:color w:val="auto"/>
                <w:highlight w:val="none"/>
                <w:lang w:val="en-US" w:eastAsia="zh-CN"/>
              </w:rPr>
              <w:t>中的“</w:t>
            </w:r>
            <w:r>
              <w:rPr>
                <w:rFonts w:hint="default"/>
                <w:color w:val="auto"/>
                <w:highlight w:val="none"/>
              </w:rPr>
              <w:t>900-041-49</w:t>
            </w:r>
            <w:r>
              <w:rPr>
                <w:rFonts w:hint="eastAsia"/>
                <w:color w:val="auto"/>
                <w:highlight w:val="none"/>
                <w:lang w:val="en-US" w:eastAsia="zh-CN"/>
              </w:rPr>
              <w:t>含有或者沾染毒性、感染性危险废物的废弃的包装物、容器、过滤吸附介质”</w:t>
            </w:r>
            <w:r>
              <w:rPr>
                <w:rFonts w:hint="default"/>
                <w:color w:val="auto"/>
                <w:highlight w:val="none"/>
              </w:rPr>
              <w:t>，产生量约为0.0</w:t>
            </w:r>
            <w:r>
              <w:rPr>
                <w:rFonts w:hint="eastAsia"/>
                <w:color w:val="auto"/>
                <w:highlight w:val="none"/>
                <w:lang w:val="en-US" w:eastAsia="zh-CN"/>
              </w:rPr>
              <w:t>005</w:t>
            </w:r>
            <w:r>
              <w:rPr>
                <w:rFonts w:hint="default"/>
                <w:color w:val="auto"/>
                <w:highlight w:val="none"/>
              </w:rPr>
              <w:t>t/a</w:t>
            </w:r>
            <w:r>
              <w:rPr>
                <w:rFonts w:hint="eastAsia"/>
                <w:color w:val="auto"/>
                <w:highlight w:val="none"/>
                <w:lang w:eastAsia="zh-CN"/>
              </w:rPr>
              <w:t>。</w:t>
            </w:r>
          </w:p>
          <w:p w14:paraId="1B667B92">
            <w:pPr>
              <w:pStyle w:val="31"/>
              <w:bidi w:val="0"/>
              <w:rPr>
                <w:rFonts w:hint="eastAsia"/>
                <w:color w:val="auto"/>
                <w:highlight w:val="none"/>
                <w:lang w:eastAsia="zh-CN"/>
              </w:rPr>
            </w:pPr>
          </w:p>
          <w:p w14:paraId="737F8613">
            <w:pPr>
              <w:pStyle w:val="31"/>
              <w:bidi w:val="0"/>
              <w:rPr>
                <w:rFonts w:hint="eastAsia"/>
                <w:color w:val="auto"/>
                <w:highlight w:val="none"/>
                <w:lang w:eastAsia="zh-CN"/>
              </w:rPr>
            </w:pPr>
          </w:p>
          <w:p w14:paraId="71CBB6ED">
            <w:pPr>
              <w:pStyle w:val="36"/>
              <w:bidi w:val="0"/>
              <w:rPr>
                <w:color w:val="auto"/>
                <w:highlight w:val="none"/>
              </w:rPr>
            </w:pPr>
            <w:r>
              <w:rPr>
                <w:color w:val="auto"/>
                <w:highlight w:val="none"/>
              </w:rPr>
              <w:t>表</w:t>
            </w:r>
            <w:r>
              <w:rPr>
                <w:rFonts w:hint="eastAsia"/>
                <w:color w:val="auto"/>
                <w:highlight w:val="none"/>
              </w:rPr>
              <w:t>4</w:t>
            </w:r>
            <w:r>
              <w:rPr>
                <w:rFonts w:hint="eastAsia"/>
                <w:color w:val="auto"/>
                <w:highlight w:val="none"/>
                <w:lang w:val="en-US" w:eastAsia="zh-CN"/>
              </w:rPr>
              <w:t>-10</w:t>
            </w:r>
            <w:r>
              <w:rPr>
                <w:color w:val="auto"/>
                <w:highlight w:val="none"/>
              </w:rPr>
              <w:t>固体废物产生情况表</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9"/>
              <w:gridCol w:w="692"/>
              <w:gridCol w:w="867"/>
              <w:gridCol w:w="680"/>
              <w:gridCol w:w="1403"/>
              <w:gridCol w:w="521"/>
              <w:gridCol w:w="705"/>
              <w:gridCol w:w="479"/>
              <w:gridCol w:w="693"/>
              <w:gridCol w:w="952"/>
            </w:tblGrid>
            <w:tr w14:paraId="5CE1A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dxa"/>
                  <w:vMerge w:val="restart"/>
                  <w:vAlign w:val="center"/>
                </w:tcPr>
                <w:p w14:paraId="5BEAC09E">
                  <w:pPr>
                    <w:pStyle w:val="34"/>
                    <w:bidi w:val="0"/>
                    <w:rPr>
                      <w:color w:val="auto"/>
                      <w:sz w:val="18"/>
                      <w:szCs w:val="18"/>
                      <w:highlight w:val="none"/>
                    </w:rPr>
                  </w:pPr>
                  <w:r>
                    <w:rPr>
                      <w:color w:val="auto"/>
                      <w:sz w:val="18"/>
                      <w:szCs w:val="18"/>
                      <w:highlight w:val="none"/>
                    </w:rPr>
                    <w:t>工序</w:t>
                  </w:r>
                  <w:r>
                    <w:rPr>
                      <w:rFonts w:hint="eastAsia"/>
                      <w:color w:val="auto"/>
                      <w:sz w:val="18"/>
                      <w:szCs w:val="18"/>
                      <w:highlight w:val="none"/>
                    </w:rPr>
                    <w:t>/生产线</w:t>
                  </w:r>
                </w:p>
              </w:tc>
              <w:tc>
                <w:tcPr>
                  <w:tcW w:w="692" w:type="dxa"/>
                  <w:vMerge w:val="restart"/>
                  <w:vAlign w:val="center"/>
                </w:tcPr>
                <w:p w14:paraId="62062599">
                  <w:pPr>
                    <w:pStyle w:val="34"/>
                    <w:bidi w:val="0"/>
                    <w:rPr>
                      <w:color w:val="auto"/>
                      <w:sz w:val="18"/>
                      <w:szCs w:val="18"/>
                      <w:highlight w:val="none"/>
                    </w:rPr>
                  </w:pPr>
                  <w:r>
                    <w:rPr>
                      <w:color w:val="auto"/>
                      <w:sz w:val="18"/>
                      <w:szCs w:val="18"/>
                      <w:highlight w:val="none"/>
                    </w:rPr>
                    <w:t>装置</w:t>
                  </w:r>
                </w:p>
              </w:tc>
              <w:tc>
                <w:tcPr>
                  <w:tcW w:w="867" w:type="dxa"/>
                  <w:vMerge w:val="restart"/>
                  <w:vAlign w:val="center"/>
                </w:tcPr>
                <w:p w14:paraId="5512B6B8">
                  <w:pPr>
                    <w:pStyle w:val="34"/>
                    <w:bidi w:val="0"/>
                    <w:rPr>
                      <w:color w:val="auto"/>
                      <w:sz w:val="18"/>
                      <w:szCs w:val="18"/>
                      <w:highlight w:val="none"/>
                    </w:rPr>
                  </w:pPr>
                  <w:r>
                    <w:rPr>
                      <w:rFonts w:hint="eastAsia"/>
                      <w:color w:val="auto"/>
                      <w:sz w:val="18"/>
                      <w:szCs w:val="18"/>
                      <w:highlight w:val="none"/>
                    </w:rPr>
                    <w:t>固体</w:t>
                  </w:r>
                  <w:r>
                    <w:rPr>
                      <w:color w:val="auto"/>
                      <w:sz w:val="18"/>
                      <w:szCs w:val="18"/>
                      <w:highlight w:val="none"/>
                    </w:rPr>
                    <w:t>废物名称</w:t>
                  </w:r>
                </w:p>
              </w:tc>
              <w:tc>
                <w:tcPr>
                  <w:tcW w:w="680" w:type="dxa"/>
                  <w:vMerge w:val="restart"/>
                  <w:vAlign w:val="center"/>
                </w:tcPr>
                <w:p w14:paraId="677739CC">
                  <w:pPr>
                    <w:pStyle w:val="34"/>
                    <w:bidi w:val="0"/>
                    <w:rPr>
                      <w:color w:val="auto"/>
                      <w:sz w:val="18"/>
                      <w:szCs w:val="18"/>
                      <w:highlight w:val="none"/>
                    </w:rPr>
                  </w:pPr>
                  <w:r>
                    <w:rPr>
                      <w:color w:val="auto"/>
                      <w:sz w:val="18"/>
                      <w:szCs w:val="18"/>
                      <w:highlight w:val="none"/>
                    </w:rPr>
                    <w:t>固体废物属性</w:t>
                  </w:r>
                </w:p>
              </w:tc>
              <w:tc>
                <w:tcPr>
                  <w:tcW w:w="1403" w:type="dxa"/>
                  <w:vMerge w:val="restart"/>
                  <w:vAlign w:val="center"/>
                </w:tcPr>
                <w:p w14:paraId="44EA82A6">
                  <w:pPr>
                    <w:pStyle w:val="34"/>
                    <w:bidi w:val="0"/>
                    <w:rPr>
                      <w:color w:val="auto"/>
                      <w:sz w:val="18"/>
                      <w:szCs w:val="18"/>
                      <w:highlight w:val="none"/>
                    </w:rPr>
                  </w:pPr>
                  <w:r>
                    <w:rPr>
                      <w:rFonts w:hint="eastAsia"/>
                      <w:color w:val="auto"/>
                      <w:sz w:val="18"/>
                      <w:szCs w:val="18"/>
                      <w:highlight w:val="none"/>
                    </w:rPr>
                    <w:t>代码</w:t>
                  </w:r>
                </w:p>
              </w:tc>
              <w:tc>
                <w:tcPr>
                  <w:tcW w:w="1226" w:type="dxa"/>
                  <w:gridSpan w:val="2"/>
                  <w:vAlign w:val="center"/>
                </w:tcPr>
                <w:p w14:paraId="61328231">
                  <w:pPr>
                    <w:pStyle w:val="34"/>
                    <w:bidi w:val="0"/>
                    <w:rPr>
                      <w:color w:val="auto"/>
                      <w:sz w:val="18"/>
                      <w:szCs w:val="18"/>
                      <w:highlight w:val="none"/>
                    </w:rPr>
                  </w:pPr>
                  <w:r>
                    <w:rPr>
                      <w:color w:val="auto"/>
                      <w:sz w:val="18"/>
                      <w:szCs w:val="18"/>
                      <w:highlight w:val="none"/>
                    </w:rPr>
                    <w:t>产生情况</w:t>
                  </w:r>
                </w:p>
              </w:tc>
              <w:tc>
                <w:tcPr>
                  <w:tcW w:w="1172" w:type="dxa"/>
                  <w:gridSpan w:val="2"/>
                  <w:vAlign w:val="center"/>
                </w:tcPr>
                <w:p w14:paraId="734EFA00">
                  <w:pPr>
                    <w:pStyle w:val="34"/>
                    <w:bidi w:val="0"/>
                    <w:rPr>
                      <w:color w:val="auto"/>
                      <w:sz w:val="18"/>
                      <w:szCs w:val="18"/>
                      <w:highlight w:val="none"/>
                    </w:rPr>
                  </w:pPr>
                  <w:r>
                    <w:rPr>
                      <w:color w:val="auto"/>
                      <w:sz w:val="18"/>
                      <w:szCs w:val="18"/>
                      <w:highlight w:val="none"/>
                    </w:rPr>
                    <w:t>处置措施</w:t>
                  </w:r>
                </w:p>
              </w:tc>
              <w:tc>
                <w:tcPr>
                  <w:tcW w:w="952" w:type="dxa"/>
                  <w:vMerge w:val="restart"/>
                  <w:vAlign w:val="center"/>
                </w:tcPr>
                <w:p w14:paraId="274D7460">
                  <w:pPr>
                    <w:pStyle w:val="34"/>
                    <w:bidi w:val="0"/>
                    <w:rPr>
                      <w:color w:val="auto"/>
                      <w:sz w:val="18"/>
                      <w:szCs w:val="18"/>
                      <w:highlight w:val="none"/>
                    </w:rPr>
                  </w:pPr>
                  <w:r>
                    <w:rPr>
                      <w:color w:val="auto"/>
                      <w:sz w:val="18"/>
                      <w:szCs w:val="18"/>
                      <w:highlight w:val="none"/>
                    </w:rPr>
                    <w:t>最终去向</w:t>
                  </w:r>
                </w:p>
              </w:tc>
            </w:tr>
            <w:tr w14:paraId="6A038D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dxa"/>
                  <w:vMerge w:val="continue"/>
                  <w:vAlign w:val="center"/>
                </w:tcPr>
                <w:p w14:paraId="30EB743E">
                  <w:pPr>
                    <w:pStyle w:val="34"/>
                    <w:bidi w:val="0"/>
                    <w:rPr>
                      <w:color w:val="auto"/>
                      <w:sz w:val="18"/>
                      <w:szCs w:val="18"/>
                      <w:highlight w:val="none"/>
                    </w:rPr>
                  </w:pPr>
                </w:p>
              </w:tc>
              <w:tc>
                <w:tcPr>
                  <w:tcW w:w="692" w:type="dxa"/>
                  <w:vMerge w:val="continue"/>
                  <w:vAlign w:val="center"/>
                </w:tcPr>
                <w:p w14:paraId="64D21A4C">
                  <w:pPr>
                    <w:pStyle w:val="34"/>
                    <w:bidi w:val="0"/>
                    <w:rPr>
                      <w:color w:val="auto"/>
                      <w:sz w:val="18"/>
                      <w:szCs w:val="18"/>
                      <w:highlight w:val="none"/>
                    </w:rPr>
                  </w:pPr>
                </w:p>
              </w:tc>
              <w:tc>
                <w:tcPr>
                  <w:tcW w:w="867" w:type="dxa"/>
                  <w:vMerge w:val="continue"/>
                  <w:vAlign w:val="center"/>
                </w:tcPr>
                <w:p w14:paraId="1E1785F1">
                  <w:pPr>
                    <w:pStyle w:val="34"/>
                    <w:bidi w:val="0"/>
                    <w:rPr>
                      <w:color w:val="auto"/>
                      <w:sz w:val="18"/>
                      <w:szCs w:val="18"/>
                      <w:highlight w:val="none"/>
                    </w:rPr>
                  </w:pPr>
                </w:p>
              </w:tc>
              <w:tc>
                <w:tcPr>
                  <w:tcW w:w="680" w:type="dxa"/>
                  <w:vMerge w:val="continue"/>
                  <w:vAlign w:val="center"/>
                </w:tcPr>
                <w:p w14:paraId="04768762">
                  <w:pPr>
                    <w:pStyle w:val="34"/>
                    <w:bidi w:val="0"/>
                    <w:rPr>
                      <w:color w:val="auto"/>
                      <w:sz w:val="18"/>
                      <w:szCs w:val="18"/>
                      <w:highlight w:val="none"/>
                    </w:rPr>
                  </w:pPr>
                </w:p>
              </w:tc>
              <w:tc>
                <w:tcPr>
                  <w:tcW w:w="1403" w:type="dxa"/>
                  <w:vMerge w:val="continue"/>
                  <w:vAlign w:val="center"/>
                </w:tcPr>
                <w:p w14:paraId="7FD25524">
                  <w:pPr>
                    <w:pStyle w:val="34"/>
                    <w:bidi w:val="0"/>
                    <w:rPr>
                      <w:color w:val="auto"/>
                      <w:sz w:val="18"/>
                      <w:szCs w:val="18"/>
                      <w:highlight w:val="none"/>
                    </w:rPr>
                  </w:pPr>
                </w:p>
              </w:tc>
              <w:tc>
                <w:tcPr>
                  <w:tcW w:w="521" w:type="dxa"/>
                  <w:vAlign w:val="center"/>
                </w:tcPr>
                <w:p w14:paraId="0A77CF22">
                  <w:pPr>
                    <w:pStyle w:val="34"/>
                    <w:bidi w:val="0"/>
                    <w:rPr>
                      <w:color w:val="auto"/>
                      <w:sz w:val="18"/>
                      <w:szCs w:val="18"/>
                      <w:highlight w:val="none"/>
                    </w:rPr>
                  </w:pPr>
                  <w:r>
                    <w:rPr>
                      <w:color w:val="auto"/>
                      <w:sz w:val="18"/>
                      <w:szCs w:val="18"/>
                      <w:highlight w:val="none"/>
                    </w:rPr>
                    <w:t>核算方法</w:t>
                  </w:r>
                </w:p>
              </w:tc>
              <w:tc>
                <w:tcPr>
                  <w:tcW w:w="705" w:type="dxa"/>
                  <w:vAlign w:val="center"/>
                </w:tcPr>
                <w:p w14:paraId="5918E5D0">
                  <w:pPr>
                    <w:pStyle w:val="34"/>
                    <w:bidi w:val="0"/>
                    <w:rPr>
                      <w:color w:val="auto"/>
                      <w:sz w:val="18"/>
                      <w:szCs w:val="18"/>
                      <w:highlight w:val="none"/>
                    </w:rPr>
                  </w:pPr>
                  <w:r>
                    <w:rPr>
                      <w:color w:val="auto"/>
                      <w:sz w:val="18"/>
                      <w:szCs w:val="18"/>
                      <w:highlight w:val="none"/>
                    </w:rPr>
                    <w:t>产生量t/a</w:t>
                  </w:r>
                </w:p>
              </w:tc>
              <w:tc>
                <w:tcPr>
                  <w:tcW w:w="479" w:type="dxa"/>
                  <w:vAlign w:val="center"/>
                </w:tcPr>
                <w:p w14:paraId="7FEFB57F">
                  <w:pPr>
                    <w:pStyle w:val="34"/>
                    <w:bidi w:val="0"/>
                    <w:rPr>
                      <w:color w:val="auto"/>
                      <w:sz w:val="18"/>
                      <w:szCs w:val="18"/>
                      <w:highlight w:val="none"/>
                    </w:rPr>
                  </w:pPr>
                  <w:r>
                    <w:rPr>
                      <w:color w:val="auto"/>
                      <w:sz w:val="18"/>
                      <w:szCs w:val="18"/>
                      <w:highlight w:val="none"/>
                    </w:rPr>
                    <w:t>工艺</w:t>
                  </w:r>
                </w:p>
              </w:tc>
              <w:tc>
                <w:tcPr>
                  <w:tcW w:w="693" w:type="dxa"/>
                  <w:vAlign w:val="center"/>
                </w:tcPr>
                <w:p w14:paraId="3FF458D5">
                  <w:pPr>
                    <w:pStyle w:val="34"/>
                    <w:bidi w:val="0"/>
                    <w:rPr>
                      <w:color w:val="auto"/>
                      <w:sz w:val="18"/>
                      <w:szCs w:val="18"/>
                      <w:highlight w:val="none"/>
                    </w:rPr>
                  </w:pPr>
                  <w:r>
                    <w:rPr>
                      <w:color w:val="auto"/>
                      <w:sz w:val="18"/>
                      <w:szCs w:val="18"/>
                      <w:highlight w:val="none"/>
                    </w:rPr>
                    <w:t>处置量t/a</w:t>
                  </w:r>
                </w:p>
              </w:tc>
              <w:tc>
                <w:tcPr>
                  <w:tcW w:w="952" w:type="dxa"/>
                  <w:vMerge w:val="continue"/>
                  <w:vAlign w:val="center"/>
                </w:tcPr>
                <w:p w14:paraId="044DA3AE">
                  <w:pPr>
                    <w:pStyle w:val="34"/>
                    <w:bidi w:val="0"/>
                    <w:rPr>
                      <w:color w:val="auto"/>
                      <w:sz w:val="18"/>
                      <w:szCs w:val="18"/>
                      <w:highlight w:val="none"/>
                    </w:rPr>
                  </w:pPr>
                </w:p>
              </w:tc>
            </w:tr>
            <w:tr w14:paraId="74376F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dxa"/>
                  <w:vAlign w:val="center"/>
                </w:tcPr>
                <w:p w14:paraId="0D5D800A">
                  <w:pPr>
                    <w:pStyle w:val="34"/>
                    <w:bidi w:val="0"/>
                    <w:rPr>
                      <w:color w:val="auto"/>
                      <w:sz w:val="18"/>
                      <w:szCs w:val="18"/>
                      <w:highlight w:val="none"/>
                    </w:rPr>
                  </w:pPr>
                  <w:r>
                    <w:rPr>
                      <w:color w:val="auto"/>
                      <w:sz w:val="18"/>
                      <w:szCs w:val="18"/>
                      <w:highlight w:val="none"/>
                    </w:rPr>
                    <w:t>生活</w:t>
                  </w:r>
                </w:p>
              </w:tc>
              <w:tc>
                <w:tcPr>
                  <w:tcW w:w="692" w:type="dxa"/>
                  <w:vAlign w:val="center"/>
                </w:tcPr>
                <w:p w14:paraId="110B1CC8">
                  <w:pPr>
                    <w:pStyle w:val="34"/>
                    <w:bidi w:val="0"/>
                    <w:rPr>
                      <w:color w:val="auto"/>
                      <w:sz w:val="18"/>
                      <w:szCs w:val="18"/>
                      <w:highlight w:val="none"/>
                    </w:rPr>
                  </w:pPr>
                  <w:r>
                    <w:rPr>
                      <w:color w:val="auto"/>
                      <w:sz w:val="18"/>
                      <w:szCs w:val="18"/>
                      <w:highlight w:val="none"/>
                    </w:rPr>
                    <w:t>垃圾箱</w:t>
                  </w:r>
                </w:p>
              </w:tc>
              <w:tc>
                <w:tcPr>
                  <w:tcW w:w="867" w:type="dxa"/>
                  <w:vAlign w:val="center"/>
                </w:tcPr>
                <w:p w14:paraId="5C9A376E">
                  <w:pPr>
                    <w:pStyle w:val="34"/>
                    <w:bidi w:val="0"/>
                    <w:rPr>
                      <w:color w:val="auto"/>
                      <w:sz w:val="18"/>
                      <w:szCs w:val="18"/>
                      <w:highlight w:val="none"/>
                    </w:rPr>
                  </w:pPr>
                  <w:r>
                    <w:rPr>
                      <w:color w:val="auto"/>
                      <w:sz w:val="18"/>
                      <w:szCs w:val="18"/>
                      <w:highlight w:val="none"/>
                    </w:rPr>
                    <w:t>生活垃圾</w:t>
                  </w:r>
                </w:p>
              </w:tc>
              <w:tc>
                <w:tcPr>
                  <w:tcW w:w="680" w:type="dxa"/>
                  <w:vAlign w:val="center"/>
                </w:tcPr>
                <w:p w14:paraId="498F0D13">
                  <w:pPr>
                    <w:pStyle w:val="34"/>
                    <w:bidi w:val="0"/>
                    <w:rPr>
                      <w:color w:val="auto"/>
                      <w:sz w:val="18"/>
                      <w:szCs w:val="18"/>
                      <w:highlight w:val="none"/>
                    </w:rPr>
                  </w:pPr>
                  <w:r>
                    <w:rPr>
                      <w:color w:val="auto"/>
                      <w:sz w:val="18"/>
                      <w:szCs w:val="18"/>
                      <w:highlight w:val="none"/>
                    </w:rPr>
                    <w:t>生活垃圾</w:t>
                  </w:r>
                </w:p>
              </w:tc>
              <w:tc>
                <w:tcPr>
                  <w:tcW w:w="1403" w:type="dxa"/>
                  <w:vAlign w:val="center"/>
                </w:tcPr>
                <w:p w14:paraId="22A45439">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900-099-S64</w:t>
                  </w:r>
                </w:p>
              </w:tc>
              <w:tc>
                <w:tcPr>
                  <w:tcW w:w="521" w:type="dxa"/>
                  <w:vAlign w:val="center"/>
                </w:tcPr>
                <w:p w14:paraId="2CEA707B">
                  <w:pPr>
                    <w:pStyle w:val="34"/>
                    <w:bidi w:val="0"/>
                    <w:rPr>
                      <w:color w:val="auto"/>
                      <w:sz w:val="18"/>
                      <w:szCs w:val="18"/>
                      <w:highlight w:val="none"/>
                    </w:rPr>
                  </w:pPr>
                  <w:r>
                    <w:rPr>
                      <w:color w:val="auto"/>
                      <w:sz w:val="18"/>
                      <w:szCs w:val="18"/>
                      <w:highlight w:val="none"/>
                    </w:rPr>
                    <w:t>系数法</w:t>
                  </w:r>
                </w:p>
              </w:tc>
              <w:tc>
                <w:tcPr>
                  <w:tcW w:w="705" w:type="dxa"/>
                  <w:vAlign w:val="center"/>
                </w:tcPr>
                <w:p w14:paraId="66C38C22">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1.17</w:t>
                  </w:r>
                </w:p>
              </w:tc>
              <w:tc>
                <w:tcPr>
                  <w:tcW w:w="479" w:type="dxa"/>
                  <w:vAlign w:val="center"/>
                </w:tcPr>
                <w:p w14:paraId="79D94F2D">
                  <w:pPr>
                    <w:pStyle w:val="34"/>
                    <w:bidi w:val="0"/>
                    <w:rPr>
                      <w:color w:val="auto"/>
                      <w:sz w:val="18"/>
                      <w:szCs w:val="18"/>
                      <w:highlight w:val="none"/>
                    </w:rPr>
                  </w:pPr>
                  <w:r>
                    <w:rPr>
                      <w:rFonts w:hint="eastAsia"/>
                      <w:color w:val="auto"/>
                      <w:sz w:val="18"/>
                      <w:szCs w:val="18"/>
                      <w:highlight w:val="none"/>
                    </w:rPr>
                    <w:t>/</w:t>
                  </w:r>
                </w:p>
              </w:tc>
              <w:tc>
                <w:tcPr>
                  <w:tcW w:w="693" w:type="dxa"/>
                  <w:vAlign w:val="center"/>
                </w:tcPr>
                <w:p w14:paraId="2486E2BC">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1.17</w:t>
                  </w:r>
                </w:p>
              </w:tc>
              <w:tc>
                <w:tcPr>
                  <w:tcW w:w="952" w:type="dxa"/>
                  <w:vAlign w:val="center"/>
                </w:tcPr>
                <w:p w14:paraId="5E11D061">
                  <w:pPr>
                    <w:pStyle w:val="34"/>
                    <w:bidi w:val="0"/>
                    <w:rPr>
                      <w:color w:val="auto"/>
                      <w:sz w:val="18"/>
                      <w:szCs w:val="18"/>
                      <w:highlight w:val="none"/>
                    </w:rPr>
                  </w:pPr>
                  <w:r>
                    <w:rPr>
                      <w:rFonts w:hint="eastAsia"/>
                      <w:color w:val="auto"/>
                      <w:sz w:val="18"/>
                      <w:szCs w:val="18"/>
                      <w:highlight w:val="none"/>
                    </w:rPr>
                    <w:t>交</w:t>
                  </w:r>
                  <w:r>
                    <w:rPr>
                      <w:color w:val="auto"/>
                      <w:sz w:val="18"/>
                      <w:szCs w:val="18"/>
                      <w:highlight w:val="none"/>
                    </w:rPr>
                    <w:t>由市政部门统一处理</w:t>
                  </w:r>
                </w:p>
              </w:tc>
            </w:tr>
            <w:tr w14:paraId="40C00C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dxa"/>
                  <w:vMerge w:val="restart"/>
                  <w:vAlign w:val="center"/>
                </w:tcPr>
                <w:p w14:paraId="3F17D2EA">
                  <w:pPr>
                    <w:pStyle w:val="34"/>
                    <w:bidi w:val="0"/>
                    <w:rPr>
                      <w:color w:val="auto"/>
                      <w:sz w:val="18"/>
                      <w:szCs w:val="18"/>
                      <w:highlight w:val="none"/>
                    </w:rPr>
                  </w:pPr>
                  <w:r>
                    <w:rPr>
                      <w:color w:val="auto"/>
                      <w:sz w:val="18"/>
                      <w:szCs w:val="18"/>
                      <w:highlight w:val="none"/>
                    </w:rPr>
                    <w:t>生产</w:t>
                  </w:r>
                </w:p>
              </w:tc>
              <w:tc>
                <w:tcPr>
                  <w:tcW w:w="692" w:type="dxa"/>
                  <w:vMerge w:val="restart"/>
                  <w:vAlign w:val="center"/>
                </w:tcPr>
                <w:p w14:paraId="2FBEDABD">
                  <w:pPr>
                    <w:pStyle w:val="34"/>
                    <w:bidi w:val="0"/>
                    <w:rPr>
                      <w:color w:val="auto"/>
                      <w:sz w:val="18"/>
                      <w:szCs w:val="18"/>
                      <w:highlight w:val="none"/>
                    </w:rPr>
                  </w:pPr>
                  <w:r>
                    <w:rPr>
                      <w:color w:val="auto"/>
                      <w:sz w:val="18"/>
                      <w:szCs w:val="18"/>
                      <w:highlight w:val="none"/>
                    </w:rPr>
                    <w:t>布袋除尘器</w:t>
                  </w:r>
                </w:p>
              </w:tc>
              <w:tc>
                <w:tcPr>
                  <w:tcW w:w="867" w:type="dxa"/>
                  <w:vAlign w:val="center"/>
                </w:tcPr>
                <w:p w14:paraId="3C6717CD">
                  <w:pPr>
                    <w:pStyle w:val="34"/>
                    <w:bidi w:val="0"/>
                    <w:rPr>
                      <w:color w:val="auto"/>
                      <w:sz w:val="18"/>
                      <w:szCs w:val="18"/>
                      <w:highlight w:val="none"/>
                    </w:rPr>
                  </w:pPr>
                  <w:r>
                    <w:rPr>
                      <w:rFonts w:hint="eastAsia"/>
                      <w:color w:val="auto"/>
                      <w:sz w:val="18"/>
                      <w:szCs w:val="18"/>
                      <w:highlight w:val="none"/>
                      <w:lang w:val="en-US" w:eastAsia="zh-CN"/>
                    </w:rPr>
                    <w:t>水泥筒仓</w:t>
                  </w:r>
                  <w:r>
                    <w:rPr>
                      <w:rFonts w:hint="eastAsia"/>
                      <w:color w:val="auto"/>
                      <w:sz w:val="18"/>
                      <w:szCs w:val="18"/>
                      <w:highlight w:val="none"/>
                    </w:rPr>
                    <w:t>布袋除尘器收尘</w:t>
                  </w:r>
                </w:p>
              </w:tc>
              <w:tc>
                <w:tcPr>
                  <w:tcW w:w="680" w:type="dxa"/>
                  <w:vMerge w:val="restart"/>
                  <w:vAlign w:val="center"/>
                </w:tcPr>
                <w:p w14:paraId="472C46C2">
                  <w:pPr>
                    <w:pStyle w:val="34"/>
                    <w:bidi w:val="0"/>
                    <w:rPr>
                      <w:color w:val="auto"/>
                      <w:sz w:val="18"/>
                      <w:szCs w:val="18"/>
                      <w:highlight w:val="none"/>
                    </w:rPr>
                  </w:pPr>
                  <w:r>
                    <w:rPr>
                      <w:color w:val="auto"/>
                      <w:sz w:val="18"/>
                      <w:szCs w:val="18"/>
                      <w:highlight w:val="none"/>
                    </w:rPr>
                    <w:t>一般工业固体废物</w:t>
                  </w:r>
                </w:p>
              </w:tc>
              <w:tc>
                <w:tcPr>
                  <w:tcW w:w="1403" w:type="dxa"/>
                  <w:vAlign w:val="center"/>
                </w:tcPr>
                <w:p w14:paraId="21864061">
                  <w:pPr>
                    <w:pStyle w:val="34"/>
                    <w:bidi w:val="0"/>
                    <w:rPr>
                      <w:color w:val="auto"/>
                      <w:sz w:val="18"/>
                      <w:szCs w:val="18"/>
                      <w:highlight w:val="none"/>
                    </w:rPr>
                  </w:pPr>
                  <w:r>
                    <w:rPr>
                      <w:rFonts w:hint="eastAsia"/>
                      <w:color w:val="auto"/>
                      <w:sz w:val="18"/>
                      <w:szCs w:val="18"/>
                      <w:highlight w:val="none"/>
                      <w:lang w:val="en-US" w:eastAsia="zh-CN"/>
                    </w:rPr>
                    <w:t>900-099-S17</w:t>
                  </w:r>
                </w:p>
              </w:tc>
              <w:tc>
                <w:tcPr>
                  <w:tcW w:w="521" w:type="dxa"/>
                  <w:vAlign w:val="center"/>
                </w:tcPr>
                <w:p w14:paraId="207A1CE6">
                  <w:pPr>
                    <w:pStyle w:val="34"/>
                    <w:bidi w:val="0"/>
                    <w:rPr>
                      <w:color w:val="auto"/>
                      <w:sz w:val="18"/>
                      <w:szCs w:val="18"/>
                      <w:highlight w:val="none"/>
                    </w:rPr>
                  </w:pPr>
                  <w:r>
                    <w:rPr>
                      <w:color w:val="auto"/>
                      <w:sz w:val="18"/>
                      <w:szCs w:val="18"/>
                      <w:highlight w:val="none"/>
                    </w:rPr>
                    <w:t>物料衡算法</w:t>
                  </w:r>
                </w:p>
              </w:tc>
              <w:tc>
                <w:tcPr>
                  <w:tcW w:w="705" w:type="dxa"/>
                  <w:vAlign w:val="center"/>
                </w:tcPr>
                <w:p w14:paraId="1EAD17A5">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1.9</w:t>
                  </w:r>
                </w:p>
              </w:tc>
              <w:tc>
                <w:tcPr>
                  <w:tcW w:w="479" w:type="dxa"/>
                  <w:vAlign w:val="center"/>
                </w:tcPr>
                <w:p w14:paraId="24CA8627">
                  <w:pPr>
                    <w:pStyle w:val="34"/>
                    <w:bidi w:val="0"/>
                    <w:rPr>
                      <w:color w:val="auto"/>
                      <w:sz w:val="18"/>
                      <w:szCs w:val="18"/>
                      <w:highlight w:val="none"/>
                    </w:rPr>
                  </w:pPr>
                  <w:r>
                    <w:rPr>
                      <w:rFonts w:hint="eastAsia"/>
                      <w:color w:val="auto"/>
                      <w:sz w:val="18"/>
                      <w:szCs w:val="18"/>
                      <w:highlight w:val="none"/>
                    </w:rPr>
                    <w:t>/</w:t>
                  </w:r>
                </w:p>
              </w:tc>
              <w:tc>
                <w:tcPr>
                  <w:tcW w:w="693" w:type="dxa"/>
                  <w:vAlign w:val="center"/>
                </w:tcPr>
                <w:p w14:paraId="5F88DA5C">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1.9</w:t>
                  </w:r>
                </w:p>
              </w:tc>
              <w:tc>
                <w:tcPr>
                  <w:tcW w:w="952" w:type="dxa"/>
                  <w:vMerge w:val="restart"/>
                  <w:vAlign w:val="center"/>
                </w:tcPr>
                <w:p w14:paraId="71D48D04">
                  <w:pPr>
                    <w:pStyle w:val="34"/>
                    <w:bidi w:val="0"/>
                    <w:rPr>
                      <w:color w:val="auto"/>
                      <w:sz w:val="18"/>
                      <w:szCs w:val="18"/>
                      <w:highlight w:val="none"/>
                    </w:rPr>
                  </w:pPr>
                  <w:r>
                    <w:rPr>
                      <w:color w:val="auto"/>
                      <w:sz w:val="18"/>
                      <w:szCs w:val="18"/>
                      <w:highlight w:val="none"/>
                    </w:rPr>
                    <w:t>回用于生产</w:t>
                  </w:r>
                </w:p>
              </w:tc>
            </w:tr>
            <w:tr w14:paraId="1FDE0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dxa"/>
                  <w:vMerge w:val="continue"/>
                  <w:vAlign w:val="center"/>
                </w:tcPr>
                <w:p w14:paraId="3C5C06A9">
                  <w:pPr>
                    <w:pStyle w:val="34"/>
                    <w:bidi w:val="0"/>
                    <w:rPr>
                      <w:color w:val="auto"/>
                      <w:sz w:val="18"/>
                      <w:szCs w:val="18"/>
                      <w:highlight w:val="none"/>
                    </w:rPr>
                  </w:pPr>
                </w:p>
              </w:tc>
              <w:tc>
                <w:tcPr>
                  <w:tcW w:w="692" w:type="dxa"/>
                  <w:vMerge w:val="continue"/>
                  <w:vAlign w:val="center"/>
                </w:tcPr>
                <w:p w14:paraId="4A96A98E">
                  <w:pPr>
                    <w:pStyle w:val="34"/>
                    <w:bidi w:val="0"/>
                    <w:rPr>
                      <w:color w:val="auto"/>
                      <w:sz w:val="18"/>
                      <w:szCs w:val="18"/>
                      <w:highlight w:val="none"/>
                    </w:rPr>
                  </w:pPr>
                </w:p>
              </w:tc>
              <w:tc>
                <w:tcPr>
                  <w:tcW w:w="867" w:type="dxa"/>
                  <w:vAlign w:val="center"/>
                </w:tcPr>
                <w:p w14:paraId="537B05B4">
                  <w:pPr>
                    <w:pStyle w:val="34"/>
                    <w:bidi w:val="0"/>
                    <w:rPr>
                      <w:rFonts w:hint="eastAsia"/>
                      <w:color w:val="auto"/>
                      <w:sz w:val="18"/>
                      <w:szCs w:val="18"/>
                      <w:highlight w:val="none"/>
                    </w:rPr>
                  </w:pPr>
                  <w:r>
                    <w:rPr>
                      <w:rFonts w:hint="eastAsia"/>
                      <w:color w:val="auto"/>
                      <w:sz w:val="18"/>
                      <w:szCs w:val="18"/>
                      <w:highlight w:val="none"/>
                      <w:lang w:val="en-US" w:eastAsia="zh-CN"/>
                    </w:rPr>
                    <w:t>粉煤灰筒仓</w:t>
                  </w:r>
                  <w:r>
                    <w:rPr>
                      <w:rFonts w:hint="eastAsia"/>
                      <w:color w:val="auto"/>
                      <w:sz w:val="18"/>
                      <w:szCs w:val="18"/>
                      <w:highlight w:val="none"/>
                    </w:rPr>
                    <w:t>布袋除尘器收尘</w:t>
                  </w:r>
                </w:p>
              </w:tc>
              <w:tc>
                <w:tcPr>
                  <w:tcW w:w="680" w:type="dxa"/>
                  <w:vMerge w:val="continue"/>
                  <w:vAlign w:val="center"/>
                </w:tcPr>
                <w:p w14:paraId="40A1C81B">
                  <w:pPr>
                    <w:pStyle w:val="34"/>
                    <w:bidi w:val="0"/>
                    <w:rPr>
                      <w:color w:val="auto"/>
                      <w:sz w:val="18"/>
                      <w:szCs w:val="18"/>
                      <w:highlight w:val="none"/>
                    </w:rPr>
                  </w:pPr>
                </w:p>
              </w:tc>
              <w:tc>
                <w:tcPr>
                  <w:tcW w:w="1403" w:type="dxa"/>
                  <w:vAlign w:val="center"/>
                </w:tcPr>
                <w:p w14:paraId="559666E8">
                  <w:pPr>
                    <w:pStyle w:val="34"/>
                    <w:bidi w:val="0"/>
                    <w:rPr>
                      <w:rFonts w:hint="eastAsia"/>
                      <w:color w:val="auto"/>
                      <w:sz w:val="18"/>
                      <w:szCs w:val="18"/>
                      <w:highlight w:val="none"/>
                    </w:rPr>
                  </w:pPr>
                  <w:r>
                    <w:rPr>
                      <w:rFonts w:hint="eastAsia"/>
                      <w:color w:val="auto"/>
                      <w:sz w:val="18"/>
                      <w:szCs w:val="18"/>
                      <w:highlight w:val="none"/>
                      <w:lang w:val="en-US" w:eastAsia="zh-CN"/>
                    </w:rPr>
                    <w:t>900-099-S17</w:t>
                  </w:r>
                </w:p>
              </w:tc>
              <w:tc>
                <w:tcPr>
                  <w:tcW w:w="521" w:type="dxa"/>
                  <w:vAlign w:val="center"/>
                </w:tcPr>
                <w:p w14:paraId="0D4D85E0">
                  <w:pPr>
                    <w:pStyle w:val="34"/>
                    <w:bidi w:val="0"/>
                    <w:rPr>
                      <w:color w:val="auto"/>
                      <w:sz w:val="18"/>
                      <w:szCs w:val="18"/>
                      <w:highlight w:val="none"/>
                    </w:rPr>
                  </w:pPr>
                  <w:r>
                    <w:rPr>
                      <w:color w:val="auto"/>
                      <w:sz w:val="18"/>
                      <w:szCs w:val="18"/>
                      <w:highlight w:val="none"/>
                    </w:rPr>
                    <w:t>物料衡算法</w:t>
                  </w:r>
                </w:p>
              </w:tc>
              <w:tc>
                <w:tcPr>
                  <w:tcW w:w="705" w:type="dxa"/>
                  <w:vAlign w:val="center"/>
                </w:tcPr>
                <w:p w14:paraId="5AA0F81C">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0.594</w:t>
                  </w:r>
                </w:p>
              </w:tc>
              <w:tc>
                <w:tcPr>
                  <w:tcW w:w="479" w:type="dxa"/>
                  <w:vAlign w:val="center"/>
                </w:tcPr>
                <w:p w14:paraId="3F85B7BA">
                  <w:pPr>
                    <w:pStyle w:val="34"/>
                    <w:bidi w:val="0"/>
                    <w:rPr>
                      <w:rFonts w:hint="eastAsia"/>
                      <w:color w:val="auto"/>
                      <w:sz w:val="18"/>
                      <w:szCs w:val="18"/>
                      <w:highlight w:val="none"/>
                    </w:rPr>
                  </w:pPr>
                  <w:r>
                    <w:rPr>
                      <w:rFonts w:hint="eastAsia"/>
                      <w:color w:val="auto"/>
                      <w:sz w:val="18"/>
                      <w:szCs w:val="18"/>
                      <w:highlight w:val="none"/>
                    </w:rPr>
                    <w:t>/</w:t>
                  </w:r>
                </w:p>
              </w:tc>
              <w:tc>
                <w:tcPr>
                  <w:tcW w:w="693" w:type="dxa"/>
                  <w:vAlign w:val="center"/>
                </w:tcPr>
                <w:p w14:paraId="0B86AA12">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0.594</w:t>
                  </w:r>
                </w:p>
              </w:tc>
              <w:tc>
                <w:tcPr>
                  <w:tcW w:w="952" w:type="dxa"/>
                  <w:vMerge w:val="continue"/>
                  <w:vAlign w:val="center"/>
                </w:tcPr>
                <w:p w14:paraId="71D87389">
                  <w:pPr>
                    <w:pStyle w:val="34"/>
                    <w:bidi w:val="0"/>
                    <w:rPr>
                      <w:color w:val="auto"/>
                      <w:sz w:val="18"/>
                      <w:szCs w:val="18"/>
                      <w:highlight w:val="none"/>
                    </w:rPr>
                  </w:pPr>
                </w:p>
              </w:tc>
            </w:tr>
            <w:tr w14:paraId="1DB55A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dxa"/>
                  <w:vMerge w:val="continue"/>
                  <w:vAlign w:val="center"/>
                </w:tcPr>
                <w:p w14:paraId="03936978">
                  <w:pPr>
                    <w:pStyle w:val="34"/>
                    <w:bidi w:val="0"/>
                    <w:rPr>
                      <w:color w:val="auto"/>
                      <w:sz w:val="18"/>
                      <w:szCs w:val="18"/>
                      <w:highlight w:val="none"/>
                    </w:rPr>
                  </w:pPr>
                </w:p>
              </w:tc>
              <w:tc>
                <w:tcPr>
                  <w:tcW w:w="692" w:type="dxa"/>
                  <w:vMerge w:val="continue"/>
                  <w:vAlign w:val="center"/>
                </w:tcPr>
                <w:p w14:paraId="6FC09E01">
                  <w:pPr>
                    <w:pStyle w:val="34"/>
                    <w:bidi w:val="0"/>
                    <w:rPr>
                      <w:color w:val="auto"/>
                      <w:sz w:val="18"/>
                      <w:szCs w:val="18"/>
                      <w:highlight w:val="none"/>
                    </w:rPr>
                  </w:pPr>
                </w:p>
              </w:tc>
              <w:tc>
                <w:tcPr>
                  <w:tcW w:w="867" w:type="dxa"/>
                  <w:vAlign w:val="center"/>
                </w:tcPr>
                <w:p w14:paraId="6D9EC146">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外加剂罐</w:t>
                  </w:r>
                  <w:r>
                    <w:rPr>
                      <w:rFonts w:hint="eastAsia"/>
                      <w:color w:val="auto"/>
                      <w:sz w:val="18"/>
                      <w:szCs w:val="18"/>
                      <w:highlight w:val="none"/>
                    </w:rPr>
                    <w:t>布袋除尘器收尘</w:t>
                  </w:r>
                </w:p>
              </w:tc>
              <w:tc>
                <w:tcPr>
                  <w:tcW w:w="680" w:type="dxa"/>
                  <w:vMerge w:val="continue"/>
                  <w:vAlign w:val="center"/>
                </w:tcPr>
                <w:p w14:paraId="1F7B89B5">
                  <w:pPr>
                    <w:pStyle w:val="34"/>
                    <w:bidi w:val="0"/>
                    <w:rPr>
                      <w:color w:val="auto"/>
                      <w:sz w:val="18"/>
                      <w:szCs w:val="18"/>
                      <w:highlight w:val="none"/>
                    </w:rPr>
                  </w:pPr>
                </w:p>
              </w:tc>
              <w:tc>
                <w:tcPr>
                  <w:tcW w:w="1403" w:type="dxa"/>
                  <w:vAlign w:val="center"/>
                </w:tcPr>
                <w:p w14:paraId="1A076315">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900-099-S17</w:t>
                  </w:r>
                </w:p>
              </w:tc>
              <w:tc>
                <w:tcPr>
                  <w:tcW w:w="521" w:type="dxa"/>
                  <w:vAlign w:val="center"/>
                </w:tcPr>
                <w:p w14:paraId="40E15974">
                  <w:pPr>
                    <w:pStyle w:val="34"/>
                    <w:bidi w:val="0"/>
                    <w:rPr>
                      <w:color w:val="auto"/>
                      <w:sz w:val="18"/>
                      <w:szCs w:val="18"/>
                      <w:highlight w:val="none"/>
                    </w:rPr>
                  </w:pPr>
                  <w:r>
                    <w:rPr>
                      <w:color w:val="auto"/>
                      <w:sz w:val="18"/>
                      <w:szCs w:val="18"/>
                      <w:highlight w:val="none"/>
                    </w:rPr>
                    <w:t>物料衡算法</w:t>
                  </w:r>
                </w:p>
              </w:tc>
              <w:tc>
                <w:tcPr>
                  <w:tcW w:w="705" w:type="dxa"/>
                  <w:vAlign w:val="center"/>
                </w:tcPr>
                <w:p w14:paraId="5E434CD3">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0.0594</w:t>
                  </w:r>
                </w:p>
              </w:tc>
              <w:tc>
                <w:tcPr>
                  <w:tcW w:w="479" w:type="dxa"/>
                  <w:vAlign w:val="center"/>
                </w:tcPr>
                <w:p w14:paraId="4DB0A1D9">
                  <w:pPr>
                    <w:pStyle w:val="34"/>
                    <w:bidi w:val="0"/>
                    <w:rPr>
                      <w:rFonts w:hint="eastAsia"/>
                      <w:color w:val="auto"/>
                      <w:sz w:val="18"/>
                      <w:szCs w:val="18"/>
                      <w:highlight w:val="none"/>
                    </w:rPr>
                  </w:pPr>
                  <w:r>
                    <w:rPr>
                      <w:rFonts w:hint="eastAsia"/>
                      <w:color w:val="auto"/>
                      <w:sz w:val="18"/>
                      <w:szCs w:val="18"/>
                      <w:highlight w:val="none"/>
                      <w:lang w:val="en-US" w:eastAsia="zh-CN"/>
                    </w:rPr>
                    <w:t>/</w:t>
                  </w:r>
                </w:p>
              </w:tc>
              <w:tc>
                <w:tcPr>
                  <w:tcW w:w="693" w:type="dxa"/>
                  <w:vAlign w:val="center"/>
                </w:tcPr>
                <w:p w14:paraId="5EDF93EF">
                  <w:pPr>
                    <w:pStyle w:val="34"/>
                    <w:bidi w:val="0"/>
                    <w:ind w:firstLine="0" w:firstLineChars="0"/>
                    <w:rPr>
                      <w:rFonts w:hint="eastAsia"/>
                      <w:color w:val="auto"/>
                      <w:sz w:val="18"/>
                      <w:szCs w:val="18"/>
                      <w:highlight w:val="none"/>
                      <w:lang w:val="en-US" w:eastAsia="zh-CN"/>
                    </w:rPr>
                  </w:pPr>
                  <w:r>
                    <w:rPr>
                      <w:rFonts w:hint="eastAsia"/>
                      <w:color w:val="auto"/>
                      <w:sz w:val="18"/>
                      <w:szCs w:val="18"/>
                      <w:highlight w:val="none"/>
                      <w:lang w:val="en-US" w:eastAsia="zh-CN"/>
                    </w:rPr>
                    <w:t>0.0594</w:t>
                  </w:r>
                </w:p>
              </w:tc>
              <w:tc>
                <w:tcPr>
                  <w:tcW w:w="952" w:type="dxa"/>
                  <w:vMerge w:val="continue"/>
                  <w:vAlign w:val="center"/>
                </w:tcPr>
                <w:p w14:paraId="0544C228">
                  <w:pPr>
                    <w:pStyle w:val="34"/>
                    <w:bidi w:val="0"/>
                    <w:rPr>
                      <w:color w:val="auto"/>
                      <w:sz w:val="18"/>
                      <w:szCs w:val="18"/>
                      <w:highlight w:val="none"/>
                    </w:rPr>
                  </w:pPr>
                </w:p>
              </w:tc>
            </w:tr>
            <w:tr w14:paraId="55F31E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dxa"/>
                  <w:vMerge w:val="continue"/>
                  <w:vAlign w:val="center"/>
                </w:tcPr>
                <w:p w14:paraId="1BDD3CC1">
                  <w:pPr>
                    <w:pStyle w:val="34"/>
                    <w:bidi w:val="0"/>
                    <w:rPr>
                      <w:color w:val="auto"/>
                      <w:sz w:val="18"/>
                      <w:szCs w:val="18"/>
                      <w:highlight w:val="none"/>
                    </w:rPr>
                  </w:pPr>
                </w:p>
              </w:tc>
              <w:tc>
                <w:tcPr>
                  <w:tcW w:w="692" w:type="dxa"/>
                  <w:vMerge w:val="continue"/>
                  <w:vAlign w:val="center"/>
                </w:tcPr>
                <w:p w14:paraId="17E0C2FE">
                  <w:pPr>
                    <w:pStyle w:val="34"/>
                    <w:bidi w:val="0"/>
                    <w:rPr>
                      <w:color w:val="auto"/>
                      <w:sz w:val="18"/>
                      <w:szCs w:val="18"/>
                      <w:highlight w:val="none"/>
                    </w:rPr>
                  </w:pPr>
                </w:p>
              </w:tc>
              <w:tc>
                <w:tcPr>
                  <w:tcW w:w="867" w:type="dxa"/>
                  <w:vAlign w:val="center"/>
                </w:tcPr>
                <w:p w14:paraId="1E7D679A">
                  <w:pPr>
                    <w:pStyle w:val="34"/>
                    <w:bidi w:val="0"/>
                    <w:rPr>
                      <w:rFonts w:hint="eastAsia"/>
                      <w:color w:val="auto"/>
                      <w:sz w:val="18"/>
                      <w:szCs w:val="18"/>
                      <w:highlight w:val="none"/>
                    </w:rPr>
                  </w:pPr>
                  <w:r>
                    <w:rPr>
                      <w:rFonts w:hint="eastAsia"/>
                      <w:color w:val="auto"/>
                      <w:sz w:val="18"/>
                      <w:szCs w:val="18"/>
                      <w:highlight w:val="none"/>
                      <w:lang w:val="en-US" w:eastAsia="zh-CN"/>
                    </w:rPr>
                    <w:t>搅拌机布袋除尘器收尘</w:t>
                  </w:r>
                </w:p>
              </w:tc>
              <w:tc>
                <w:tcPr>
                  <w:tcW w:w="680" w:type="dxa"/>
                  <w:vMerge w:val="continue"/>
                  <w:vAlign w:val="center"/>
                </w:tcPr>
                <w:p w14:paraId="7372B33A">
                  <w:pPr>
                    <w:pStyle w:val="34"/>
                    <w:bidi w:val="0"/>
                    <w:rPr>
                      <w:color w:val="auto"/>
                      <w:sz w:val="18"/>
                      <w:szCs w:val="18"/>
                      <w:highlight w:val="none"/>
                    </w:rPr>
                  </w:pPr>
                </w:p>
              </w:tc>
              <w:tc>
                <w:tcPr>
                  <w:tcW w:w="1403" w:type="dxa"/>
                  <w:vAlign w:val="center"/>
                </w:tcPr>
                <w:p w14:paraId="27EE5B13">
                  <w:pPr>
                    <w:pStyle w:val="34"/>
                    <w:bidi w:val="0"/>
                    <w:rPr>
                      <w:rFonts w:hint="eastAsia"/>
                      <w:color w:val="auto"/>
                      <w:sz w:val="18"/>
                      <w:szCs w:val="18"/>
                      <w:highlight w:val="none"/>
                    </w:rPr>
                  </w:pPr>
                  <w:r>
                    <w:rPr>
                      <w:rFonts w:hint="eastAsia"/>
                      <w:color w:val="auto"/>
                      <w:sz w:val="18"/>
                      <w:szCs w:val="18"/>
                      <w:highlight w:val="none"/>
                      <w:lang w:val="en-US" w:eastAsia="zh-CN"/>
                    </w:rPr>
                    <w:t>900-099-S17</w:t>
                  </w:r>
                </w:p>
              </w:tc>
              <w:tc>
                <w:tcPr>
                  <w:tcW w:w="521" w:type="dxa"/>
                  <w:vAlign w:val="center"/>
                </w:tcPr>
                <w:p w14:paraId="3F713F93">
                  <w:pPr>
                    <w:pStyle w:val="34"/>
                    <w:bidi w:val="0"/>
                    <w:rPr>
                      <w:color w:val="auto"/>
                      <w:sz w:val="18"/>
                      <w:szCs w:val="18"/>
                      <w:highlight w:val="none"/>
                    </w:rPr>
                  </w:pPr>
                  <w:r>
                    <w:rPr>
                      <w:color w:val="auto"/>
                      <w:sz w:val="18"/>
                      <w:szCs w:val="18"/>
                      <w:highlight w:val="none"/>
                    </w:rPr>
                    <w:t>物料衡算法</w:t>
                  </w:r>
                </w:p>
              </w:tc>
              <w:tc>
                <w:tcPr>
                  <w:tcW w:w="705" w:type="dxa"/>
                  <w:vAlign w:val="center"/>
                </w:tcPr>
                <w:p w14:paraId="2FAA20F2">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15.9</w:t>
                  </w:r>
                </w:p>
              </w:tc>
              <w:tc>
                <w:tcPr>
                  <w:tcW w:w="479" w:type="dxa"/>
                  <w:vAlign w:val="center"/>
                </w:tcPr>
                <w:p w14:paraId="0AF9D06B">
                  <w:pPr>
                    <w:pStyle w:val="34"/>
                    <w:bidi w:val="0"/>
                    <w:rPr>
                      <w:rFonts w:hint="eastAsia"/>
                      <w:color w:val="auto"/>
                      <w:sz w:val="18"/>
                      <w:szCs w:val="18"/>
                      <w:highlight w:val="none"/>
                    </w:rPr>
                  </w:pPr>
                  <w:r>
                    <w:rPr>
                      <w:rFonts w:hint="eastAsia"/>
                      <w:color w:val="auto"/>
                      <w:sz w:val="18"/>
                      <w:szCs w:val="18"/>
                      <w:highlight w:val="none"/>
                    </w:rPr>
                    <w:t>/</w:t>
                  </w:r>
                </w:p>
              </w:tc>
              <w:tc>
                <w:tcPr>
                  <w:tcW w:w="693" w:type="dxa"/>
                  <w:vAlign w:val="center"/>
                </w:tcPr>
                <w:p w14:paraId="3E85AA57">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15.9</w:t>
                  </w:r>
                </w:p>
              </w:tc>
              <w:tc>
                <w:tcPr>
                  <w:tcW w:w="952" w:type="dxa"/>
                  <w:vMerge w:val="continue"/>
                  <w:vAlign w:val="center"/>
                </w:tcPr>
                <w:p w14:paraId="0C654160">
                  <w:pPr>
                    <w:pStyle w:val="34"/>
                    <w:bidi w:val="0"/>
                    <w:rPr>
                      <w:color w:val="auto"/>
                      <w:sz w:val="18"/>
                      <w:szCs w:val="18"/>
                      <w:highlight w:val="none"/>
                    </w:rPr>
                  </w:pPr>
                </w:p>
              </w:tc>
            </w:tr>
            <w:tr w14:paraId="7F6314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dxa"/>
                  <w:vMerge w:val="continue"/>
                  <w:vAlign w:val="center"/>
                </w:tcPr>
                <w:p w14:paraId="7B81C7D2">
                  <w:pPr>
                    <w:pStyle w:val="34"/>
                    <w:bidi w:val="0"/>
                    <w:rPr>
                      <w:color w:val="auto"/>
                      <w:sz w:val="18"/>
                      <w:szCs w:val="18"/>
                      <w:highlight w:val="none"/>
                    </w:rPr>
                  </w:pPr>
                </w:p>
              </w:tc>
              <w:tc>
                <w:tcPr>
                  <w:tcW w:w="692" w:type="dxa"/>
                  <w:vMerge w:val="continue"/>
                  <w:vAlign w:val="center"/>
                </w:tcPr>
                <w:p w14:paraId="75D7D4CB">
                  <w:pPr>
                    <w:pStyle w:val="34"/>
                    <w:bidi w:val="0"/>
                    <w:rPr>
                      <w:color w:val="auto"/>
                      <w:sz w:val="18"/>
                      <w:szCs w:val="18"/>
                      <w:highlight w:val="none"/>
                    </w:rPr>
                  </w:pPr>
                </w:p>
              </w:tc>
              <w:tc>
                <w:tcPr>
                  <w:tcW w:w="867" w:type="dxa"/>
                  <w:vAlign w:val="center"/>
                </w:tcPr>
                <w:p w14:paraId="6F62008B">
                  <w:pPr>
                    <w:pStyle w:val="34"/>
                    <w:bidi w:val="0"/>
                    <w:rPr>
                      <w:rFonts w:hint="eastAsia" w:eastAsia="宋体"/>
                      <w:color w:val="auto"/>
                      <w:sz w:val="18"/>
                      <w:szCs w:val="18"/>
                      <w:highlight w:val="none"/>
                      <w:lang w:val="en-US" w:eastAsia="zh-CN"/>
                    </w:rPr>
                  </w:pPr>
                  <w:r>
                    <w:rPr>
                      <w:rFonts w:hint="eastAsia"/>
                      <w:color w:val="auto"/>
                      <w:sz w:val="18"/>
                      <w:szCs w:val="18"/>
                      <w:highlight w:val="none"/>
                      <w:lang w:val="en-US" w:eastAsia="zh-CN"/>
                    </w:rPr>
                    <w:t>废布袋</w:t>
                  </w:r>
                </w:p>
              </w:tc>
              <w:tc>
                <w:tcPr>
                  <w:tcW w:w="680" w:type="dxa"/>
                  <w:vMerge w:val="continue"/>
                  <w:vAlign w:val="center"/>
                </w:tcPr>
                <w:p w14:paraId="54DBD263">
                  <w:pPr>
                    <w:pStyle w:val="34"/>
                    <w:bidi w:val="0"/>
                    <w:rPr>
                      <w:color w:val="auto"/>
                      <w:sz w:val="18"/>
                      <w:szCs w:val="18"/>
                      <w:highlight w:val="none"/>
                    </w:rPr>
                  </w:pPr>
                </w:p>
              </w:tc>
              <w:tc>
                <w:tcPr>
                  <w:tcW w:w="1403" w:type="dxa"/>
                  <w:vAlign w:val="center"/>
                </w:tcPr>
                <w:p w14:paraId="39144F64">
                  <w:pPr>
                    <w:pStyle w:val="34"/>
                    <w:bidi w:val="0"/>
                    <w:ind w:firstLine="0" w:firstLineChars="0"/>
                    <w:rPr>
                      <w:rFonts w:hint="default" w:ascii="Times New Roman" w:hAnsi="Times New Roman" w:eastAsia="宋体" w:cs="宋体"/>
                      <w:color w:val="auto"/>
                      <w:kern w:val="2"/>
                      <w:sz w:val="18"/>
                      <w:szCs w:val="18"/>
                      <w:highlight w:val="none"/>
                      <w:lang w:val="en-US" w:eastAsia="zh-CN" w:bidi="ar-SA"/>
                    </w:rPr>
                  </w:pPr>
                  <w:r>
                    <w:rPr>
                      <w:rFonts w:hint="eastAsia"/>
                      <w:color w:val="auto"/>
                      <w:sz w:val="18"/>
                      <w:szCs w:val="18"/>
                      <w:highlight w:val="none"/>
                      <w:lang w:val="en-US" w:eastAsia="zh-CN"/>
                    </w:rPr>
                    <w:t>900-099-S59</w:t>
                  </w:r>
                </w:p>
              </w:tc>
              <w:tc>
                <w:tcPr>
                  <w:tcW w:w="521" w:type="dxa"/>
                  <w:vAlign w:val="center"/>
                </w:tcPr>
                <w:p w14:paraId="4B673BD9">
                  <w:pPr>
                    <w:pStyle w:val="34"/>
                    <w:bidi w:val="0"/>
                    <w:rPr>
                      <w:rFonts w:hint="eastAsia" w:eastAsia="宋体"/>
                      <w:color w:val="auto"/>
                      <w:sz w:val="18"/>
                      <w:szCs w:val="18"/>
                      <w:highlight w:val="none"/>
                      <w:lang w:val="en-US" w:eastAsia="zh-CN"/>
                    </w:rPr>
                  </w:pPr>
                  <w:r>
                    <w:rPr>
                      <w:rFonts w:hint="eastAsia"/>
                      <w:color w:val="auto"/>
                      <w:sz w:val="18"/>
                      <w:szCs w:val="18"/>
                      <w:highlight w:val="none"/>
                      <w:lang w:val="en-US" w:eastAsia="zh-CN"/>
                    </w:rPr>
                    <w:t>类比法</w:t>
                  </w:r>
                </w:p>
              </w:tc>
              <w:tc>
                <w:tcPr>
                  <w:tcW w:w="705" w:type="dxa"/>
                  <w:vAlign w:val="center"/>
                </w:tcPr>
                <w:p w14:paraId="03EC073E">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0.02</w:t>
                  </w:r>
                </w:p>
              </w:tc>
              <w:tc>
                <w:tcPr>
                  <w:tcW w:w="479" w:type="dxa"/>
                  <w:vAlign w:val="center"/>
                </w:tcPr>
                <w:p w14:paraId="35636E8A">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w:t>
                  </w:r>
                </w:p>
              </w:tc>
              <w:tc>
                <w:tcPr>
                  <w:tcW w:w="693" w:type="dxa"/>
                  <w:vAlign w:val="center"/>
                </w:tcPr>
                <w:p w14:paraId="6AC89AE4">
                  <w:pPr>
                    <w:pStyle w:val="34"/>
                    <w:bidi w:val="0"/>
                    <w:ind w:firstLine="0" w:firstLineChars="0"/>
                    <w:rPr>
                      <w:rFonts w:hint="default" w:eastAsia="宋体"/>
                      <w:color w:val="auto"/>
                      <w:sz w:val="18"/>
                      <w:szCs w:val="18"/>
                      <w:highlight w:val="none"/>
                      <w:lang w:val="en-US" w:eastAsia="zh-CN"/>
                    </w:rPr>
                  </w:pPr>
                  <w:r>
                    <w:rPr>
                      <w:rFonts w:hint="eastAsia"/>
                      <w:color w:val="auto"/>
                      <w:sz w:val="18"/>
                      <w:szCs w:val="18"/>
                      <w:highlight w:val="none"/>
                      <w:lang w:val="en-US" w:eastAsia="zh-CN"/>
                    </w:rPr>
                    <w:t>0.02</w:t>
                  </w:r>
                </w:p>
              </w:tc>
              <w:tc>
                <w:tcPr>
                  <w:tcW w:w="952" w:type="dxa"/>
                  <w:vAlign w:val="center"/>
                </w:tcPr>
                <w:p w14:paraId="5688437C">
                  <w:pPr>
                    <w:pStyle w:val="34"/>
                    <w:bidi w:val="0"/>
                    <w:rPr>
                      <w:rFonts w:hint="eastAsia" w:eastAsia="宋体"/>
                      <w:color w:val="auto"/>
                      <w:sz w:val="18"/>
                      <w:szCs w:val="18"/>
                      <w:highlight w:val="none"/>
                      <w:lang w:val="en-US" w:eastAsia="zh-CN"/>
                    </w:rPr>
                  </w:pPr>
                  <w:r>
                    <w:rPr>
                      <w:rFonts w:hint="default"/>
                      <w:color w:val="auto"/>
                      <w:sz w:val="18"/>
                      <w:szCs w:val="18"/>
                      <w:highlight w:val="none"/>
                    </w:rPr>
                    <w:t>厂家回收</w:t>
                  </w:r>
                  <w:r>
                    <w:rPr>
                      <w:rFonts w:hint="eastAsia"/>
                      <w:color w:val="auto"/>
                      <w:sz w:val="18"/>
                      <w:szCs w:val="18"/>
                      <w:highlight w:val="none"/>
                      <w:lang w:val="en-US" w:eastAsia="zh-CN"/>
                    </w:rPr>
                    <w:t>处置</w:t>
                  </w:r>
                </w:p>
              </w:tc>
            </w:tr>
            <w:tr w14:paraId="1F0CE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dxa"/>
                  <w:vAlign w:val="center"/>
                </w:tcPr>
                <w:p w14:paraId="32AC2955">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成品检验</w:t>
                  </w:r>
                </w:p>
              </w:tc>
              <w:tc>
                <w:tcPr>
                  <w:tcW w:w="692" w:type="dxa"/>
                  <w:vAlign w:val="center"/>
                </w:tcPr>
                <w:p w14:paraId="589AAA30">
                  <w:pPr>
                    <w:pStyle w:val="34"/>
                    <w:bidi w:val="0"/>
                    <w:rPr>
                      <w:rFonts w:hint="eastAsia" w:eastAsia="宋体"/>
                      <w:color w:val="auto"/>
                      <w:sz w:val="18"/>
                      <w:szCs w:val="18"/>
                      <w:highlight w:val="none"/>
                      <w:lang w:val="en-US" w:eastAsia="zh-CN"/>
                    </w:rPr>
                  </w:pPr>
                  <w:r>
                    <w:rPr>
                      <w:rFonts w:hint="eastAsia"/>
                      <w:color w:val="auto"/>
                      <w:sz w:val="18"/>
                      <w:szCs w:val="18"/>
                      <w:highlight w:val="none"/>
                      <w:lang w:val="en-US" w:eastAsia="zh-CN"/>
                    </w:rPr>
                    <w:t>实验室</w:t>
                  </w:r>
                </w:p>
              </w:tc>
              <w:tc>
                <w:tcPr>
                  <w:tcW w:w="867" w:type="dxa"/>
                  <w:vAlign w:val="center"/>
                </w:tcPr>
                <w:p w14:paraId="778D708D">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实验室废料</w:t>
                  </w:r>
                </w:p>
              </w:tc>
              <w:tc>
                <w:tcPr>
                  <w:tcW w:w="680" w:type="dxa"/>
                  <w:vMerge w:val="continue"/>
                  <w:vAlign w:val="center"/>
                </w:tcPr>
                <w:p w14:paraId="43C20938">
                  <w:pPr>
                    <w:pStyle w:val="34"/>
                    <w:bidi w:val="0"/>
                    <w:rPr>
                      <w:color w:val="auto"/>
                      <w:sz w:val="18"/>
                      <w:szCs w:val="18"/>
                      <w:highlight w:val="none"/>
                    </w:rPr>
                  </w:pPr>
                </w:p>
              </w:tc>
              <w:tc>
                <w:tcPr>
                  <w:tcW w:w="1403" w:type="dxa"/>
                  <w:vAlign w:val="center"/>
                </w:tcPr>
                <w:p w14:paraId="6D542307">
                  <w:pPr>
                    <w:pStyle w:val="34"/>
                    <w:bidi w:val="0"/>
                    <w:ind w:firstLine="0" w:firstLineChars="0"/>
                    <w:rPr>
                      <w:rFonts w:hint="eastAsia"/>
                      <w:color w:val="auto"/>
                      <w:sz w:val="18"/>
                      <w:szCs w:val="18"/>
                      <w:highlight w:val="none"/>
                      <w:lang w:val="en-US" w:eastAsia="zh-CN"/>
                    </w:rPr>
                  </w:pPr>
                  <w:r>
                    <w:rPr>
                      <w:rFonts w:hint="eastAsia"/>
                      <w:color w:val="auto"/>
                      <w:sz w:val="18"/>
                      <w:szCs w:val="18"/>
                      <w:highlight w:val="none"/>
                      <w:lang w:val="en-US" w:eastAsia="zh-CN"/>
                    </w:rPr>
                    <w:t>900-099-S17</w:t>
                  </w:r>
                </w:p>
              </w:tc>
              <w:tc>
                <w:tcPr>
                  <w:tcW w:w="521" w:type="dxa"/>
                  <w:vAlign w:val="center"/>
                </w:tcPr>
                <w:p w14:paraId="0CB848A6">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类比法</w:t>
                  </w:r>
                </w:p>
              </w:tc>
              <w:tc>
                <w:tcPr>
                  <w:tcW w:w="705" w:type="dxa"/>
                  <w:vAlign w:val="center"/>
                </w:tcPr>
                <w:p w14:paraId="15AC7243">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1.5</w:t>
                  </w:r>
                </w:p>
              </w:tc>
              <w:tc>
                <w:tcPr>
                  <w:tcW w:w="479" w:type="dxa"/>
                  <w:vAlign w:val="center"/>
                </w:tcPr>
                <w:p w14:paraId="4A0C798C">
                  <w:pPr>
                    <w:pStyle w:val="34"/>
                    <w:bidi w:val="0"/>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693" w:type="dxa"/>
                  <w:vAlign w:val="center"/>
                </w:tcPr>
                <w:p w14:paraId="0C80EF38">
                  <w:pPr>
                    <w:pStyle w:val="34"/>
                    <w:bidi w:val="0"/>
                    <w:ind w:firstLine="0" w:firstLineChars="0"/>
                    <w:rPr>
                      <w:rFonts w:hint="eastAsia"/>
                      <w:color w:val="auto"/>
                      <w:sz w:val="18"/>
                      <w:szCs w:val="18"/>
                      <w:highlight w:val="none"/>
                      <w:lang w:val="en-US" w:eastAsia="zh-CN"/>
                    </w:rPr>
                  </w:pPr>
                  <w:r>
                    <w:rPr>
                      <w:rFonts w:hint="eastAsia"/>
                      <w:color w:val="auto"/>
                      <w:sz w:val="18"/>
                      <w:szCs w:val="18"/>
                      <w:highlight w:val="none"/>
                      <w:lang w:val="en-US" w:eastAsia="zh-CN"/>
                    </w:rPr>
                    <w:t>1.5</w:t>
                  </w:r>
                </w:p>
              </w:tc>
              <w:tc>
                <w:tcPr>
                  <w:tcW w:w="952" w:type="dxa"/>
                  <w:vAlign w:val="center"/>
                </w:tcPr>
                <w:p w14:paraId="626BD7A3">
                  <w:pPr>
                    <w:pStyle w:val="34"/>
                    <w:bidi w:val="0"/>
                    <w:rPr>
                      <w:rFonts w:hint="default"/>
                      <w:color w:val="auto"/>
                      <w:sz w:val="18"/>
                      <w:szCs w:val="18"/>
                      <w:highlight w:val="none"/>
                    </w:rPr>
                  </w:pPr>
                  <w:r>
                    <w:rPr>
                      <w:rFonts w:hint="eastAsia"/>
                      <w:color w:val="auto"/>
                      <w:sz w:val="18"/>
                      <w:szCs w:val="18"/>
                      <w:highlight w:val="none"/>
                      <w:lang w:val="en-US" w:eastAsia="zh-CN"/>
                    </w:rPr>
                    <w:t>由</w:t>
                  </w:r>
                  <w:r>
                    <w:rPr>
                      <w:color w:val="auto"/>
                      <w:sz w:val="18"/>
                      <w:szCs w:val="18"/>
                      <w:highlight w:val="none"/>
                    </w:rPr>
                    <w:t>骨料供应商回收破碎后重新利用</w:t>
                  </w:r>
                </w:p>
              </w:tc>
            </w:tr>
            <w:tr w14:paraId="197B96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dxa"/>
                  <w:vAlign w:val="center"/>
                </w:tcPr>
                <w:p w14:paraId="386F2998">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初期雨水</w:t>
                  </w:r>
                </w:p>
              </w:tc>
              <w:tc>
                <w:tcPr>
                  <w:tcW w:w="692" w:type="dxa"/>
                  <w:vAlign w:val="center"/>
                </w:tcPr>
                <w:p w14:paraId="10D81C43">
                  <w:pPr>
                    <w:pStyle w:val="34"/>
                    <w:bidi w:val="0"/>
                    <w:rPr>
                      <w:rFonts w:hint="default" w:eastAsia="宋体"/>
                      <w:color w:val="auto"/>
                      <w:sz w:val="18"/>
                      <w:szCs w:val="18"/>
                      <w:highlight w:val="none"/>
                      <w:lang w:val="en-US" w:eastAsia="zh-CN"/>
                    </w:rPr>
                  </w:pPr>
                  <w:r>
                    <w:rPr>
                      <w:rFonts w:hint="eastAsia"/>
                      <w:color w:val="auto"/>
                      <w:sz w:val="18"/>
                      <w:szCs w:val="18"/>
                      <w:highlight w:val="none"/>
                      <w:lang w:val="en-US" w:eastAsia="zh-CN"/>
                    </w:rPr>
                    <w:t>沉淀池</w:t>
                  </w:r>
                </w:p>
              </w:tc>
              <w:tc>
                <w:tcPr>
                  <w:tcW w:w="867" w:type="dxa"/>
                  <w:vAlign w:val="center"/>
                </w:tcPr>
                <w:p w14:paraId="20857454">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污泥</w:t>
                  </w:r>
                </w:p>
              </w:tc>
              <w:tc>
                <w:tcPr>
                  <w:tcW w:w="680" w:type="dxa"/>
                  <w:vMerge w:val="continue"/>
                  <w:vAlign w:val="center"/>
                </w:tcPr>
                <w:p w14:paraId="6A7772B1">
                  <w:pPr>
                    <w:pStyle w:val="34"/>
                    <w:bidi w:val="0"/>
                    <w:rPr>
                      <w:color w:val="auto"/>
                      <w:sz w:val="18"/>
                      <w:szCs w:val="18"/>
                      <w:highlight w:val="none"/>
                    </w:rPr>
                  </w:pPr>
                </w:p>
              </w:tc>
              <w:tc>
                <w:tcPr>
                  <w:tcW w:w="1403" w:type="dxa"/>
                  <w:vAlign w:val="center"/>
                </w:tcPr>
                <w:p w14:paraId="67A2CCA0">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900-099-S07</w:t>
                  </w:r>
                </w:p>
              </w:tc>
              <w:tc>
                <w:tcPr>
                  <w:tcW w:w="521" w:type="dxa"/>
                  <w:vAlign w:val="center"/>
                </w:tcPr>
                <w:p w14:paraId="57FB499B">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类比法</w:t>
                  </w:r>
                </w:p>
              </w:tc>
              <w:tc>
                <w:tcPr>
                  <w:tcW w:w="705" w:type="dxa"/>
                  <w:vAlign w:val="center"/>
                </w:tcPr>
                <w:p w14:paraId="1719C365">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0.05</w:t>
                  </w:r>
                </w:p>
              </w:tc>
              <w:tc>
                <w:tcPr>
                  <w:tcW w:w="479" w:type="dxa"/>
                  <w:vAlign w:val="center"/>
                </w:tcPr>
                <w:p w14:paraId="304421BA">
                  <w:pPr>
                    <w:pStyle w:val="34"/>
                    <w:bidi w:val="0"/>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693" w:type="dxa"/>
                  <w:vAlign w:val="center"/>
                </w:tcPr>
                <w:p w14:paraId="1CFCE7A5">
                  <w:pPr>
                    <w:pStyle w:val="34"/>
                    <w:bidi w:val="0"/>
                    <w:ind w:firstLine="0" w:firstLineChars="0"/>
                    <w:rPr>
                      <w:rFonts w:hint="default"/>
                      <w:color w:val="auto"/>
                      <w:sz w:val="18"/>
                      <w:szCs w:val="18"/>
                      <w:highlight w:val="none"/>
                      <w:lang w:val="en-US" w:eastAsia="zh-CN"/>
                    </w:rPr>
                  </w:pPr>
                  <w:r>
                    <w:rPr>
                      <w:rFonts w:hint="eastAsia"/>
                      <w:color w:val="auto"/>
                      <w:sz w:val="18"/>
                      <w:szCs w:val="18"/>
                      <w:highlight w:val="none"/>
                      <w:lang w:val="en-US" w:eastAsia="zh-CN"/>
                    </w:rPr>
                    <w:t>0.05</w:t>
                  </w:r>
                </w:p>
              </w:tc>
              <w:tc>
                <w:tcPr>
                  <w:tcW w:w="952" w:type="dxa"/>
                  <w:vAlign w:val="center"/>
                </w:tcPr>
                <w:p w14:paraId="4CF3313C">
                  <w:pPr>
                    <w:pStyle w:val="34"/>
                    <w:bidi w:val="0"/>
                    <w:rPr>
                      <w:rFonts w:hint="default"/>
                      <w:color w:val="auto"/>
                      <w:sz w:val="18"/>
                      <w:szCs w:val="18"/>
                      <w:highlight w:val="none"/>
                    </w:rPr>
                  </w:pPr>
                  <w:r>
                    <w:rPr>
                      <w:rFonts w:hint="default"/>
                      <w:color w:val="auto"/>
                      <w:sz w:val="18"/>
                      <w:szCs w:val="18"/>
                      <w:highlight w:val="none"/>
                    </w:rPr>
                    <w:t>交由市政部门统一处理</w:t>
                  </w:r>
                </w:p>
              </w:tc>
            </w:tr>
          </w:tbl>
          <w:p w14:paraId="6FFD785D">
            <w:pPr>
              <w:pStyle w:val="36"/>
              <w:keepNext w:val="0"/>
              <w:keepLines w:val="0"/>
              <w:pageBreakBefore w:val="0"/>
              <w:widowControl w:val="0"/>
              <w:kinsoku/>
              <w:wordWrap/>
              <w:overflowPunct/>
              <w:topLinePunct w:val="0"/>
              <w:autoSpaceDE/>
              <w:autoSpaceDN/>
              <w:bidi w:val="0"/>
              <w:adjustRightInd/>
              <w:snapToGrid/>
              <w:spacing w:before="157" w:beforeLines="50"/>
              <w:textAlignment w:val="auto"/>
              <w:rPr>
                <w:color w:val="auto"/>
                <w:highlight w:val="none"/>
              </w:rPr>
            </w:pPr>
            <w:r>
              <w:rPr>
                <w:rFonts w:hint="eastAsia"/>
                <w:color w:val="auto"/>
                <w:highlight w:val="none"/>
              </w:rPr>
              <w:t>表</w:t>
            </w:r>
            <w:r>
              <w:rPr>
                <w:rFonts w:hint="eastAsia"/>
                <w:color w:val="auto"/>
                <w:highlight w:val="none"/>
                <w:lang w:val="en-US" w:eastAsia="zh-CN"/>
              </w:rPr>
              <w:t>4</w:t>
            </w:r>
            <w:r>
              <w:rPr>
                <w:rFonts w:hint="eastAsia"/>
                <w:color w:val="auto"/>
                <w:highlight w:val="none"/>
              </w:rPr>
              <w:t>-</w:t>
            </w:r>
            <w:r>
              <w:rPr>
                <w:rFonts w:hint="eastAsia"/>
                <w:color w:val="auto"/>
                <w:highlight w:val="none"/>
                <w:lang w:val="en-US" w:eastAsia="zh-CN"/>
              </w:rPr>
              <w:t>11</w:t>
            </w:r>
            <w:r>
              <w:rPr>
                <w:rFonts w:hint="eastAsia"/>
                <w:color w:val="auto"/>
                <w:highlight w:val="none"/>
              </w:rPr>
              <w:t>危险废物汇总样表</w:t>
            </w:r>
          </w:p>
          <w:tbl>
            <w:tblPr>
              <w:tblStyle w:val="23"/>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914"/>
              <w:gridCol w:w="991"/>
              <w:gridCol w:w="545"/>
              <w:gridCol w:w="731"/>
              <w:gridCol w:w="512"/>
              <w:gridCol w:w="545"/>
              <w:gridCol w:w="545"/>
              <w:gridCol w:w="545"/>
              <w:gridCol w:w="545"/>
              <w:gridCol w:w="545"/>
              <w:gridCol w:w="660"/>
              <w:gridCol w:w="549"/>
            </w:tblGrid>
            <w:tr w14:paraId="30DA96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99" w:type="pct"/>
                  <w:noWrap w:val="0"/>
                  <w:vAlign w:val="center"/>
                </w:tcPr>
                <w:p w14:paraId="05C4E008">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危险废物类别</w:t>
                  </w:r>
                </w:p>
              </w:tc>
              <w:tc>
                <w:tcPr>
                  <w:tcW w:w="649" w:type="pct"/>
                  <w:noWrap w:val="0"/>
                  <w:vAlign w:val="center"/>
                </w:tcPr>
                <w:p w14:paraId="1A20CF03">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危险废物代码</w:t>
                  </w:r>
                </w:p>
              </w:tc>
              <w:tc>
                <w:tcPr>
                  <w:tcW w:w="357" w:type="pct"/>
                  <w:noWrap w:val="0"/>
                  <w:vAlign w:val="center"/>
                </w:tcPr>
                <w:p w14:paraId="5D814951">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位置</w:t>
                  </w:r>
                </w:p>
              </w:tc>
              <w:tc>
                <w:tcPr>
                  <w:tcW w:w="479" w:type="pct"/>
                  <w:noWrap w:val="0"/>
                  <w:vAlign w:val="center"/>
                </w:tcPr>
                <w:p w14:paraId="67340EED">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危险废物名称</w:t>
                  </w:r>
                </w:p>
              </w:tc>
              <w:tc>
                <w:tcPr>
                  <w:tcW w:w="335" w:type="pct"/>
                  <w:noWrap w:val="0"/>
                  <w:vAlign w:val="center"/>
                </w:tcPr>
                <w:p w14:paraId="3598387F">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产生量</w:t>
                  </w:r>
                </w:p>
              </w:tc>
              <w:tc>
                <w:tcPr>
                  <w:tcW w:w="357" w:type="pct"/>
                  <w:noWrap w:val="0"/>
                  <w:vAlign w:val="center"/>
                </w:tcPr>
                <w:p w14:paraId="73CB0E42">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产生工序</w:t>
                  </w:r>
                </w:p>
              </w:tc>
              <w:tc>
                <w:tcPr>
                  <w:tcW w:w="357" w:type="pct"/>
                  <w:noWrap w:val="0"/>
                  <w:vAlign w:val="center"/>
                </w:tcPr>
                <w:p w14:paraId="1E8762BA">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形态</w:t>
                  </w:r>
                </w:p>
              </w:tc>
              <w:tc>
                <w:tcPr>
                  <w:tcW w:w="357" w:type="pct"/>
                  <w:noWrap w:val="0"/>
                  <w:vAlign w:val="center"/>
                </w:tcPr>
                <w:p w14:paraId="46D069EF">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主要成分</w:t>
                  </w:r>
                </w:p>
              </w:tc>
              <w:tc>
                <w:tcPr>
                  <w:tcW w:w="357" w:type="pct"/>
                  <w:noWrap w:val="0"/>
                  <w:vAlign w:val="center"/>
                </w:tcPr>
                <w:p w14:paraId="3BBA157C">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有害成分</w:t>
                  </w:r>
                </w:p>
              </w:tc>
              <w:tc>
                <w:tcPr>
                  <w:tcW w:w="357" w:type="pct"/>
                  <w:noWrap w:val="0"/>
                  <w:vAlign w:val="center"/>
                </w:tcPr>
                <w:p w14:paraId="44BA7975">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产废周期</w:t>
                  </w:r>
                </w:p>
              </w:tc>
              <w:tc>
                <w:tcPr>
                  <w:tcW w:w="432" w:type="pct"/>
                  <w:noWrap w:val="0"/>
                  <w:vAlign w:val="center"/>
                </w:tcPr>
                <w:p w14:paraId="69B8B118">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危险特性</w:t>
                  </w:r>
                </w:p>
              </w:tc>
              <w:tc>
                <w:tcPr>
                  <w:tcW w:w="359" w:type="pct"/>
                  <w:noWrap w:val="0"/>
                  <w:vAlign w:val="center"/>
                </w:tcPr>
                <w:p w14:paraId="4165AB8C">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污染防治措施</w:t>
                  </w:r>
                </w:p>
              </w:tc>
            </w:tr>
            <w:tr w14:paraId="2A9988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99" w:type="pct"/>
                  <w:shd w:val="clear" w:color="auto" w:fill="auto"/>
                  <w:noWrap w:val="0"/>
                  <w:vAlign w:val="center"/>
                </w:tcPr>
                <w:p w14:paraId="377B08C1">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HW08废矿物油与含矿物油废物</w:t>
                  </w:r>
                </w:p>
              </w:tc>
              <w:tc>
                <w:tcPr>
                  <w:tcW w:w="649" w:type="pct"/>
                  <w:shd w:val="clear" w:color="auto" w:fill="auto"/>
                  <w:noWrap w:val="0"/>
                  <w:vAlign w:val="center"/>
                </w:tcPr>
                <w:p w14:paraId="10463732">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900-21</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-08</w:t>
                  </w:r>
                </w:p>
              </w:tc>
              <w:tc>
                <w:tcPr>
                  <w:tcW w:w="357" w:type="pct"/>
                  <w:shd w:val="clear" w:color="auto" w:fill="auto"/>
                  <w:noWrap w:val="0"/>
                  <w:vAlign w:val="center"/>
                </w:tcPr>
                <w:p w14:paraId="167C9095">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生产车间</w:t>
                  </w:r>
                </w:p>
              </w:tc>
              <w:tc>
                <w:tcPr>
                  <w:tcW w:w="479" w:type="pct"/>
                  <w:shd w:val="clear" w:color="auto" w:fill="auto"/>
                  <w:noWrap w:val="0"/>
                  <w:vAlign w:val="center"/>
                </w:tcPr>
                <w:p w14:paraId="519F0F81">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废润滑油</w:t>
                  </w:r>
                </w:p>
              </w:tc>
              <w:tc>
                <w:tcPr>
                  <w:tcW w:w="335" w:type="pct"/>
                  <w:shd w:val="clear" w:color="auto" w:fill="auto"/>
                  <w:noWrap w:val="0"/>
                  <w:vAlign w:val="center"/>
                </w:tcPr>
                <w:p w14:paraId="5A94B820">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w:t>
                  </w:r>
                  <w:r>
                    <w:rPr>
                      <w:rFonts w:hint="default" w:ascii="Times New Roman" w:hAnsi="Times New Roman"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t/a</w:t>
                  </w:r>
                </w:p>
              </w:tc>
              <w:tc>
                <w:tcPr>
                  <w:tcW w:w="357" w:type="pct"/>
                  <w:shd w:val="clear" w:color="auto" w:fill="auto"/>
                  <w:noWrap w:val="0"/>
                  <w:vAlign w:val="center"/>
                </w:tcPr>
                <w:p w14:paraId="6FDB0BE1">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设备检修</w:t>
                  </w:r>
                </w:p>
              </w:tc>
              <w:tc>
                <w:tcPr>
                  <w:tcW w:w="357" w:type="pct"/>
                  <w:shd w:val="clear" w:color="auto" w:fill="auto"/>
                  <w:noWrap w:val="0"/>
                  <w:vAlign w:val="center"/>
                </w:tcPr>
                <w:p w14:paraId="031A6591">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液态</w:t>
                  </w:r>
                </w:p>
              </w:tc>
              <w:tc>
                <w:tcPr>
                  <w:tcW w:w="357" w:type="pct"/>
                  <w:shd w:val="clear" w:color="auto" w:fill="auto"/>
                  <w:noWrap w:val="0"/>
                  <w:vAlign w:val="center"/>
                </w:tcPr>
                <w:p w14:paraId="0B0E0D6C">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石油类</w:t>
                  </w:r>
                </w:p>
              </w:tc>
              <w:tc>
                <w:tcPr>
                  <w:tcW w:w="357" w:type="pct"/>
                  <w:shd w:val="clear" w:color="auto" w:fill="auto"/>
                  <w:noWrap w:val="0"/>
                  <w:vAlign w:val="center"/>
                </w:tcPr>
                <w:p w14:paraId="29B16574">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石油类</w:t>
                  </w:r>
                </w:p>
              </w:tc>
              <w:tc>
                <w:tcPr>
                  <w:tcW w:w="357" w:type="pct"/>
                  <w:shd w:val="clear" w:color="auto" w:fill="auto"/>
                  <w:noWrap w:val="0"/>
                  <w:vAlign w:val="center"/>
                </w:tcPr>
                <w:p w14:paraId="586D31E5">
                  <w:pPr>
                    <w:pStyle w:val="34"/>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次/</w:t>
                  </w:r>
                  <w:r>
                    <w:rPr>
                      <w:rFonts w:hint="default" w:ascii="Times New Roman" w:hAnsi="Times New Roman" w:cs="Times New Roman"/>
                      <w:color w:val="auto"/>
                      <w:sz w:val="21"/>
                      <w:szCs w:val="21"/>
                      <w:highlight w:val="none"/>
                      <w:lang w:val="en-US" w:eastAsia="zh-CN"/>
                    </w:rPr>
                    <w:t>年</w:t>
                  </w:r>
                </w:p>
              </w:tc>
              <w:tc>
                <w:tcPr>
                  <w:tcW w:w="432" w:type="pct"/>
                  <w:shd w:val="clear" w:color="auto" w:fill="auto"/>
                  <w:noWrap w:val="0"/>
                  <w:vAlign w:val="center"/>
                </w:tcPr>
                <w:p w14:paraId="47ADA8FC">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T，I</w:t>
                  </w:r>
                </w:p>
              </w:tc>
              <w:tc>
                <w:tcPr>
                  <w:tcW w:w="359" w:type="pct"/>
                  <w:vMerge w:val="restart"/>
                  <w:noWrap w:val="0"/>
                  <w:vAlign w:val="center"/>
                </w:tcPr>
                <w:p w14:paraId="172468A9">
                  <w:pPr>
                    <w:pStyle w:val="34"/>
                    <w:bidi w:val="0"/>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暂存于</w:t>
                  </w:r>
                  <w:r>
                    <w:rPr>
                      <w:rFonts w:hint="default" w:ascii="Times New Roman" w:hAnsi="Times New Roman" w:cs="Times New Roman"/>
                      <w:color w:val="auto"/>
                      <w:sz w:val="21"/>
                      <w:szCs w:val="21"/>
                      <w:highlight w:val="none"/>
                      <w:lang w:eastAsia="zh-CN"/>
                    </w:rPr>
                    <w:t>危险废物贮存点</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由有资质单位处置</w:t>
                  </w:r>
                </w:p>
              </w:tc>
            </w:tr>
            <w:tr w14:paraId="203DF0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99" w:type="pct"/>
                  <w:shd w:val="clear" w:color="auto" w:fill="auto"/>
                  <w:noWrap w:val="0"/>
                  <w:vAlign w:val="center"/>
                </w:tcPr>
                <w:p w14:paraId="610356B5">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HW49其他废物</w:t>
                  </w:r>
                </w:p>
              </w:tc>
              <w:tc>
                <w:tcPr>
                  <w:tcW w:w="649" w:type="pct"/>
                  <w:shd w:val="clear" w:color="auto" w:fill="auto"/>
                  <w:noWrap w:val="0"/>
                  <w:vAlign w:val="center"/>
                </w:tcPr>
                <w:p w14:paraId="26802D76">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900-</w:t>
                  </w:r>
                  <w:r>
                    <w:rPr>
                      <w:rFonts w:hint="default" w:ascii="Times New Roman" w:hAnsi="Times New Roman" w:cs="Times New Roman"/>
                      <w:color w:val="auto"/>
                      <w:sz w:val="21"/>
                      <w:szCs w:val="21"/>
                      <w:highlight w:val="none"/>
                      <w:lang w:val="en-US" w:eastAsia="zh-CN"/>
                    </w:rPr>
                    <w:t>249</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08</w:t>
                  </w:r>
                </w:p>
              </w:tc>
              <w:tc>
                <w:tcPr>
                  <w:tcW w:w="357" w:type="pct"/>
                  <w:shd w:val="clear" w:color="auto" w:fill="auto"/>
                  <w:noWrap w:val="0"/>
                  <w:vAlign w:val="center"/>
                </w:tcPr>
                <w:p w14:paraId="655B1578">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生产车间</w:t>
                  </w:r>
                </w:p>
              </w:tc>
              <w:tc>
                <w:tcPr>
                  <w:tcW w:w="479" w:type="pct"/>
                  <w:shd w:val="clear" w:color="auto" w:fill="auto"/>
                  <w:noWrap w:val="0"/>
                  <w:vAlign w:val="center"/>
                </w:tcPr>
                <w:p w14:paraId="55A126BE">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废油桶</w:t>
                  </w:r>
                </w:p>
              </w:tc>
              <w:tc>
                <w:tcPr>
                  <w:tcW w:w="335" w:type="pct"/>
                  <w:shd w:val="clear" w:color="auto" w:fill="auto"/>
                  <w:noWrap w:val="0"/>
                  <w:vAlign w:val="center"/>
                </w:tcPr>
                <w:p w14:paraId="0609E144">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0.00</w:t>
                  </w:r>
                  <w:r>
                    <w:rPr>
                      <w:rFonts w:hint="eastAsia" w:ascii="Times New Roman" w:hAnsi="Times New Roman" w:cs="Times New Roman"/>
                      <w:color w:val="auto"/>
                      <w:sz w:val="21"/>
                      <w:szCs w:val="21"/>
                      <w:highlight w:val="none"/>
                      <w:lang w:val="en-US" w:eastAsia="zh-CN"/>
                    </w:rPr>
                    <w:t>05</w:t>
                  </w:r>
                  <w:r>
                    <w:rPr>
                      <w:rFonts w:hint="default" w:ascii="Times New Roman" w:hAnsi="Times New Roman" w:cs="Times New Roman"/>
                      <w:color w:val="auto"/>
                      <w:sz w:val="21"/>
                      <w:szCs w:val="21"/>
                      <w:highlight w:val="none"/>
                    </w:rPr>
                    <w:t>t/a</w:t>
                  </w:r>
                </w:p>
              </w:tc>
              <w:tc>
                <w:tcPr>
                  <w:tcW w:w="357" w:type="pct"/>
                  <w:shd w:val="clear" w:color="auto" w:fill="auto"/>
                  <w:noWrap w:val="0"/>
                  <w:vAlign w:val="center"/>
                </w:tcPr>
                <w:p w14:paraId="48FBD525">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贮存润滑油</w:t>
                  </w:r>
                </w:p>
              </w:tc>
              <w:tc>
                <w:tcPr>
                  <w:tcW w:w="357" w:type="pct"/>
                  <w:shd w:val="clear" w:color="auto" w:fill="auto"/>
                  <w:noWrap w:val="0"/>
                  <w:vAlign w:val="center"/>
                </w:tcPr>
                <w:p w14:paraId="4DFDAE68">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固态</w:t>
                  </w:r>
                </w:p>
              </w:tc>
              <w:tc>
                <w:tcPr>
                  <w:tcW w:w="357" w:type="pct"/>
                  <w:shd w:val="clear" w:color="auto" w:fill="auto"/>
                  <w:noWrap w:val="0"/>
                  <w:vAlign w:val="center"/>
                </w:tcPr>
                <w:p w14:paraId="033ABBD8">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石油类</w:t>
                  </w:r>
                </w:p>
              </w:tc>
              <w:tc>
                <w:tcPr>
                  <w:tcW w:w="357" w:type="pct"/>
                  <w:shd w:val="clear" w:color="auto" w:fill="auto"/>
                  <w:noWrap w:val="0"/>
                  <w:vAlign w:val="center"/>
                </w:tcPr>
                <w:p w14:paraId="353B473D">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石油类</w:t>
                  </w:r>
                </w:p>
              </w:tc>
              <w:tc>
                <w:tcPr>
                  <w:tcW w:w="357" w:type="pct"/>
                  <w:shd w:val="clear" w:color="auto" w:fill="auto"/>
                  <w:noWrap w:val="0"/>
                  <w:vAlign w:val="center"/>
                </w:tcPr>
                <w:p w14:paraId="35BAA656">
                  <w:pPr>
                    <w:pStyle w:val="34"/>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次/</w:t>
                  </w:r>
                  <w:r>
                    <w:rPr>
                      <w:rFonts w:hint="default" w:ascii="Times New Roman" w:hAnsi="Times New Roman" w:cs="Times New Roman"/>
                      <w:color w:val="auto"/>
                      <w:sz w:val="21"/>
                      <w:szCs w:val="21"/>
                      <w:highlight w:val="none"/>
                      <w:lang w:val="en-US" w:eastAsia="zh-CN"/>
                    </w:rPr>
                    <w:t>年</w:t>
                  </w:r>
                </w:p>
              </w:tc>
              <w:tc>
                <w:tcPr>
                  <w:tcW w:w="432" w:type="pct"/>
                  <w:shd w:val="clear" w:color="auto" w:fill="auto"/>
                  <w:noWrap w:val="0"/>
                  <w:vAlign w:val="center"/>
                </w:tcPr>
                <w:p w14:paraId="116C3B02">
                  <w:pPr>
                    <w:pStyle w:val="34"/>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T</w:t>
                  </w:r>
                </w:p>
              </w:tc>
              <w:tc>
                <w:tcPr>
                  <w:tcW w:w="359" w:type="pct"/>
                  <w:vMerge w:val="continue"/>
                  <w:noWrap w:val="0"/>
                  <w:vAlign w:val="center"/>
                </w:tcPr>
                <w:p w14:paraId="53CED229">
                  <w:pPr>
                    <w:pStyle w:val="34"/>
                    <w:bidi w:val="0"/>
                    <w:rPr>
                      <w:rFonts w:hint="default" w:ascii="Times New Roman" w:hAnsi="Times New Roman" w:cs="Times New Roman"/>
                      <w:color w:val="auto"/>
                      <w:sz w:val="21"/>
                      <w:szCs w:val="21"/>
                      <w:highlight w:val="none"/>
                    </w:rPr>
                  </w:pPr>
                </w:p>
              </w:tc>
            </w:tr>
            <w:tr w14:paraId="2589CA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599" w:type="pct"/>
                  <w:noWrap w:val="0"/>
                  <w:vAlign w:val="center"/>
                </w:tcPr>
                <w:p w14:paraId="493429B4">
                  <w:pPr>
                    <w:pStyle w:val="34"/>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HW49其他废物</w:t>
                  </w:r>
                </w:p>
              </w:tc>
              <w:tc>
                <w:tcPr>
                  <w:tcW w:w="649" w:type="pct"/>
                  <w:noWrap w:val="0"/>
                  <w:vAlign w:val="center"/>
                </w:tcPr>
                <w:p w14:paraId="671357E4">
                  <w:pPr>
                    <w:pStyle w:val="34"/>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900-0</w:t>
                  </w:r>
                  <w:r>
                    <w:rPr>
                      <w:rFonts w:hint="default" w:ascii="Times New Roman" w:hAnsi="Times New Roman" w:cs="Times New Roman"/>
                      <w:color w:val="auto"/>
                      <w:sz w:val="21"/>
                      <w:szCs w:val="21"/>
                      <w:highlight w:val="none"/>
                      <w:lang w:val="en-US" w:eastAsia="zh-CN"/>
                    </w:rPr>
                    <w:t>41</w:t>
                  </w:r>
                  <w:r>
                    <w:rPr>
                      <w:rFonts w:hint="default" w:ascii="Times New Roman" w:hAnsi="Times New Roman" w:cs="Times New Roman"/>
                      <w:color w:val="auto"/>
                      <w:sz w:val="21"/>
                      <w:szCs w:val="21"/>
                      <w:highlight w:val="none"/>
                    </w:rPr>
                    <w:t>-49</w:t>
                  </w:r>
                </w:p>
              </w:tc>
              <w:tc>
                <w:tcPr>
                  <w:tcW w:w="357" w:type="pct"/>
                  <w:noWrap w:val="0"/>
                  <w:vAlign w:val="center"/>
                </w:tcPr>
                <w:p w14:paraId="55D99AB7">
                  <w:pPr>
                    <w:pStyle w:val="34"/>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生产车间</w:t>
                  </w:r>
                </w:p>
              </w:tc>
              <w:tc>
                <w:tcPr>
                  <w:tcW w:w="479" w:type="pct"/>
                  <w:noWrap w:val="0"/>
                  <w:vAlign w:val="center"/>
                </w:tcPr>
                <w:p w14:paraId="26B86076">
                  <w:pPr>
                    <w:pStyle w:val="34"/>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含油抹布及棉纱手套</w:t>
                  </w:r>
                </w:p>
              </w:tc>
              <w:tc>
                <w:tcPr>
                  <w:tcW w:w="335" w:type="pct"/>
                  <w:noWrap w:val="0"/>
                  <w:vAlign w:val="center"/>
                </w:tcPr>
                <w:p w14:paraId="09B21AC8">
                  <w:pPr>
                    <w:pStyle w:val="34"/>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w:t>
                  </w:r>
                  <w:r>
                    <w:rPr>
                      <w:rFonts w:hint="eastAsia" w:ascii="Times New Roman" w:hAnsi="Times New Roman" w:cs="Times New Roman"/>
                      <w:color w:val="auto"/>
                      <w:sz w:val="21"/>
                      <w:szCs w:val="21"/>
                      <w:highlight w:val="none"/>
                      <w:lang w:val="en-US" w:eastAsia="zh-CN"/>
                    </w:rPr>
                    <w:t>05</w:t>
                  </w:r>
                  <w:r>
                    <w:rPr>
                      <w:rFonts w:hint="default" w:ascii="Times New Roman" w:hAnsi="Times New Roman" w:cs="Times New Roman"/>
                      <w:color w:val="auto"/>
                      <w:sz w:val="21"/>
                      <w:szCs w:val="21"/>
                      <w:highlight w:val="none"/>
                      <w:lang w:val="en-US" w:eastAsia="zh-CN"/>
                    </w:rPr>
                    <w:t>t/a</w:t>
                  </w:r>
                </w:p>
              </w:tc>
              <w:tc>
                <w:tcPr>
                  <w:tcW w:w="357" w:type="pct"/>
                  <w:noWrap w:val="0"/>
                  <w:vAlign w:val="center"/>
                </w:tcPr>
                <w:p w14:paraId="08156E35">
                  <w:pPr>
                    <w:pStyle w:val="34"/>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设备检修</w:t>
                  </w:r>
                </w:p>
              </w:tc>
              <w:tc>
                <w:tcPr>
                  <w:tcW w:w="357" w:type="pct"/>
                  <w:noWrap w:val="0"/>
                  <w:vAlign w:val="center"/>
                </w:tcPr>
                <w:p w14:paraId="213B5259">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固态</w:t>
                  </w:r>
                </w:p>
              </w:tc>
              <w:tc>
                <w:tcPr>
                  <w:tcW w:w="357" w:type="pct"/>
                  <w:noWrap w:val="0"/>
                  <w:vAlign w:val="center"/>
                </w:tcPr>
                <w:p w14:paraId="17A6464B">
                  <w:pPr>
                    <w:pStyle w:val="34"/>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石油类</w:t>
                  </w:r>
                </w:p>
              </w:tc>
              <w:tc>
                <w:tcPr>
                  <w:tcW w:w="357" w:type="pct"/>
                  <w:noWrap w:val="0"/>
                  <w:vAlign w:val="center"/>
                </w:tcPr>
                <w:p w14:paraId="28A37510">
                  <w:pPr>
                    <w:pStyle w:val="34"/>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石油类</w:t>
                  </w:r>
                </w:p>
              </w:tc>
              <w:tc>
                <w:tcPr>
                  <w:tcW w:w="357" w:type="pct"/>
                  <w:noWrap w:val="0"/>
                  <w:vAlign w:val="center"/>
                </w:tcPr>
                <w:p w14:paraId="7077BDFD">
                  <w:pPr>
                    <w:pStyle w:val="34"/>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次/</w:t>
                  </w:r>
                  <w:r>
                    <w:rPr>
                      <w:rFonts w:hint="default" w:ascii="Times New Roman" w:hAnsi="Times New Roman" w:cs="Times New Roman"/>
                      <w:color w:val="auto"/>
                      <w:sz w:val="21"/>
                      <w:szCs w:val="21"/>
                      <w:highlight w:val="none"/>
                      <w:lang w:val="en-US" w:eastAsia="zh-CN"/>
                    </w:rPr>
                    <w:t>年</w:t>
                  </w:r>
                </w:p>
              </w:tc>
              <w:tc>
                <w:tcPr>
                  <w:tcW w:w="432" w:type="pct"/>
                  <w:noWrap w:val="0"/>
                  <w:vAlign w:val="center"/>
                </w:tcPr>
                <w:p w14:paraId="1339E4AB">
                  <w:pPr>
                    <w:pStyle w:val="34"/>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w:t>
                  </w:r>
                </w:p>
              </w:tc>
              <w:tc>
                <w:tcPr>
                  <w:tcW w:w="359" w:type="pct"/>
                  <w:vMerge w:val="continue"/>
                  <w:noWrap w:val="0"/>
                  <w:vAlign w:val="center"/>
                </w:tcPr>
                <w:p w14:paraId="651A0F3E">
                  <w:pPr>
                    <w:pStyle w:val="34"/>
                    <w:bidi w:val="0"/>
                    <w:rPr>
                      <w:rFonts w:hint="default" w:ascii="Times New Roman" w:hAnsi="Times New Roman" w:cs="Times New Roman"/>
                      <w:color w:val="auto"/>
                      <w:sz w:val="21"/>
                      <w:szCs w:val="21"/>
                      <w:highlight w:val="none"/>
                    </w:rPr>
                  </w:pPr>
                </w:p>
              </w:tc>
            </w:tr>
          </w:tbl>
          <w:p w14:paraId="611115F1">
            <w:pPr>
              <w:pStyle w:val="36"/>
              <w:keepNext w:val="0"/>
              <w:keepLines w:val="0"/>
              <w:pageBreakBefore w:val="0"/>
              <w:widowControl w:val="0"/>
              <w:kinsoku/>
              <w:wordWrap w:val="0"/>
              <w:overflowPunct/>
              <w:topLinePunct w:val="0"/>
              <w:autoSpaceDE/>
              <w:autoSpaceDN/>
              <w:bidi w:val="0"/>
              <w:adjustRightInd/>
              <w:snapToGrid/>
              <w:spacing w:before="157" w:beforeLines="5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4-1</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 xml:space="preserve"> </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lang w:val="en-US" w:eastAsia="zh-CN"/>
              </w:rPr>
              <w:t>危废贮存点</w:t>
            </w:r>
            <w:r>
              <w:rPr>
                <w:rFonts w:hint="default" w:ascii="Times New Roman" w:hAnsi="Times New Roman" w:cs="Times New Roman"/>
                <w:color w:val="auto"/>
                <w:highlight w:val="none"/>
              </w:rPr>
              <w:t>基本情况表</w:t>
            </w:r>
          </w:p>
          <w:p w14:paraId="579ACD45">
            <w:pPr>
              <w:spacing w:line="102" w:lineRule="auto"/>
              <w:rPr>
                <w:rFonts w:hint="default" w:ascii="Times New Roman" w:hAnsi="Times New Roman" w:cs="Times New Roman"/>
                <w:color w:val="auto"/>
                <w:sz w:val="2"/>
                <w:highlight w:val="none"/>
              </w:rPr>
            </w:pPr>
          </w:p>
          <w:tbl>
            <w:tblPr>
              <w:tblStyle w:val="8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505"/>
              <w:gridCol w:w="1909"/>
              <w:gridCol w:w="15"/>
              <w:gridCol w:w="2089"/>
              <w:gridCol w:w="26"/>
              <w:gridCol w:w="2080"/>
              <w:gridCol w:w="7"/>
            </w:tblGrid>
            <w:tr w14:paraId="142902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09" w:type="dxa"/>
                  <w:tcBorders>
                    <w:tl2br w:val="nil"/>
                    <w:tr2bl w:val="nil"/>
                  </w:tcBorders>
                  <w:vAlign w:val="center"/>
                </w:tcPr>
                <w:p w14:paraId="293CAB67">
                  <w:pPr>
                    <w:pStyle w:val="34"/>
                    <w:bidi w:val="0"/>
                    <w:rPr>
                      <w:rFonts w:hint="default"/>
                      <w:color w:val="auto"/>
                      <w:highlight w:val="none"/>
                    </w:rPr>
                  </w:pPr>
                  <w:r>
                    <w:rPr>
                      <w:rFonts w:hint="default"/>
                      <w:color w:val="auto"/>
                      <w:highlight w:val="none"/>
                    </w:rPr>
                    <w:t>危险废物名称</w:t>
                  </w:r>
                </w:p>
              </w:tc>
              <w:tc>
                <w:tcPr>
                  <w:tcW w:w="1922" w:type="dxa"/>
                  <w:tcBorders>
                    <w:tl2br w:val="nil"/>
                    <w:tr2bl w:val="nil"/>
                  </w:tcBorders>
                  <w:vAlign w:val="center"/>
                </w:tcPr>
                <w:p w14:paraId="2C9FE531">
                  <w:pPr>
                    <w:pStyle w:val="34"/>
                    <w:bidi w:val="0"/>
                    <w:rPr>
                      <w:rFonts w:hint="default"/>
                      <w:color w:val="auto"/>
                      <w:highlight w:val="none"/>
                    </w:rPr>
                  </w:pPr>
                  <w:r>
                    <w:rPr>
                      <w:rFonts w:hint="default"/>
                      <w:color w:val="auto"/>
                      <w:highlight w:val="none"/>
                    </w:rPr>
                    <w:t>废润滑油</w:t>
                  </w:r>
                </w:p>
              </w:tc>
              <w:tc>
                <w:tcPr>
                  <w:tcW w:w="2118" w:type="dxa"/>
                  <w:gridSpan w:val="2"/>
                  <w:tcBorders>
                    <w:tl2br w:val="nil"/>
                    <w:tr2bl w:val="nil"/>
                  </w:tcBorders>
                  <w:vAlign w:val="center"/>
                </w:tcPr>
                <w:p w14:paraId="0FF76BD7">
                  <w:pPr>
                    <w:pStyle w:val="34"/>
                    <w:bidi w:val="0"/>
                    <w:rPr>
                      <w:rFonts w:hint="default"/>
                      <w:color w:val="auto"/>
                      <w:highlight w:val="none"/>
                    </w:rPr>
                  </w:pPr>
                  <w:r>
                    <w:rPr>
                      <w:rFonts w:hint="default"/>
                      <w:color w:val="auto"/>
                      <w:highlight w:val="none"/>
                      <w:lang w:eastAsia="zh-CN"/>
                    </w:rPr>
                    <w:t>废</w:t>
                  </w:r>
                  <w:r>
                    <w:rPr>
                      <w:rFonts w:hint="eastAsia"/>
                      <w:color w:val="auto"/>
                      <w:highlight w:val="none"/>
                      <w:lang w:val="en-US" w:eastAsia="zh-CN"/>
                    </w:rPr>
                    <w:t>油</w:t>
                  </w:r>
                  <w:r>
                    <w:rPr>
                      <w:rFonts w:hint="default"/>
                      <w:color w:val="auto"/>
                      <w:highlight w:val="none"/>
                      <w:lang w:eastAsia="zh-CN"/>
                    </w:rPr>
                    <w:t>桶</w:t>
                  </w:r>
                </w:p>
              </w:tc>
              <w:tc>
                <w:tcPr>
                  <w:tcW w:w="2120" w:type="dxa"/>
                  <w:gridSpan w:val="3"/>
                  <w:tcBorders>
                    <w:tl2br w:val="nil"/>
                    <w:tr2bl w:val="nil"/>
                  </w:tcBorders>
                  <w:vAlign w:val="center"/>
                </w:tcPr>
                <w:p w14:paraId="7A52650D">
                  <w:pPr>
                    <w:pStyle w:val="34"/>
                    <w:bidi w:val="0"/>
                    <w:rPr>
                      <w:rFonts w:hint="default"/>
                      <w:color w:val="auto"/>
                      <w:highlight w:val="none"/>
                    </w:rPr>
                  </w:pPr>
                  <w:r>
                    <w:rPr>
                      <w:rFonts w:hint="default"/>
                      <w:color w:val="auto"/>
                      <w:highlight w:val="none"/>
                    </w:rPr>
                    <w:t>含油抹布及棉纱手套</w:t>
                  </w:r>
                </w:p>
              </w:tc>
            </w:tr>
            <w:tr w14:paraId="398431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09" w:type="dxa"/>
                  <w:tcBorders>
                    <w:tl2br w:val="nil"/>
                    <w:tr2bl w:val="nil"/>
                  </w:tcBorders>
                  <w:vAlign w:val="center"/>
                </w:tcPr>
                <w:p w14:paraId="61F9B879">
                  <w:pPr>
                    <w:pStyle w:val="34"/>
                    <w:bidi w:val="0"/>
                    <w:rPr>
                      <w:rFonts w:hint="default"/>
                      <w:color w:val="auto"/>
                      <w:highlight w:val="none"/>
                    </w:rPr>
                  </w:pPr>
                  <w:r>
                    <w:rPr>
                      <w:rFonts w:hint="default"/>
                      <w:color w:val="auto"/>
                      <w:highlight w:val="none"/>
                    </w:rPr>
                    <w:t>危险废物代码</w:t>
                  </w:r>
                </w:p>
              </w:tc>
              <w:tc>
                <w:tcPr>
                  <w:tcW w:w="1922" w:type="dxa"/>
                  <w:tcBorders>
                    <w:tl2br w:val="nil"/>
                    <w:tr2bl w:val="nil"/>
                  </w:tcBorders>
                  <w:vAlign w:val="center"/>
                </w:tcPr>
                <w:p w14:paraId="0281DC0B">
                  <w:pPr>
                    <w:pStyle w:val="34"/>
                    <w:bidi w:val="0"/>
                    <w:rPr>
                      <w:rFonts w:hint="default"/>
                      <w:color w:val="auto"/>
                      <w:highlight w:val="none"/>
                      <w:lang w:val="en-US" w:eastAsia="zh-CN"/>
                    </w:rPr>
                  </w:pPr>
                  <w:r>
                    <w:rPr>
                      <w:rFonts w:hint="default"/>
                      <w:color w:val="auto"/>
                      <w:highlight w:val="none"/>
                    </w:rPr>
                    <w:t>HW</w:t>
                  </w:r>
                  <w:r>
                    <w:rPr>
                      <w:rFonts w:hint="eastAsia"/>
                      <w:color w:val="auto"/>
                      <w:highlight w:val="none"/>
                      <w:lang w:val="en-US" w:eastAsia="zh-CN"/>
                    </w:rPr>
                    <w:t xml:space="preserve">08 </w:t>
                  </w:r>
                  <w:r>
                    <w:rPr>
                      <w:rFonts w:hint="default"/>
                      <w:color w:val="auto"/>
                      <w:highlight w:val="none"/>
                    </w:rPr>
                    <w:t>900-</w:t>
                  </w:r>
                  <w:r>
                    <w:rPr>
                      <w:rFonts w:hint="eastAsia"/>
                      <w:color w:val="auto"/>
                      <w:highlight w:val="none"/>
                      <w:lang w:val="en-US" w:eastAsia="zh-CN"/>
                    </w:rPr>
                    <w:t>214</w:t>
                  </w:r>
                  <w:r>
                    <w:rPr>
                      <w:rFonts w:hint="default"/>
                      <w:color w:val="auto"/>
                      <w:highlight w:val="none"/>
                    </w:rPr>
                    <w:t>-</w:t>
                  </w:r>
                  <w:r>
                    <w:rPr>
                      <w:rFonts w:hint="eastAsia"/>
                      <w:color w:val="auto"/>
                      <w:highlight w:val="none"/>
                      <w:lang w:val="en-US" w:eastAsia="zh-CN"/>
                    </w:rPr>
                    <w:t>08</w:t>
                  </w:r>
                </w:p>
              </w:tc>
              <w:tc>
                <w:tcPr>
                  <w:tcW w:w="2118" w:type="dxa"/>
                  <w:gridSpan w:val="2"/>
                  <w:tcBorders>
                    <w:tl2br w:val="nil"/>
                    <w:tr2bl w:val="nil"/>
                  </w:tcBorders>
                  <w:vAlign w:val="center"/>
                </w:tcPr>
                <w:p w14:paraId="696847B7">
                  <w:pPr>
                    <w:pStyle w:val="34"/>
                    <w:bidi w:val="0"/>
                    <w:rPr>
                      <w:rFonts w:hint="default"/>
                      <w:color w:val="auto"/>
                      <w:highlight w:val="none"/>
                    </w:rPr>
                  </w:pPr>
                  <w:r>
                    <w:rPr>
                      <w:rFonts w:hint="default"/>
                      <w:color w:val="auto"/>
                      <w:highlight w:val="none"/>
                    </w:rPr>
                    <w:t>HW08</w:t>
                  </w:r>
                  <w:r>
                    <w:rPr>
                      <w:rFonts w:hint="eastAsia"/>
                      <w:color w:val="auto"/>
                      <w:highlight w:val="none"/>
                      <w:lang w:val="en-US" w:eastAsia="zh-CN"/>
                    </w:rPr>
                    <w:t xml:space="preserve"> </w:t>
                  </w:r>
                  <w:r>
                    <w:rPr>
                      <w:rFonts w:hint="default"/>
                      <w:color w:val="auto"/>
                      <w:highlight w:val="none"/>
                    </w:rPr>
                    <w:t>900-2</w:t>
                  </w:r>
                  <w:r>
                    <w:rPr>
                      <w:rFonts w:hint="eastAsia"/>
                      <w:color w:val="auto"/>
                      <w:highlight w:val="none"/>
                      <w:lang w:val="en-US" w:eastAsia="zh-CN"/>
                    </w:rPr>
                    <w:t>49</w:t>
                  </w:r>
                  <w:r>
                    <w:rPr>
                      <w:rFonts w:hint="default"/>
                      <w:color w:val="auto"/>
                      <w:highlight w:val="none"/>
                    </w:rPr>
                    <w:t>-08</w:t>
                  </w:r>
                </w:p>
              </w:tc>
              <w:tc>
                <w:tcPr>
                  <w:tcW w:w="2120" w:type="dxa"/>
                  <w:gridSpan w:val="3"/>
                  <w:tcBorders>
                    <w:tl2br w:val="nil"/>
                    <w:tr2bl w:val="nil"/>
                  </w:tcBorders>
                  <w:vAlign w:val="center"/>
                </w:tcPr>
                <w:p w14:paraId="49E2B2D3">
                  <w:pPr>
                    <w:pStyle w:val="34"/>
                    <w:bidi w:val="0"/>
                    <w:rPr>
                      <w:rFonts w:hint="default"/>
                      <w:color w:val="auto"/>
                      <w:highlight w:val="none"/>
                    </w:rPr>
                  </w:pPr>
                  <w:r>
                    <w:rPr>
                      <w:rFonts w:hint="default"/>
                      <w:color w:val="auto"/>
                      <w:highlight w:val="none"/>
                    </w:rPr>
                    <w:t>HW49</w:t>
                  </w:r>
                  <w:r>
                    <w:rPr>
                      <w:rFonts w:hint="eastAsia"/>
                      <w:color w:val="auto"/>
                      <w:highlight w:val="none"/>
                      <w:lang w:val="en-US" w:eastAsia="zh-CN"/>
                    </w:rPr>
                    <w:t xml:space="preserve"> </w:t>
                  </w:r>
                  <w:r>
                    <w:rPr>
                      <w:rFonts w:hint="default"/>
                      <w:color w:val="auto"/>
                      <w:highlight w:val="none"/>
                    </w:rPr>
                    <w:t>900-041-49</w:t>
                  </w:r>
                </w:p>
              </w:tc>
            </w:tr>
            <w:tr w14:paraId="5A6835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7" w:type="dxa"/>
                <w:trHeight w:val="397" w:hRule="atLeast"/>
                <w:jc w:val="center"/>
              </w:trPr>
              <w:tc>
                <w:tcPr>
                  <w:tcW w:w="1509" w:type="dxa"/>
                  <w:tcBorders>
                    <w:tl2br w:val="nil"/>
                    <w:tr2bl w:val="nil"/>
                  </w:tcBorders>
                  <w:vAlign w:val="center"/>
                </w:tcPr>
                <w:p w14:paraId="4F52C6A2">
                  <w:pPr>
                    <w:pStyle w:val="34"/>
                    <w:bidi w:val="0"/>
                    <w:rPr>
                      <w:rFonts w:hint="default"/>
                      <w:color w:val="auto"/>
                      <w:highlight w:val="none"/>
                    </w:rPr>
                  </w:pPr>
                  <w:r>
                    <w:rPr>
                      <w:rFonts w:hint="default"/>
                      <w:color w:val="auto"/>
                      <w:highlight w:val="none"/>
                    </w:rPr>
                    <w:t>贮存场所名称</w:t>
                  </w:r>
                </w:p>
              </w:tc>
              <w:tc>
                <w:tcPr>
                  <w:tcW w:w="6153" w:type="dxa"/>
                  <w:gridSpan w:val="5"/>
                  <w:tcBorders>
                    <w:tl2br w:val="nil"/>
                    <w:tr2bl w:val="nil"/>
                  </w:tcBorders>
                  <w:vAlign w:val="center"/>
                </w:tcPr>
                <w:p w14:paraId="22E2F83C">
                  <w:pPr>
                    <w:pStyle w:val="34"/>
                    <w:bidi w:val="0"/>
                    <w:rPr>
                      <w:rFonts w:hint="default"/>
                      <w:color w:val="auto"/>
                      <w:highlight w:val="none"/>
                      <w:lang w:val="en-US" w:eastAsia="zh-CN"/>
                    </w:rPr>
                  </w:pPr>
                  <w:r>
                    <w:rPr>
                      <w:rFonts w:hint="default"/>
                      <w:color w:val="auto"/>
                      <w:highlight w:val="none"/>
                      <w:lang w:val="en-US" w:eastAsia="zh-CN"/>
                    </w:rPr>
                    <w:t>危废贮存点</w:t>
                  </w:r>
                </w:p>
              </w:tc>
            </w:tr>
            <w:tr w14:paraId="107CAE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7" w:type="dxa"/>
                <w:trHeight w:val="397" w:hRule="atLeast"/>
                <w:jc w:val="center"/>
              </w:trPr>
              <w:tc>
                <w:tcPr>
                  <w:tcW w:w="1509" w:type="dxa"/>
                  <w:tcBorders>
                    <w:tl2br w:val="nil"/>
                    <w:tr2bl w:val="nil"/>
                  </w:tcBorders>
                  <w:vAlign w:val="center"/>
                </w:tcPr>
                <w:p w14:paraId="2278991E">
                  <w:pPr>
                    <w:pStyle w:val="34"/>
                    <w:bidi w:val="0"/>
                    <w:rPr>
                      <w:rFonts w:hint="default"/>
                      <w:color w:val="auto"/>
                      <w:highlight w:val="none"/>
                    </w:rPr>
                  </w:pPr>
                  <w:r>
                    <w:rPr>
                      <w:rFonts w:hint="default"/>
                      <w:color w:val="auto"/>
                      <w:highlight w:val="none"/>
                    </w:rPr>
                    <w:t>占地面积</w:t>
                  </w:r>
                </w:p>
              </w:tc>
              <w:tc>
                <w:tcPr>
                  <w:tcW w:w="6153" w:type="dxa"/>
                  <w:gridSpan w:val="5"/>
                  <w:tcBorders>
                    <w:tl2br w:val="nil"/>
                    <w:tr2bl w:val="nil"/>
                  </w:tcBorders>
                  <w:vAlign w:val="center"/>
                </w:tcPr>
                <w:p w14:paraId="2D0D3653">
                  <w:pPr>
                    <w:pStyle w:val="34"/>
                    <w:bidi w:val="0"/>
                    <w:rPr>
                      <w:rFonts w:hint="default"/>
                      <w:color w:val="auto"/>
                      <w:highlight w:val="none"/>
                      <w:lang w:val="en-US" w:eastAsia="zh-CN"/>
                    </w:rPr>
                  </w:pPr>
                  <w:r>
                    <w:rPr>
                      <w:rFonts w:hint="eastAsia"/>
                      <w:color w:val="auto"/>
                      <w:highlight w:val="none"/>
                      <w:lang w:val="en-US" w:eastAsia="zh-CN"/>
                    </w:rPr>
                    <w:t>10</w:t>
                  </w:r>
                  <w:r>
                    <w:rPr>
                      <w:rFonts w:hint="eastAsia"/>
                      <w:color w:val="auto"/>
                      <w:highlight w:val="none"/>
                      <w:lang w:eastAsia="zh-CN"/>
                    </w:rPr>
                    <w:t>m</w:t>
                  </w:r>
                  <w:r>
                    <w:rPr>
                      <w:rFonts w:hint="eastAsia"/>
                      <w:color w:val="auto"/>
                      <w:highlight w:val="none"/>
                      <w:vertAlign w:val="superscript"/>
                      <w:lang w:eastAsia="zh-CN"/>
                    </w:rPr>
                    <w:t>2</w:t>
                  </w:r>
                </w:p>
              </w:tc>
            </w:tr>
            <w:tr w14:paraId="162EED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7" w:type="dxa"/>
                <w:trHeight w:val="397" w:hRule="atLeast"/>
                <w:jc w:val="center"/>
              </w:trPr>
              <w:tc>
                <w:tcPr>
                  <w:tcW w:w="1509" w:type="dxa"/>
                  <w:tcBorders>
                    <w:tl2br w:val="nil"/>
                    <w:tr2bl w:val="nil"/>
                  </w:tcBorders>
                  <w:vAlign w:val="center"/>
                </w:tcPr>
                <w:p w14:paraId="3C8850BD">
                  <w:pPr>
                    <w:pStyle w:val="34"/>
                    <w:bidi w:val="0"/>
                    <w:rPr>
                      <w:rFonts w:hint="default"/>
                      <w:color w:val="auto"/>
                      <w:highlight w:val="none"/>
                    </w:rPr>
                  </w:pPr>
                  <w:r>
                    <w:rPr>
                      <w:rFonts w:hint="default"/>
                      <w:color w:val="auto"/>
                      <w:highlight w:val="none"/>
                    </w:rPr>
                    <w:t>贮存方式</w:t>
                  </w:r>
                </w:p>
              </w:tc>
              <w:tc>
                <w:tcPr>
                  <w:tcW w:w="6153" w:type="dxa"/>
                  <w:gridSpan w:val="5"/>
                  <w:tcBorders>
                    <w:tl2br w:val="nil"/>
                    <w:tr2bl w:val="nil"/>
                  </w:tcBorders>
                  <w:vAlign w:val="center"/>
                </w:tcPr>
                <w:p w14:paraId="2CB7D195">
                  <w:pPr>
                    <w:pStyle w:val="34"/>
                    <w:bidi w:val="0"/>
                    <w:rPr>
                      <w:rFonts w:hint="default"/>
                      <w:color w:val="auto"/>
                      <w:highlight w:val="none"/>
                      <w:lang w:val="en-US" w:eastAsia="zh-CN"/>
                    </w:rPr>
                  </w:pPr>
                  <w:r>
                    <w:rPr>
                      <w:rFonts w:hint="default"/>
                      <w:color w:val="auto"/>
                      <w:highlight w:val="none"/>
                      <w:lang w:val="en-US" w:eastAsia="zh-CN"/>
                    </w:rPr>
                    <w:t>设置专门容器贮存，分类堆存</w:t>
                  </w:r>
                </w:p>
              </w:tc>
            </w:tr>
            <w:tr w14:paraId="2682F0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7" w:type="dxa"/>
                <w:trHeight w:val="397" w:hRule="atLeast"/>
                <w:jc w:val="center"/>
              </w:trPr>
              <w:tc>
                <w:tcPr>
                  <w:tcW w:w="1509" w:type="dxa"/>
                  <w:tcBorders>
                    <w:tl2br w:val="nil"/>
                    <w:tr2bl w:val="nil"/>
                  </w:tcBorders>
                  <w:vAlign w:val="center"/>
                </w:tcPr>
                <w:p w14:paraId="05BEC21F">
                  <w:pPr>
                    <w:pStyle w:val="34"/>
                    <w:bidi w:val="0"/>
                    <w:rPr>
                      <w:rFonts w:hint="default"/>
                      <w:color w:val="auto"/>
                      <w:highlight w:val="none"/>
                    </w:rPr>
                  </w:pPr>
                  <w:r>
                    <w:rPr>
                      <w:rFonts w:hint="default"/>
                      <w:color w:val="auto"/>
                      <w:highlight w:val="none"/>
                      <w:lang w:val="en-US" w:eastAsia="zh-CN"/>
                    </w:rPr>
                    <w:t>实时贮存量</w:t>
                  </w:r>
                </w:p>
              </w:tc>
              <w:tc>
                <w:tcPr>
                  <w:tcW w:w="1920" w:type="dxa"/>
                  <w:gridSpan w:val="2"/>
                  <w:tcBorders>
                    <w:tl2br w:val="nil"/>
                    <w:tr2bl w:val="nil"/>
                  </w:tcBorders>
                  <w:vAlign w:val="center"/>
                </w:tcPr>
                <w:p w14:paraId="4318234B">
                  <w:pPr>
                    <w:pStyle w:val="34"/>
                    <w:bidi w:val="0"/>
                    <w:rPr>
                      <w:rFonts w:hint="default"/>
                      <w:color w:val="auto"/>
                      <w:highlight w:val="none"/>
                      <w:lang w:val="en-US" w:eastAsia="zh-CN"/>
                    </w:rPr>
                  </w:pPr>
                  <w:r>
                    <w:rPr>
                      <w:rFonts w:hint="default"/>
                      <w:color w:val="auto"/>
                      <w:highlight w:val="none"/>
                      <w:lang w:val="en-US" w:eastAsia="zh-CN"/>
                    </w:rPr>
                    <w:t>0.</w:t>
                  </w:r>
                  <w:r>
                    <w:rPr>
                      <w:rFonts w:hint="eastAsia"/>
                      <w:color w:val="auto"/>
                      <w:highlight w:val="none"/>
                      <w:lang w:val="en-US" w:eastAsia="zh-CN"/>
                    </w:rPr>
                    <w:t>01</w:t>
                  </w:r>
                  <w:r>
                    <w:rPr>
                      <w:rFonts w:hint="default"/>
                      <w:color w:val="auto"/>
                      <w:highlight w:val="none"/>
                    </w:rPr>
                    <w:t>t</w:t>
                  </w:r>
                </w:p>
              </w:tc>
              <w:tc>
                <w:tcPr>
                  <w:tcW w:w="2116" w:type="dxa"/>
                  <w:gridSpan w:val="2"/>
                  <w:tcBorders>
                    <w:tl2br w:val="nil"/>
                    <w:tr2bl w:val="nil"/>
                  </w:tcBorders>
                  <w:vAlign w:val="center"/>
                </w:tcPr>
                <w:p w14:paraId="282A3366">
                  <w:pPr>
                    <w:pStyle w:val="34"/>
                    <w:bidi w:val="0"/>
                    <w:rPr>
                      <w:rFonts w:hint="default"/>
                      <w:color w:val="auto"/>
                      <w:highlight w:val="none"/>
                      <w:lang w:val="en-US" w:eastAsia="zh-CN"/>
                    </w:rPr>
                  </w:pPr>
                  <w:r>
                    <w:rPr>
                      <w:rFonts w:hint="eastAsia"/>
                      <w:color w:val="auto"/>
                      <w:highlight w:val="none"/>
                      <w:lang w:val="en-US" w:eastAsia="zh-CN"/>
                    </w:rPr>
                    <w:t>0.0005</w:t>
                  </w:r>
                  <w:r>
                    <w:rPr>
                      <w:rFonts w:hint="default"/>
                      <w:color w:val="auto"/>
                      <w:highlight w:val="none"/>
                    </w:rPr>
                    <w:t>t</w:t>
                  </w:r>
                </w:p>
              </w:tc>
              <w:tc>
                <w:tcPr>
                  <w:tcW w:w="2117" w:type="dxa"/>
                  <w:tcBorders>
                    <w:tl2br w:val="nil"/>
                    <w:tr2bl w:val="nil"/>
                  </w:tcBorders>
                  <w:vAlign w:val="center"/>
                </w:tcPr>
                <w:p w14:paraId="0D13D8ED">
                  <w:pPr>
                    <w:pStyle w:val="34"/>
                    <w:bidi w:val="0"/>
                    <w:rPr>
                      <w:rFonts w:hint="eastAsia"/>
                      <w:color w:val="auto"/>
                      <w:highlight w:val="none"/>
                      <w:lang w:val="en-US" w:eastAsia="zh-CN"/>
                    </w:rPr>
                  </w:pPr>
                  <w:r>
                    <w:rPr>
                      <w:rFonts w:hint="eastAsia"/>
                      <w:color w:val="auto"/>
                      <w:highlight w:val="none"/>
                      <w:lang w:val="en-US" w:eastAsia="zh-CN"/>
                    </w:rPr>
                    <w:t>0.0005</w:t>
                  </w:r>
                  <w:r>
                    <w:rPr>
                      <w:rFonts w:hint="default"/>
                      <w:color w:val="auto"/>
                      <w:highlight w:val="none"/>
                    </w:rPr>
                    <w:t>t</w:t>
                  </w:r>
                </w:p>
              </w:tc>
            </w:tr>
            <w:tr w14:paraId="417E60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7" w:type="dxa"/>
                <w:trHeight w:val="397" w:hRule="atLeast"/>
                <w:jc w:val="center"/>
              </w:trPr>
              <w:tc>
                <w:tcPr>
                  <w:tcW w:w="1509" w:type="dxa"/>
                  <w:tcBorders>
                    <w:tl2br w:val="nil"/>
                    <w:tr2bl w:val="nil"/>
                  </w:tcBorders>
                  <w:vAlign w:val="center"/>
                </w:tcPr>
                <w:p w14:paraId="3169A986">
                  <w:pPr>
                    <w:pStyle w:val="34"/>
                    <w:bidi w:val="0"/>
                    <w:rPr>
                      <w:rFonts w:hint="default"/>
                      <w:color w:val="auto"/>
                      <w:highlight w:val="none"/>
                    </w:rPr>
                  </w:pPr>
                  <w:r>
                    <w:rPr>
                      <w:rFonts w:hint="default"/>
                      <w:color w:val="auto"/>
                      <w:highlight w:val="none"/>
                    </w:rPr>
                    <w:t>贮存能力</w:t>
                  </w:r>
                </w:p>
              </w:tc>
              <w:tc>
                <w:tcPr>
                  <w:tcW w:w="6153" w:type="dxa"/>
                  <w:gridSpan w:val="5"/>
                  <w:tcBorders>
                    <w:tl2br w:val="nil"/>
                    <w:tr2bl w:val="nil"/>
                  </w:tcBorders>
                  <w:vAlign w:val="center"/>
                </w:tcPr>
                <w:p w14:paraId="0B41E477">
                  <w:pPr>
                    <w:pStyle w:val="34"/>
                    <w:bidi w:val="0"/>
                    <w:rPr>
                      <w:rFonts w:hint="eastAsia"/>
                      <w:color w:val="auto"/>
                      <w:highlight w:val="none"/>
                      <w:lang w:val="en-US" w:eastAsia="zh-CN"/>
                    </w:rPr>
                  </w:pPr>
                  <w:r>
                    <w:rPr>
                      <w:rFonts w:hint="eastAsia"/>
                      <w:color w:val="auto"/>
                      <w:highlight w:val="none"/>
                      <w:lang w:val="en-US" w:eastAsia="zh-CN"/>
                    </w:rPr>
                    <w:t>1</w:t>
                  </w:r>
                  <w:r>
                    <w:rPr>
                      <w:rFonts w:hint="default"/>
                      <w:color w:val="auto"/>
                      <w:highlight w:val="none"/>
                    </w:rPr>
                    <w:t>t</w:t>
                  </w:r>
                </w:p>
              </w:tc>
            </w:tr>
            <w:tr w14:paraId="6CD32F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7" w:type="dxa"/>
                <w:trHeight w:val="397" w:hRule="atLeast"/>
                <w:jc w:val="center"/>
              </w:trPr>
              <w:tc>
                <w:tcPr>
                  <w:tcW w:w="1509" w:type="dxa"/>
                  <w:tcBorders>
                    <w:tl2br w:val="nil"/>
                    <w:tr2bl w:val="nil"/>
                  </w:tcBorders>
                  <w:vAlign w:val="center"/>
                </w:tcPr>
                <w:p w14:paraId="4FF68841">
                  <w:pPr>
                    <w:pStyle w:val="34"/>
                    <w:bidi w:val="0"/>
                    <w:rPr>
                      <w:rFonts w:hint="default"/>
                      <w:color w:val="auto"/>
                      <w:highlight w:val="none"/>
                    </w:rPr>
                  </w:pPr>
                  <w:r>
                    <w:rPr>
                      <w:rFonts w:hint="default"/>
                      <w:color w:val="auto"/>
                      <w:highlight w:val="none"/>
                    </w:rPr>
                    <w:t>贮存周期</w:t>
                  </w:r>
                </w:p>
              </w:tc>
              <w:tc>
                <w:tcPr>
                  <w:tcW w:w="6153" w:type="dxa"/>
                  <w:gridSpan w:val="5"/>
                  <w:tcBorders>
                    <w:tl2br w:val="nil"/>
                    <w:tr2bl w:val="nil"/>
                  </w:tcBorders>
                  <w:vAlign w:val="center"/>
                </w:tcPr>
                <w:p w14:paraId="04B3E75A">
                  <w:pPr>
                    <w:pStyle w:val="34"/>
                    <w:bidi w:val="0"/>
                    <w:rPr>
                      <w:rFonts w:hint="eastAsia"/>
                      <w:color w:val="auto"/>
                      <w:highlight w:val="none"/>
                      <w:lang w:val="en-US" w:eastAsia="zh-CN"/>
                    </w:rPr>
                  </w:pPr>
                  <w:r>
                    <w:rPr>
                      <w:rFonts w:hint="eastAsia"/>
                      <w:color w:val="auto"/>
                      <w:highlight w:val="none"/>
                      <w:lang w:val="en-US" w:eastAsia="zh-CN"/>
                    </w:rPr>
                    <w:t>30天</w:t>
                  </w:r>
                </w:p>
              </w:tc>
            </w:tr>
          </w:tbl>
          <w:p w14:paraId="57E5B537">
            <w:pPr>
              <w:pStyle w:val="30"/>
              <w:bidi w:val="0"/>
              <w:rPr>
                <w:color w:val="auto"/>
                <w:highlight w:val="none"/>
              </w:rPr>
            </w:pPr>
            <w:r>
              <w:rPr>
                <w:rFonts w:hint="eastAsia"/>
                <w:color w:val="auto"/>
                <w:highlight w:val="none"/>
              </w:rPr>
              <w:t>2</w:t>
            </w:r>
            <w:r>
              <w:rPr>
                <w:color w:val="auto"/>
                <w:highlight w:val="none"/>
              </w:rPr>
              <w:t>、</w:t>
            </w:r>
            <w:r>
              <w:rPr>
                <w:rFonts w:hint="eastAsia"/>
                <w:color w:val="auto"/>
                <w:highlight w:val="none"/>
              </w:rPr>
              <w:t>环境管理要求</w:t>
            </w:r>
          </w:p>
          <w:p w14:paraId="693B9368">
            <w:pPr>
              <w:pStyle w:val="31"/>
              <w:bidi w:val="0"/>
              <w:rPr>
                <w:color w:val="auto"/>
                <w:highlight w:val="none"/>
              </w:rPr>
            </w:pPr>
            <w:r>
              <w:rPr>
                <w:rFonts w:hint="eastAsia"/>
                <w:color w:val="auto"/>
                <w:highlight w:val="none"/>
              </w:rPr>
              <w:t>（1）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18B76451">
            <w:pPr>
              <w:pStyle w:val="31"/>
              <w:bidi w:val="0"/>
              <w:rPr>
                <w:color w:val="auto"/>
                <w:highlight w:val="none"/>
              </w:rPr>
            </w:pPr>
            <w:r>
              <w:rPr>
                <w:rFonts w:hint="eastAsia"/>
                <w:color w:val="auto"/>
                <w:highlight w:val="none"/>
              </w:rPr>
              <w:t>（2）禁止向生活垃圾收集设施中投放工业固体废物。</w:t>
            </w:r>
          </w:p>
          <w:p w14:paraId="0AA05459">
            <w:pPr>
              <w:pStyle w:val="31"/>
              <w:bidi w:val="0"/>
              <w:rPr>
                <w:rFonts w:hint="eastAsia"/>
                <w:color w:val="auto"/>
                <w:highlight w:val="none"/>
              </w:rPr>
            </w:pPr>
            <w:r>
              <w:rPr>
                <w:rFonts w:hint="eastAsia"/>
                <w:color w:val="auto"/>
                <w:highlight w:val="none"/>
              </w:rPr>
              <w:t>（3）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5FE52BE7">
            <w:pPr>
              <w:pStyle w:val="31"/>
              <w:ind w:firstLine="480"/>
              <w:rPr>
                <w:rFonts w:hint="default" w:ascii="Times New Roman" w:hAnsi="Times New Roman" w:cs="Times New Roman"/>
                <w:color w:val="auto"/>
                <w:highlight w:val="none"/>
                <w:lang w:val="en-US"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rFonts w:hint="default" w:ascii="Times New Roman" w:hAnsi="Times New Roman" w:cs="Times New Roman"/>
                <w:color w:val="auto"/>
                <w:highlight w:val="none"/>
                <w:lang w:val="en-US" w:eastAsia="zh-CN"/>
              </w:rPr>
              <w:t>危险废物相关管理要求</w:t>
            </w:r>
          </w:p>
          <w:p w14:paraId="149A9AE1">
            <w:pPr>
              <w:pStyle w:val="31"/>
              <w:ind w:firstLine="480"/>
              <w:rPr>
                <w:rFonts w:hint="default" w:ascii="Times New Roman" w:hAnsi="Times New Roman" w:cs="Times New Roman"/>
                <w:color w:val="auto"/>
                <w:highlight w:val="none"/>
                <w:lang w:val="en-US" w:eastAsia="zh-CN"/>
              </w:rPr>
            </w:pPr>
            <w:r>
              <w:rPr>
                <w:rFonts w:hint="eastAsia"/>
                <w:color w:val="auto"/>
                <w:highlight w:val="none"/>
              </w:rPr>
              <w:t>根据《</w:t>
            </w:r>
            <w:r>
              <w:rPr>
                <w:color w:val="auto"/>
                <w:highlight w:val="none"/>
              </w:rPr>
              <w:t>建设项目危险废物环境影响评价指南</w:t>
            </w:r>
            <w:r>
              <w:rPr>
                <w:rFonts w:hint="eastAsia"/>
                <w:color w:val="auto"/>
                <w:highlight w:val="none"/>
              </w:rPr>
              <w:t>》（环保部公告2017年第43号），本项目运行期须</w:t>
            </w:r>
            <w:r>
              <w:rPr>
                <w:color w:val="auto"/>
                <w:highlight w:val="none"/>
              </w:rPr>
              <w:t>严格落实危险废物环境管理与监测制度，</w:t>
            </w:r>
            <w:r>
              <w:rPr>
                <w:rFonts w:hint="eastAsia"/>
                <w:color w:val="auto"/>
                <w:highlight w:val="none"/>
              </w:rPr>
              <w:t>本项目危险废物有</w:t>
            </w:r>
            <w:r>
              <w:rPr>
                <w:rFonts w:hint="eastAsia"/>
                <w:color w:val="auto"/>
                <w:highlight w:val="none"/>
                <w:lang w:val="en-US" w:eastAsia="zh-CN"/>
              </w:rPr>
              <w:t>废润滑油、废油桶、含油抹布及棉纱手套</w:t>
            </w:r>
            <w:r>
              <w:rPr>
                <w:rFonts w:hint="eastAsia"/>
                <w:color w:val="auto"/>
                <w:highlight w:val="none"/>
                <w:lang w:eastAsia="zh-CN"/>
              </w:rPr>
              <w:t>，</w:t>
            </w:r>
            <w:r>
              <w:rPr>
                <w:rFonts w:hint="eastAsia"/>
                <w:color w:val="auto"/>
                <w:highlight w:val="none"/>
                <w:lang w:val="en-US" w:eastAsia="zh-CN"/>
              </w:rPr>
              <w:t>最大暂存量约为0.006t，暂存周期为季度</w:t>
            </w:r>
            <w:r>
              <w:rPr>
                <w:rFonts w:hint="eastAsia"/>
                <w:color w:val="auto"/>
                <w:highlight w:val="none"/>
              </w:rPr>
              <w:t>。</w:t>
            </w:r>
            <w:r>
              <w:rPr>
                <w:color w:val="auto"/>
                <w:highlight w:val="none"/>
              </w:rPr>
              <w:t>对项目危险废物收集、贮存</w:t>
            </w:r>
            <w:r>
              <w:rPr>
                <w:rFonts w:hint="eastAsia"/>
                <w:color w:val="auto"/>
                <w:highlight w:val="none"/>
              </w:rPr>
              <w:t>采取</w:t>
            </w:r>
            <w:r>
              <w:rPr>
                <w:color w:val="auto"/>
                <w:highlight w:val="none"/>
              </w:rPr>
              <w:t>设置</w:t>
            </w:r>
            <w:r>
              <w:rPr>
                <w:rFonts w:hint="eastAsia"/>
                <w:color w:val="auto"/>
                <w:highlight w:val="none"/>
                <w:lang w:eastAsia="zh-CN"/>
              </w:rPr>
              <w:t>危废贮存点</w:t>
            </w:r>
            <w:r>
              <w:rPr>
                <w:color w:val="auto"/>
                <w:highlight w:val="none"/>
              </w:rPr>
              <w:t>，位于</w:t>
            </w:r>
            <w:r>
              <w:rPr>
                <w:rFonts w:hint="eastAsia"/>
                <w:color w:val="auto"/>
                <w:highlight w:val="none"/>
                <w:lang w:val="en-US" w:eastAsia="zh-CN"/>
              </w:rPr>
              <w:t>1#库房东北角</w:t>
            </w:r>
            <w:r>
              <w:rPr>
                <w:color w:val="auto"/>
                <w:highlight w:val="none"/>
              </w:rPr>
              <w:t>，面积</w:t>
            </w:r>
            <w:r>
              <w:rPr>
                <w:rFonts w:hint="eastAsia"/>
                <w:color w:val="auto"/>
                <w:highlight w:val="none"/>
                <w:lang w:val="en-US" w:eastAsia="zh-CN"/>
              </w:rPr>
              <w:t>10</w:t>
            </w:r>
            <w:r>
              <w:rPr>
                <w:color w:val="auto"/>
                <w:highlight w:val="none"/>
              </w:rPr>
              <w:t>m</w:t>
            </w:r>
            <w:r>
              <w:rPr>
                <w:color w:val="auto"/>
                <w:highlight w:val="none"/>
                <w:vertAlign w:val="superscript"/>
              </w:rPr>
              <w:t>2</w:t>
            </w:r>
            <w:r>
              <w:rPr>
                <w:color w:val="auto"/>
                <w:highlight w:val="none"/>
              </w:rPr>
              <w:t>，</w:t>
            </w:r>
            <w:r>
              <w:rPr>
                <w:rFonts w:hint="eastAsia"/>
                <w:color w:val="auto"/>
                <w:highlight w:val="none"/>
                <w:lang w:val="en-US" w:eastAsia="zh-CN"/>
              </w:rPr>
              <w:t>最大储存能力为1t</w:t>
            </w:r>
            <w:r>
              <w:rPr>
                <w:rFonts w:hint="eastAsia"/>
                <w:color w:val="auto"/>
                <w:highlight w:val="none"/>
                <w:lang w:eastAsia="zh-CN"/>
              </w:rPr>
              <w:t>，</w:t>
            </w:r>
            <w:r>
              <w:rPr>
                <w:color w:val="auto"/>
                <w:highlight w:val="none"/>
              </w:rPr>
              <w:t>采取严密的封闭措施</w:t>
            </w:r>
            <w:r>
              <w:rPr>
                <w:rFonts w:hint="eastAsia"/>
                <w:color w:val="auto"/>
                <w:highlight w:val="none"/>
              </w:rPr>
              <w:t>。将</w:t>
            </w:r>
            <w:r>
              <w:rPr>
                <w:rFonts w:hint="eastAsia"/>
                <w:color w:val="auto"/>
                <w:highlight w:val="none"/>
                <w:lang w:eastAsia="zh-CN"/>
              </w:rPr>
              <w:t>危废贮存点</w:t>
            </w:r>
            <w:r>
              <w:rPr>
                <w:rFonts w:hint="eastAsia"/>
                <w:color w:val="auto"/>
                <w:highlight w:val="none"/>
              </w:rPr>
              <w:t>划定为</w:t>
            </w:r>
            <w:r>
              <w:rPr>
                <w:color w:val="auto"/>
                <w:highlight w:val="none"/>
              </w:rPr>
              <w:t>重点防渗区</w:t>
            </w:r>
            <w:r>
              <w:rPr>
                <w:rFonts w:hint="eastAsia"/>
                <w:color w:val="auto"/>
                <w:highlight w:val="none"/>
              </w:rPr>
              <w:t>，防渗</w:t>
            </w:r>
            <w:r>
              <w:rPr>
                <w:color w:val="auto"/>
                <w:highlight w:val="none"/>
              </w:rPr>
              <w:t>技术要求</w:t>
            </w:r>
            <w:r>
              <w:rPr>
                <w:rFonts w:hint="eastAsia"/>
                <w:color w:val="auto"/>
                <w:highlight w:val="none"/>
              </w:rPr>
              <w:t>：防渗层采用2mm厚高密度聚乙烯土工膜（HDPE），其渗透系数不大于1.0×10</w:t>
            </w:r>
            <w:r>
              <w:rPr>
                <w:rFonts w:hint="eastAsia"/>
                <w:color w:val="auto"/>
                <w:highlight w:val="none"/>
                <w:vertAlign w:val="superscript"/>
              </w:rPr>
              <w:t>-10</w:t>
            </w:r>
            <w:r>
              <w:rPr>
                <w:rFonts w:hint="eastAsia"/>
                <w:color w:val="auto"/>
                <w:highlight w:val="none"/>
              </w:rPr>
              <w:t>cm/s</w:t>
            </w:r>
            <w:r>
              <w:rPr>
                <w:color w:val="auto"/>
                <w:highlight w:val="none"/>
              </w:rPr>
              <w:t>。</w:t>
            </w:r>
            <w:r>
              <w:rPr>
                <w:rFonts w:hint="eastAsia"/>
                <w:color w:val="auto"/>
                <w:highlight w:val="none"/>
                <w:lang w:val="en-US" w:eastAsia="zh-CN"/>
              </w:rPr>
              <w:t>防渗措施满足</w:t>
            </w:r>
            <w:r>
              <w:rPr>
                <w:rFonts w:hint="eastAsia"/>
                <w:color w:val="auto"/>
                <w:highlight w:val="none"/>
                <w:lang w:eastAsia="zh-CN"/>
              </w:rPr>
              <w:t>《危险废物贮存污染控制标准》（GB18597-2023）</w:t>
            </w:r>
            <w:r>
              <w:rPr>
                <w:rFonts w:hint="eastAsia"/>
                <w:color w:val="auto"/>
                <w:highlight w:val="none"/>
                <w:lang w:val="en-US" w:eastAsia="zh-CN"/>
              </w:rPr>
              <w:t>相关要求</w:t>
            </w:r>
            <w:r>
              <w:rPr>
                <w:rFonts w:hint="eastAsia"/>
                <w:color w:val="auto"/>
                <w:highlight w:val="none"/>
              </w:rPr>
              <w:t>。</w:t>
            </w:r>
          </w:p>
          <w:p w14:paraId="184FF94F">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1）废物贮存点设置要求</w:t>
            </w:r>
          </w:p>
          <w:p w14:paraId="34F50EC7">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①根据危险废物的形态、物理化学性质、包装形式和污染物迁移途径，采取必要的防风、防晒、防雨、防漏、防渗、防腐以及其他环境污染防治措施，不应露天堆放危险废物。</w:t>
            </w:r>
          </w:p>
          <w:p w14:paraId="3087173B">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②根据危险废物的类别、数量、形态、物理化学性质和污染防治等要求设置必要的贮存分区，避免不相容的危险废物接触、混合。</w:t>
            </w:r>
          </w:p>
          <w:p w14:paraId="65FB29AB">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③贮存设施或贮存分区内地面、墙面裙脚、堵截泄漏的围堰、接触危险废物的隔板和墙体等应采用坚固的材料建造，表面无裂缝。</w:t>
            </w:r>
          </w:p>
          <w:p w14:paraId="771BFEB2">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④危险废物贮存点地面与裙脚采取表面防渗措施。</w:t>
            </w:r>
          </w:p>
          <w:p w14:paraId="33E6437A">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2）危险废物暂存要求</w:t>
            </w:r>
          </w:p>
          <w:p w14:paraId="265AA361">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①危险废物暂时贮存桶（箱）必须与生活垃圾存放地分开，必须与生产区和人员活动密集区域隔开，方便危险废物的装卸、装卸人员及运送车辆的出入；并有防雨淋、防扬散措施，同时符合消防安全要求。</w:t>
            </w:r>
          </w:p>
          <w:p w14:paraId="3C41143D">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②将危险废物盛放在周转桶（箱）内后，置于危险废物贮存点中。密闭并采取安全措施，如加锁和固定装置，做到无关人员不可移动。</w:t>
            </w:r>
          </w:p>
          <w:p w14:paraId="0CB60947">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暂时贮存时间：危险废物暂时贮存桶（箱）达到额定承载量时转移至危险废物贮存点内存放。贮存点管理员根据危险废物贮存点内危险废物存放量，安排委托处置单位接收处置危险废物。危险废物贮存期限不超过一个月。</w:t>
            </w:r>
          </w:p>
          <w:p w14:paraId="76FC0D9A">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管理制度：应制定危险废物暂时贮存管理的有关规章制度、工作程序及应急处理措施，应当接受当地环保和卫生主管部门的监督检查。将危险废物的实际产生、贮存、利用、处置等情况纳入生产记录，建立危险废物管理台账和企业内部产生和收集、贮存、转移等部门危险废物交接制度</w:t>
            </w:r>
          </w:p>
          <w:p w14:paraId="6F4B8D51">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3）危险废物运输要求</w:t>
            </w:r>
          </w:p>
          <w:p w14:paraId="30F9A95B">
            <w:pPr>
              <w:pStyle w:val="31"/>
              <w:bidi w:val="0"/>
              <w:rPr>
                <w:rFonts w:hint="default"/>
                <w:color w:val="auto"/>
                <w:highlight w:val="none"/>
                <w:lang w:val="en-US" w:eastAsia="zh-CN"/>
              </w:rPr>
            </w:pPr>
            <w:r>
              <w:rPr>
                <w:rFonts w:hint="default"/>
                <w:color w:val="auto"/>
                <w:highlight w:val="none"/>
                <w:lang w:val="en-US" w:eastAsia="zh-CN"/>
              </w:rPr>
              <w:t>险废物</w:t>
            </w:r>
            <w:r>
              <w:rPr>
                <w:rFonts w:hint="default"/>
                <w:color w:val="auto"/>
                <w:highlight w:val="none"/>
              </w:rPr>
              <w:t>内部转运以及转移出厂的环境管理应按《危险废物收集贮存运输技术规范》</w:t>
            </w:r>
            <w:r>
              <w:rPr>
                <w:rFonts w:hint="eastAsia"/>
                <w:color w:val="auto"/>
                <w:highlight w:val="none"/>
                <w:lang w:eastAsia="zh-CN"/>
              </w:rPr>
              <w:t>（</w:t>
            </w:r>
            <w:r>
              <w:rPr>
                <w:rFonts w:hint="default"/>
                <w:color w:val="auto"/>
                <w:highlight w:val="none"/>
              </w:rPr>
              <w:t>HJ2025-2012</w:t>
            </w:r>
            <w:r>
              <w:rPr>
                <w:rFonts w:hint="eastAsia"/>
                <w:color w:val="auto"/>
                <w:highlight w:val="none"/>
                <w:lang w:eastAsia="zh-CN"/>
              </w:rPr>
              <w:t>）</w:t>
            </w:r>
            <w:r>
              <w:rPr>
                <w:rFonts w:hint="default"/>
                <w:color w:val="auto"/>
                <w:highlight w:val="none"/>
              </w:rPr>
              <w:t>以及《危险废物转移管理办法》执行</w:t>
            </w:r>
            <w:r>
              <w:rPr>
                <w:rFonts w:hint="eastAsia"/>
                <w:color w:val="auto"/>
                <w:highlight w:val="none"/>
                <w:lang w:eastAsia="zh-CN"/>
              </w:rPr>
              <w:t>，</w:t>
            </w:r>
            <w:r>
              <w:rPr>
                <w:rFonts w:hint="default"/>
                <w:color w:val="auto"/>
                <w:highlight w:val="none"/>
                <w:lang w:val="en-US" w:eastAsia="zh-CN"/>
              </w:rPr>
              <w:t>危险废物运输应委托具备危险废物经营许可证单位进行。在收集、运输过程中，建设单位应做到以下要求：</w:t>
            </w:r>
          </w:p>
          <w:p w14:paraId="6386912E">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①企业在选择危废运输单位时，应综合考虑运输单位的资质、人员技术力量、设备配置等因素，选取技术能力强的单位委托运输，定期对运输单位资质进行备案审查。</w:t>
            </w:r>
          </w:p>
          <w:p w14:paraId="3BF0F187">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②合理制定运输计划：运输时间应避免大风、大雨、暴雪等恶劣天气，错开早、晚高峰及夜间运输，减少对外环境的侵扰。</w:t>
            </w:r>
          </w:p>
          <w:p w14:paraId="71FCC817">
            <w:pPr>
              <w:pStyle w:val="3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③场内危废暂存时应对废物进行分类包装、贮存，并张贴相应的标志及标签。</w:t>
            </w:r>
          </w:p>
          <w:p w14:paraId="7015E634">
            <w:pPr>
              <w:pStyle w:val="31"/>
              <w:ind w:firstLine="480"/>
              <w:rPr>
                <w:color w:val="auto"/>
                <w:highlight w:val="none"/>
              </w:rPr>
            </w:pPr>
            <w:r>
              <w:rPr>
                <w:color w:val="auto"/>
                <w:highlight w:val="none"/>
              </w:rPr>
              <w:t>综上所述，只要在营运后做好固废的分类收集、管理及处置工作，并加强对委托代处理单位的有效监督，该项目产生的固废不会造成二次污染。本项目营运期固废均能得到妥善处理处置，对环境影响很小。</w:t>
            </w:r>
          </w:p>
          <w:p w14:paraId="5E2F637A">
            <w:pPr>
              <w:pStyle w:val="31"/>
              <w:bidi w:val="0"/>
              <w:rPr>
                <w:b/>
                <w:bCs/>
                <w:color w:val="auto"/>
                <w:highlight w:val="none"/>
              </w:rPr>
            </w:pPr>
            <w:r>
              <w:rPr>
                <w:rFonts w:hint="eastAsia"/>
                <w:b/>
                <w:bCs/>
                <w:color w:val="auto"/>
                <w:highlight w:val="none"/>
              </w:rPr>
              <w:t>五</w:t>
            </w:r>
            <w:r>
              <w:rPr>
                <w:rFonts w:hint="eastAsia"/>
                <w:b/>
                <w:bCs/>
                <w:color w:val="auto"/>
                <w:highlight w:val="none"/>
                <w:lang w:eastAsia="zh-CN"/>
              </w:rPr>
              <w:t>、</w:t>
            </w:r>
            <w:r>
              <w:rPr>
                <w:rFonts w:hint="eastAsia"/>
                <w:b/>
                <w:bCs/>
                <w:color w:val="auto"/>
                <w:highlight w:val="none"/>
              </w:rPr>
              <w:t>地下水、土壤</w:t>
            </w:r>
          </w:p>
          <w:p w14:paraId="0E6EA1FC">
            <w:pPr>
              <w:pStyle w:val="31"/>
              <w:bidi w:val="0"/>
              <w:rPr>
                <w:color w:val="auto"/>
                <w:highlight w:val="none"/>
              </w:rPr>
            </w:pPr>
            <w:r>
              <w:rPr>
                <w:rFonts w:hint="eastAsia"/>
                <w:color w:val="auto"/>
                <w:highlight w:val="none"/>
              </w:rPr>
              <w:t>本项目属于水泥制品制造</w:t>
            </w:r>
            <w:r>
              <w:rPr>
                <w:rFonts w:hint="eastAsia"/>
                <w:color w:val="auto"/>
                <w:highlight w:val="none"/>
                <w:lang w:eastAsia="zh-CN"/>
              </w:rPr>
              <w:t>、</w:t>
            </w:r>
            <w:r>
              <w:rPr>
                <w:rFonts w:hint="eastAsia"/>
                <w:color w:val="auto"/>
                <w:highlight w:val="none"/>
              </w:rPr>
              <w:t>其他非金属矿物制品制造，不存在土壤、地下水污染途径，对地下水、土壤影响较小</w:t>
            </w:r>
            <w:r>
              <w:rPr>
                <w:color w:val="auto"/>
                <w:highlight w:val="none"/>
              </w:rPr>
              <w:t>。</w:t>
            </w:r>
          </w:p>
          <w:p w14:paraId="0678FE40">
            <w:pPr>
              <w:pStyle w:val="34"/>
              <w:keepNext w:val="0"/>
              <w:keepLines w:val="0"/>
              <w:pageBreakBefore w:val="0"/>
              <w:widowControl w:val="0"/>
              <w:kinsoku/>
              <w:wordWrap w:val="0"/>
              <w:overflowPunct/>
              <w:autoSpaceDE/>
              <w:autoSpaceDN/>
              <w:bidi w:val="0"/>
              <w:adjustRightInd/>
              <w:snapToGrid/>
              <w:spacing w:line="360" w:lineRule="auto"/>
              <w:ind w:firstLine="480" w:firstLineChars="200"/>
              <w:jc w:val="left"/>
              <w:textAlignment w:val="auto"/>
              <w:rPr>
                <w:rStyle w:val="37"/>
                <w:rFonts w:hint="eastAsia"/>
                <w:color w:val="auto"/>
                <w:highlight w:val="none"/>
                <w:lang w:val="en-US" w:eastAsia="zh-CN"/>
              </w:rPr>
            </w:pPr>
            <w:r>
              <w:rPr>
                <w:rFonts w:hint="eastAsia" w:ascii="Times New Roman" w:hAnsi="Times New Roman" w:eastAsia="宋体" w:cs="宋体"/>
                <w:color w:val="auto"/>
                <w:sz w:val="24"/>
                <w:szCs w:val="24"/>
                <w:highlight w:val="none"/>
                <w:lang w:val="en-US" w:eastAsia="zh-CN"/>
              </w:rPr>
              <w:t>本项目厂区进行分区防渗，危废贮存点</w:t>
            </w:r>
            <w:r>
              <w:rPr>
                <w:rFonts w:hint="eastAsia" w:ascii="Times New Roman" w:hAnsi="Times New Roman" w:eastAsia="宋体" w:cs="宋体"/>
                <w:color w:val="auto"/>
                <w:kern w:val="2"/>
                <w:sz w:val="24"/>
                <w:szCs w:val="24"/>
                <w:highlight w:val="none"/>
                <w:lang w:val="en-US" w:eastAsia="zh-CN" w:bidi="ar-SA"/>
              </w:rPr>
              <w:t>为重点防渗区，防渗层采用2mm厚高密度聚乙烯土工膜（HDPE），其渗透系数不大于1.0×10</w:t>
            </w:r>
            <w:r>
              <w:rPr>
                <w:rFonts w:hint="eastAsia" w:ascii="Times New Roman" w:hAnsi="Times New Roman" w:eastAsia="宋体" w:cs="宋体"/>
                <w:color w:val="auto"/>
                <w:kern w:val="2"/>
                <w:sz w:val="24"/>
                <w:szCs w:val="24"/>
                <w:highlight w:val="none"/>
                <w:vertAlign w:val="superscript"/>
                <w:lang w:val="en-US" w:eastAsia="zh-CN" w:bidi="ar-SA"/>
              </w:rPr>
              <w:t>-10</w:t>
            </w:r>
            <w:r>
              <w:rPr>
                <w:rFonts w:hint="eastAsia" w:ascii="Times New Roman" w:hAnsi="Times New Roman" w:eastAsia="宋体" w:cs="宋体"/>
                <w:color w:val="auto"/>
                <w:kern w:val="2"/>
                <w:sz w:val="24"/>
                <w:szCs w:val="24"/>
                <w:highlight w:val="none"/>
                <w:lang w:val="en-US" w:eastAsia="zh-CN" w:bidi="ar-SA"/>
              </w:rPr>
              <w:t>cm/s。</w:t>
            </w:r>
            <w:r>
              <w:rPr>
                <w:rFonts w:hint="eastAsia" w:ascii="Times New Roman" w:hAnsi="Times New Roman" w:eastAsia="宋体" w:cs="宋体"/>
                <w:color w:val="auto"/>
                <w:sz w:val="24"/>
                <w:szCs w:val="24"/>
                <w:highlight w:val="none"/>
                <w:lang w:val="en-US" w:eastAsia="zh-CN"/>
              </w:rPr>
              <w:t>沉淀池进行一般防渗处理，</w:t>
            </w:r>
            <w:r>
              <w:rPr>
                <w:rFonts w:hint="default" w:ascii="Times New Roman" w:hAnsi="Times New Roman" w:eastAsia="宋体" w:cs="宋体"/>
                <w:color w:val="auto"/>
                <w:sz w:val="24"/>
                <w:szCs w:val="24"/>
                <w:highlight w:val="none"/>
                <w:lang w:val="en-US" w:eastAsia="zh-CN"/>
              </w:rPr>
              <w:t>其防渗技术要求可满足等效黏土防渗层Mb≥</w:t>
            </w:r>
            <w:r>
              <w:rPr>
                <w:rFonts w:hint="eastAsia" w:ascii="Times New Roman" w:hAnsi="Times New Roman" w:eastAsia="宋体" w:cs="宋体"/>
                <w:color w:val="auto"/>
                <w:sz w:val="24"/>
                <w:szCs w:val="24"/>
                <w:highlight w:val="none"/>
                <w:lang w:val="en-US" w:eastAsia="zh-CN"/>
              </w:rPr>
              <w:t>1.5</w:t>
            </w:r>
            <w:r>
              <w:rPr>
                <w:rFonts w:hint="default" w:ascii="Times New Roman" w:hAnsi="Times New Roman" w:eastAsia="宋体" w:cs="宋体"/>
                <w:color w:val="auto"/>
                <w:sz w:val="24"/>
                <w:szCs w:val="24"/>
                <w:highlight w:val="none"/>
                <w:lang w:val="en-US" w:eastAsia="zh-CN"/>
              </w:rPr>
              <w:t>m，K≤1×10</w:t>
            </w:r>
            <w:r>
              <w:rPr>
                <w:rFonts w:hint="default" w:ascii="Times New Roman" w:hAnsi="Times New Roman" w:eastAsia="宋体" w:cs="宋体"/>
                <w:color w:val="auto"/>
                <w:sz w:val="24"/>
                <w:szCs w:val="24"/>
                <w:highlight w:val="none"/>
                <w:vertAlign w:val="superscript"/>
                <w:lang w:val="en-US" w:eastAsia="zh-CN"/>
              </w:rPr>
              <w:t>-7</w:t>
            </w:r>
            <w:r>
              <w:rPr>
                <w:rFonts w:hint="default" w:ascii="Times New Roman" w:hAnsi="Times New Roman" w:eastAsia="宋体" w:cs="宋体"/>
                <w:color w:val="auto"/>
                <w:sz w:val="24"/>
                <w:szCs w:val="24"/>
                <w:highlight w:val="none"/>
                <w:lang w:val="en-US" w:eastAsia="zh-CN"/>
              </w:rPr>
              <w:t>cm/s的要求。</w:t>
            </w:r>
            <w:r>
              <w:rPr>
                <w:rStyle w:val="37"/>
                <w:rFonts w:hint="eastAsia"/>
                <w:color w:val="auto"/>
                <w:highlight w:val="none"/>
                <w:lang w:val="en-US" w:eastAsia="zh-CN"/>
              </w:rPr>
              <w:t>其余场地及道路进行一般地面硬化，简单防渗处理。</w:t>
            </w:r>
          </w:p>
          <w:p w14:paraId="1F33534E">
            <w:pPr>
              <w:pStyle w:val="31"/>
              <w:bidi w:val="0"/>
              <w:rPr>
                <w:b/>
                <w:bCs/>
                <w:color w:val="auto"/>
                <w:highlight w:val="none"/>
              </w:rPr>
            </w:pPr>
            <w:r>
              <w:rPr>
                <w:rFonts w:hint="eastAsia"/>
                <w:b/>
                <w:bCs/>
                <w:color w:val="auto"/>
                <w:highlight w:val="none"/>
              </w:rPr>
              <w:t>六</w:t>
            </w:r>
            <w:r>
              <w:rPr>
                <w:rFonts w:hint="eastAsia"/>
                <w:b/>
                <w:bCs/>
                <w:color w:val="auto"/>
                <w:highlight w:val="none"/>
                <w:lang w:eastAsia="zh-CN"/>
              </w:rPr>
              <w:t>、</w:t>
            </w:r>
            <w:r>
              <w:rPr>
                <w:rFonts w:hint="eastAsia"/>
                <w:b/>
                <w:bCs/>
                <w:color w:val="auto"/>
                <w:highlight w:val="none"/>
              </w:rPr>
              <w:t>生态环境</w:t>
            </w:r>
          </w:p>
          <w:p w14:paraId="3918640B">
            <w:pPr>
              <w:pStyle w:val="31"/>
              <w:bidi w:val="0"/>
              <w:rPr>
                <w:color w:val="auto"/>
                <w:highlight w:val="none"/>
              </w:rPr>
            </w:pPr>
            <w:r>
              <w:rPr>
                <w:rFonts w:hint="eastAsia"/>
                <w:color w:val="auto"/>
                <w:highlight w:val="none"/>
              </w:rPr>
              <w:t>本项目用地属于</w:t>
            </w:r>
            <w:r>
              <w:rPr>
                <w:rFonts w:hint="eastAsia"/>
                <w:color w:val="auto"/>
                <w:highlight w:val="none"/>
                <w:lang w:val="en-US" w:eastAsia="zh-CN"/>
              </w:rPr>
              <w:t>建设</w:t>
            </w:r>
            <w:r>
              <w:rPr>
                <w:rFonts w:hint="eastAsia"/>
                <w:color w:val="auto"/>
                <w:highlight w:val="none"/>
                <w:lang w:eastAsia="zh-CN"/>
              </w:rPr>
              <w:t>用地</w:t>
            </w:r>
            <w:r>
              <w:rPr>
                <w:rFonts w:hint="eastAsia"/>
                <w:color w:val="auto"/>
                <w:highlight w:val="none"/>
              </w:rPr>
              <w:t>，</w:t>
            </w:r>
            <w:r>
              <w:rPr>
                <w:color w:val="auto"/>
                <w:highlight w:val="none"/>
              </w:rPr>
              <w:t>占地范围内无特殊生态敏感区及重要生态敏感区等生态环境保护目标，对周边生态环境影响较小，无需设置相应生态环境保护措施。</w:t>
            </w:r>
          </w:p>
          <w:p w14:paraId="77C9EB71">
            <w:pPr>
              <w:pStyle w:val="31"/>
              <w:bidi w:val="0"/>
              <w:rPr>
                <w:b/>
                <w:bCs/>
                <w:color w:val="auto"/>
                <w:highlight w:val="none"/>
              </w:rPr>
            </w:pPr>
            <w:r>
              <w:rPr>
                <w:rFonts w:hint="eastAsia"/>
                <w:b/>
                <w:bCs/>
                <w:color w:val="auto"/>
                <w:highlight w:val="none"/>
                <w:lang w:val="en-US" w:eastAsia="zh-CN"/>
              </w:rPr>
              <w:t>七、</w:t>
            </w:r>
            <w:r>
              <w:rPr>
                <w:rFonts w:hint="eastAsia"/>
                <w:b/>
                <w:bCs/>
                <w:color w:val="auto"/>
                <w:highlight w:val="none"/>
              </w:rPr>
              <w:t>环境风险分析</w:t>
            </w:r>
          </w:p>
          <w:p w14:paraId="1F034C78">
            <w:pPr>
              <w:pStyle w:val="14"/>
              <w:bidi w:val="0"/>
              <w:rPr>
                <w:rFonts w:hint="eastAsia"/>
                <w:color w:val="auto"/>
                <w:highlight w:val="none"/>
              </w:rPr>
            </w:pPr>
            <w:r>
              <w:rPr>
                <w:rFonts w:hint="eastAsia"/>
                <w:color w:val="auto"/>
                <w:highlight w:val="none"/>
              </w:rPr>
              <w:t>1、风险物质</w:t>
            </w:r>
          </w:p>
          <w:p w14:paraId="15A627BA">
            <w:pPr>
              <w:pStyle w:val="14"/>
              <w:bidi w:val="0"/>
              <w:rPr>
                <w:rFonts w:hint="eastAsia"/>
                <w:color w:val="auto"/>
                <w:highlight w:val="none"/>
              </w:rPr>
            </w:pPr>
            <w:r>
              <w:rPr>
                <w:rFonts w:hint="eastAsia"/>
                <w:color w:val="auto"/>
                <w:highlight w:val="none"/>
              </w:rPr>
              <w:t>根据《建设项目环境风险评价技术导则》（HJ169-2018）附录B以及《企业突发环境事件风险分级方法》(HJ941-2018</w:t>
            </w:r>
            <w:r>
              <w:rPr>
                <w:rFonts w:hint="eastAsia"/>
                <w:color w:val="auto"/>
                <w:highlight w:val="none"/>
                <w:lang w:eastAsia="zh-CN"/>
              </w:rPr>
              <w:t>）</w:t>
            </w:r>
            <w:r>
              <w:rPr>
                <w:rFonts w:hint="eastAsia"/>
                <w:color w:val="auto"/>
                <w:highlight w:val="none"/>
              </w:rPr>
              <w:t>附录A，本项目涉及的风险物质主要是设备维修保养使用的机油以及产生的</w:t>
            </w:r>
            <w:r>
              <w:rPr>
                <w:rFonts w:hint="eastAsia"/>
                <w:color w:val="auto"/>
                <w:highlight w:val="none"/>
                <w:lang w:eastAsia="zh-CN"/>
              </w:rPr>
              <w:t>废润滑油</w:t>
            </w:r>
            <w:r>
              <w:rPr>
                <w:rFonts w:hint="eastAsia"/>
                <w:color w:val="auto"/>
                <w:highlight w:val="none"/>
              </w:rPr>
              <w:t>。正常工况下，厂区内无机油贮存，仅在设备</w:t>
            </w:r>
            <w:r>
              <w:rPr>
                <w:rFonts w:hint="eastAsia"/>
                <w:color w:val="auto"/>
                <w:highlight w:val="none"/>
                <w:lang w:val="en-US" w:eastAsia="zh-CN"/>
              </w:rPr>
              <w:t>检修</w:t>
            </w:r>
            <w:r>
              <w:rPr>
                <w:rFonts w:hint="eastAsia"/>
                <w:color w:val="auto"/>
                <w:highlight w:val="none"/>
              </w:rPr>
              <w:t>保养期间采购机油使用，临时贮存在</w:t>
            </w:r>
            <w:r>
              <w:rPr>
                <w:rFonts w:hint="eastAsia"/>
                <w:color w:val="auto"/>
                <w:highlight w:val="none"/>
                <w:lang w:val="en-US" w:eastAsia="zh-CN"/>
              </w:rPr>
              <w:t>危废贮存点</w:t>
            </w:r>
            <w:r>
              <w:rPr>
                <w:rFonts w:hint="eastAsia"/>
                <w:color w:val="auto"/>
                <w:highlight w:val="none"/>
              </w:rPr>
              <w:t>内，最大贮存量为0.</w:t>
            </w:r>
            <w:r>
              <w:rPr>
                <w:rFonts w:hint="eastAsia"/>
                <w:color w:val="auto"/>
                <w:highlight w:val="none"/>
                <w:lang w:val="en-US" w:eastAsia="zh-CN"/>
              </w:rPr>
              <w:t>005</w:t>
            </w:r>
            <w:r>
              <w:rPr>
                <w:rFonts w:hint="eastAsia"/>
                <w:color w:val="auto"/>
                <w:highlight w:val="none"/>
              </w:rPr>
              <w:t>t/a。设备</w:t>
            </w:r>
            <w:r>
              <w:rPr>
                <w:rFonts w:hint="eastAsia"/>
                <w:color w:val="auto"/>
                <w:highlight w:val="none"/>
                <w:lang w:val="en-US" w:eastAsia="zh-CN"/>
              </w:rPr>
              <w:t>检修</w:t>
            </w:r>
            <w:r>
              <w:rPr>
                <w:rFonts w:hint="eastAsia"/>
                <w:color w:val="auto"/>
                <w:highlight w:val="none"/>
              </w:rPr>
              <w:t>保养产生的</w:t>
            </w:r>
            <w:r>
              <w:rPr>
                <w:rFonts w:hint="eastAsia"/>
                <w:color w:val="auto"/>
                <w:highlight w:val="none"/>
                <w:lang w:eastAsia="zh-CN"/>
              </w:rPr>
              <w:t>废润滑油</w:t>
            </w:r>
            <w:r>
              <w:rPr>
                <w:rFonts w:hint="eastAsia"/>
                <w:color w:val="auto"/>
                <w:highlight w:val="none"/>
              </w:rPr>
              <w:t>暂存于危废贮存点内，最大存在总量为0.</w:t>
            </w:r>
            <w:r>
              <w:rPr>
                <w:rFonts w:hint="eastAsia"/>
                <w:color w:val="auto"/>
                <w:highlight w:val="none"/>
                <w:lang w:val="en-US" w:eastAsia="zh-CN"/>
              </w:rPr>
              <w:t>005</w:t>
            </w:r>
            <w:r>
              <w:rPr>
                <w:rFonts w:hint="eastAsia"/>
                <w:color w:val="auto"/>
                <w:highlight w:val="none"/>
              </w:rPr>
              <w:t>t。油类物质临界量为2500t，故Q值为0.</w:t>
            </w:r>
            <w:r>
              <w:rPr>
                <w:rFonts w:hint="eastAsia"/>
                <w:color w:val="auto"/>
                <w:highlight w:val="none"/>
                <w:lang w:val="en-US" w:eastAsia="zh-CN"/>
              </w:rPr>
              <w:t>005</w:t>
            </w:r>
            <w:r>
              <w:rPr>
                <w:rFonts w:hint="eastAsia"/>
                <w:color w:val="auto"/>
                <w:highlight w:val="none"/>
              </w:rPr>
              <w:t>/2500=0.0000</w:t>
            </w:r>
            <w:r>
              <w:rPr>
                <w:rFonts w:hint="eastAsia"/>
                <w:color w:val="auto"/>
                <w:highlight w:val="none"/>
                <w:lang w:val="en-US" w:eastAsia="zh-CN"/>
              </w:rPr>
              <w:t>02</w:t>
            </w:r>
            <w:r>
              <w:rPr>
                <w:rFonts w:hint="eastAsia"/>
                <w:color w:val="auto"/>
                <w:highlight w:val="none"/>
              </w:rPr>
              <w:t>&lt;1，因此本项目环境风险进行简单分析。</w:t>
            </w:r>
          </w:p>
          <w:p w14:paraId="5A143193">
            <w:pPr>
              <w:pStyle w:val="14"/>
              <w:bidi w:val="0"/>
              <w:rPr>
                <w:rFonts w:hint="eastAsia"/>
                <w:color w:val="auto"/>
                <w:highlight w:val="none"/>
              </w:rPr>
            </w:pPr>
            <w:r>
              <w:rPr>
                <w:rFonts w:hint="eastAsia"/>
                <w:color w:val="auto"/>
                <w:highlight w:val="none"/>
              </w:rPr>
              <w:t>2、风险事故分析</w:t>
            </w:r>
          </w:p>
          <w:p w14:paraId="78514A1C">
            <w:pPr>
              <w:pStyle w:val="14"/>
              <w:bidi w:val="0"/>
              <w:rPr>
                <w:rFonts w:hint="eastAsia"/>
                <w:color w:val="auto"/>
                <w:highlight w:val="none"/>
              </w:rPr>
            </w:pPr>
            <w:r>
              <w:rPr>
                <w:rFonts w:hint="eastAsia"/>
                <w:color w:val="auto"/>
                <w:highlight w:val="none"/>
              </w:rPr>
              <w:t>项目存在的环境风险主要是</w:t>
            </w:r>
            <w:r>
              <w:rPr>
                <w:rFonts w:hint="eastAsia"/>
                <w:color w:val="auto"/>
                <w:highlight w:val="none"/>
                <w:lang w:eastAsia="zh-CN"/>
              </w:rPr>
              <w:t>废润滑油</w:t>
            </w:r>
            <w:r>
              <w:rPr>
                <w:rFonts w:hint="eastAsia"/>
                <w:color w:val="auto"/>
                <w:highlight w:val="none"/>
              </w:rPr>
              <w:t>贮存处置不当发生泄漏后进入土壤，将导致土壤被破坏，造成污染，被人体重复接触后会造成中毒、致癌等严重危害，或发生火灾爆炸。如</w:t>
            </w:r>
            <w:r>
              <w:rPr>
                <w:rFonts w:hint="eastAsia"/>
                <w:color w:val="auto"/>
                <w:highlight w:val="none"/>
                <w:lang w:eastAsia="zh-CN"/>
              </w:rPr>
              <w:t>废润滑油</w:t>
            </w:r>
            <w:r>
              <w:rPr>
                <w:rFonts w:hint="eastAsia"/>
                <w:color w:val="auto"/>
                <w:highlight w:val="none"/>
              </w:rPr>
              <w:t>下渗会导致地下水受到严重污染，严重影响城市民生保障系统的正常运行，危害人体健康。</w:t>
            </w:r>
          </w:p>
          <w:p w14:paraId="346F0DCA">
            <w:pPr>
              <w:pStyle w:val="14"/>
              <w:bidi w:val="0"/>
              <w:rPr>
                <w:rFonts w:hint="eastAsia"/>
                <w:color w:val="auto"/>
                <w:highlight w:val="none"/>
              </w:rPr>
            </w:pPr>
            <w:r>
              <w:rPr>
                <w:rFonts w:hint="eastAsia"/>
                <w:color w:val="auto"/>
                <w:highlight w:val="none"/>
              </w:rPr>
              <w:t>3</w:t>
            </w:r>
            <w:r>
              <w:rPr>
                <w:rFonts w:hint="eastAsia"/>
                <w:color w:val="auto"/>
                <w:highlight w:val="none"/>
                <w:lang w:eastAsia="zh-CN"/>
              </w:rPr>
              <w:t>、</w:t>
            </w:r>
            <w:r>
              <w:rPr>
                <w:rFonts w:hint="eastAsia"/>
                <w:color w:val="auto"/>
                <w:highlight w:val="none"/>
              </w:rPr>
              <w:t>环境风险防范措施</w:t>
            </w:r>
          </w:p>
          <w:p w14:paraId="318C63EC">
            <w:pPr>
              <w:pStyle w:val="14"/>
              <w:bidi w:val="0"/>
              <w:rPr>
                <w:rFonts w:hint="eastAsia"/>
                <w:color w:val="auto"/>
                <w:highlight w:val="none"/>
              </w:rPr>
            </w:pPr>
            <w:r>
              <w:rPr>
                <w:rFonts w:hint="eastAsia"/>
                <w:color w:val="auto"/>
                <w:highlight w:val="none"/>
              </w:rPr>
              <w:t>①严格按照相关要求落实</w:t>
            </w:r>
            <w:r>
              <w:rPr>
                <w:rFonts w:hint="eastAsia"/>
                <w:color w:val="auto"/>
                <w:highlight w:val="none"/>
                <w:lang w:eastAsia="zh-CN"/>
              </w:rPr>
              <w:t>废润滑油</w:t>
            </w:r>
            <w:r>
              <w:rPr>
                <w:rFonts w:hint="eastAsia"/>
                <w:color w:val="auto"/>
                <w:highlight w:val="none"/>
              </w:rPr>
              <w:t>的储存，确定指定地点存放；</w:t>
            </w:r>
          </w:p>
          <w:p w14:paraId="2C013400">
            <w:pPr>
              <w:pStyle w:val="14"/>
              <w:bidi w:val="0"/>
              <w:rPr>
                <w:rFonts w:hint="eastAsia"/>
                <w:color w:val="auto"/>
                <w:highlight w:val="none"/>
              </w:rPr>
            </w:pPr>
            <w:r>
              <w:rPr>
                <w:rFonts w:hint="eastAsia"/>
                <w:color w:val="auto"/>
                <w:highlight w:val="none"/>
              </w:rPr>
              <w:t>②厂区内制定安全操作管理规程，每日安排专人对</w:t>
            </w:r>
            <w:r>
              <w:rPr>
                <w:rFonts w:hint="eastAsia"/>
                <w:color w:val="auto"/>
                <w:highlight w:val="none"/>
                <w:lang w:eastAsia="zh-CN"/>
              </w:rPr>
              <w:t>废润滑油</w:t>
            </w:r>
            <w:r>
              <w:rPr>
                <w:rFonts w:hint="eastAsia"/>
                <w:color w:val="auto"/>
                <w:highlight w:val="none"/>
              </w:rPr>
              <w:t>的安全存放、使用进行检查，确保</w:t>
            </w:r>
            <w:r>
              <w:rPr>
                <w:rFonts w:hint="eastAsia"/>
                <w:color w:val="auto"/>
                <w:highlight w:val="none"/>
                <w:lang w:eastAsia="zh-CN"/>
              </w:rPr>
              <w:t>废润滑油</w:t>
            </w:r>
            <w:r>
              <w:rPr>
                <w:rFonts w:hint="eastAsia"/>
                <w:color w:val="auto"/>
                <w:highlight w:val="none"/>
              </w:rPr>
              <w:t>不发生泄漏及火灾爆炸。</w:t>
            </w:r>
          </w:p>
          <w:p w14:paraId="28E80858">
            <w:pPr>
              <w:pStyle w:val="14"/>
              <w:bidi w:val="0"/>
              <w:rPr>
                <w:rFonts w:hint="eastAsia"/>
                <w:color w:val="auto"/>
                <w:highlight w:val="none"/>
              </w:rPr>
            </w:pPr>
            <w:r>
              <w:rPr>
                <w:rFonts w:hint="eastAsia"/>
                <w:color w:val="auto"/>
                <w:highlight w:val="none"/>
              </w:rPr>
              <w:t>③加强对厂区人员的环境安全宣传教育，严格按操作规程操作，杜绝处理不当导致</w:t>
            </w:r>
            <w:r>
              <w:rPr>
                <w:rFonts w:hint="eastAsia"/>
                <w:color w:val="auto"/>
                <w:highlight w:val="none"/>
                <w:lang w:eastAsia="zh-CN"/>
              </w:rPr>
              <w:t>废润滑油</w:t>
            </w:r>
            <w:r>
              <w:rPr>
                <w:rFonts w:hint="eastAsia"/>
                <w:color w:val="auto"/>
                <w:highlight w:val="none"/>
              </w:rPr>
              <w:t>存储器皿发生破裂现象，</w:t>
            </w:r>
            <w:r>
              <w:rPr>
                <w:rFonts w:hint="eastAsia"/>
                <w:color w:val="auto"/>
                <w:highlight w:val="none"/>
                <w:lang w:eastAsia="zh-CN"/>
              </w:rPr>
              <w:t>废润滑油</w:t>
            </w:r>
            <w:r>
              <w:rPr>
                <w:rFonts w:hint="eastAsia"/>
                <w:color w:val="auto"/>
                <w:highlight w:val="none"/>
              </w:rPr>
              <w:t>装罐后要及时将罐口封闭。</w:t>
            </w:r>
          </w:p>
          <w:p w14:paraId="45E62AE4">
            <w:pPr>
              <w:pStyle w:val="14"/>
              <w:bidi w:val="0"/>
              <w:rPr>
                <w:rFonts w:hint="eastAsia"/>
                <w:color w:val="auto"/>
                <w:highlight w:val="none"/>
              </w:rPr>
            </w:pPr>
            <w:r>
              <w:rPr>
                <w:rFonts w:hint="eastAsia"/>
                <w:color w:val="auto"/>
                <w:highlight w:val="none"/>
              </w:rPr>
              <w:t>④</w:t>
            </w:r>
            <w:r>
              <w:rPr>
                <w:rFonts w:hint="eastAsia"/>
                <w:color w:val="auto"/>
                <w:highlight w:val="none"/>
                <w:lang w:eastAsia="zh-CN"/>
              </w:rPr>
              <w:t>废润滑油</w:t>
            </w:r>
            <w:r>
              <w:rPr>
                <w:rFonts w:hint="eastAsia"/>
                <w:color w:val="auto"/>
                <w:highlight w:val="none"/>
              </w:rPr>
              <w:t>储存区域应远离明火，最大限度地杜绝火灾爆炸现象的发生。</w:t>
            </w:r>
          </w:p>
          <w:p w14:paraId="02E076A6">
            <w:pPr>
              <w:pStyle w:val="14"/>
              <w:bidi w:val="0"/>
              <w:rPr>
                <w:rFonts w:hint="eastAsia"/>
                <w:color w:val="auto"/>
                <w:highlight w:val="none"/>
              </w:rPr>
            </w:pPr>
            <w:r>
              <w:rPr>
                <w:rFonts w:hint="eastAsia"/>
                <w:color w:val="auto"/>
                <w:highlight w:val="none"/>
              </w:rPr>
              <w:t>⑤严格落实各项消防措施。</w:t>
            </w:r>
          </w:p>
          <w:p w14:paraId="5B76D6D5">
            <w:pPr>
              <w:pStyle w:val="14"/>
              <w:bidi w:val="0"/>
              <w:rPr>
                <w:rFonts w:hint="eastAsia"/>
                <w:color w:val="auto"/>
                <w:highlight w:val="none"/>
              </w:rPr>
            </w:pPr>
            <w:r>
              <w:rPr>
                <w:rFonts w:hint="eastAsia"/>
                <w:color w:val="auto"/>
                <w:highlight w:val="none"/>
              </w:rPr>
              <w:t>⑥危废贮存点的贮存设施污染控制要求、容器和包装物污染控制要求以及环境管理要求等均应满足《危险废物贮存污染控制标准》（GB18597-2023）要求。</w:t>
            </w:r>
          </w:p>
          <w:p w14:paraId="6C1C6A14">
            <w:pPr>
              <w:pStyle w:val="31"/>
              <w:bidi w:val="0"/>
              <w:rPr>
                <w:color w:val="auto"/>
                <w:highlight w:val="none"/>
              </w:rPr>
            </w:pPr>
            <w:r>
              <w:rPr>
                <w:rFonts w:hint="eastAsia"/>
                <w:color w:val="auto"/>
                <w:highlight w:val="none"/>
                <w:lang w:val="en-US" w:eastAsia="zh-CN"/>
              </w:rPr>
              <w:t>4、</w:t>
            </w:r>
            <w:r>
              <w:rPr>
                <w:rFonts w:hint="eastAsia"/>
                <w:color w:val="auto"/>
                <w:highlight w:val="none"/>
              </w:rPr>
              <w:t>分析结论</w:t>
            </w:r>
          </w:p>
          <w:p w14:paraId="4F875F77">
            <w:pPr>
              <w:pStyle w:val="14"/>
              <w:bidi w:val="0"/>
              <w:rPr>
                <w:rFonts w:hint="eastAsia"/>
                <w:color w:val="auto"/>
                <w:highlight w:val="none"/>
                <w:lang w:eastAsia="zh-CN"/>
              </w:rPr>
            </w:pPr>
            <w:r>
              <w:rPr>
                <w:rFonts w:hint="eastAsia"/>
                <w:color w:val="auto"/>
                <w:highlight w:val="none"/>
              </w:rPr>
              <w:t>在严格落实应急措施后，可将风险发生的概率和影响后果降到最低限度。一旦发生事故，及时采取应急措施，可将对大气和地下水的影响降到最低限度，其风险水平可以被接受。</w:t>
            </w:r>
          </w:p>
        </w:tc>
      </w:tr>
    </w:tbl>
    <w:p w14:paraId="200CF4CA">
      <w:pPr>
        <w:adjustRightInd w:val="0"/>
        <w:snapToGrid w:val="0"/>
        <w:rPr>
          <w:rFonts w:hint="eastAsia" w:ascii="Times New Roman" w:hAnsi="Times New Roman" w:eastAsia="宋体" w:cs="宋体"/>
          <w:b/>
          <w:color w:val="auto"/>
          <w:kern w:val="0"/>
          <w:sz w:val="28"/>
          <w:szCs w:val="28"/>
          <w:highlight w:val="none"/>
        </w:rPr>
        <w:sectPr>
          <w:pgSz w:w="11907" w:h="16840"/>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1060266A">
      <w:pPr>
        <w:widowControl w:val="0"/>
        <w:wordWrap w:val="0"/>
        <w:topLinePunct/>
        <w:bidi w:val="0"/>
        <w:spacing w:line="360" w:lineRule="auto"/>
        <w:ind w:firstLine="0" w:firstLineChars="0"/>
        <w:jc w:val="center"/>
        <w:outlineLvl w:val="0"/>
        <w:rPr>
          <w:rFonts w:hint="default" w:ascii="Times New Roman" w:hAnsi="Times New Roman" w:eastAsia="宋体" w:cs="宋体"/>
          <w:b/>
          <w:snapToGrid w:val="0"/>
          <w:color w:val="auto"/>
          <w:kern w:val="2"/>
          <w:sz w:val="30"/>
          <w:szCs w:val="30"/>
          <w:highlight w:val="none"/>
          <w:lang w:val="en-US" w:eastAsia="zh-CN" w:bidi="ar-SA"/>
        </w:rPr>
      </w:pPr>
      <w:bookmarkStart w:id="11" w:name="_Toc19706"/>
      <w:r>
        <w:rPr>
          <w:rFonts w:hint="eastAsia" w:ascii="Times New Roman" w:hAnsi="Times New Roman" w:eastAsia="宋体" w:cs="宋体"/>
          <w:b/>
          <w:snapToGrid w:val="0"/>
          <w:color w:val="auto"/>
          <w:kern w:val="2"/>
          <w:sz w:val="30"/>
          <w:szCs w:val="30"/>
          <w:highlight w:val="none"/>
          <w:lang w:val="en-US" w:eastAsia="zh-CN" w:bidi="ar-SA"/>
        </w:rPr>
        <w:t>五、</w:t>
      </w:r>
      <w:bookmarkStart w:id="12" w:name="_Hlk54167917"/>
      <w:r>
        <w:rPr>
          <w:rFonts w:hint="eastAsia" w:ascii="Times New Roman" w:hAnsi="Times New Roman" w:eastAsia="宋体" w:cs="宋体"/>
          <w:b/>
          <w:snapToGrid w:val="0"/>
          <w:color w:val="auto"/>
          <w:kern w:val="2"/>
          <w:sz w:val="30"/>
          <w:szCs w:val="30"/>
          <w:highlight w:val="none"/>
          <w:lang w:val="en-US" w:eastAsia="zh-CN" w:bidi="ar-SA"/>
        </w:rPr>
        <w:t>环境保护措施监督检查清单</w:t>
      </w:r>
      <w:bookmarkEnd w:id="11"/>
      <w:bookmarkEnd w:id="12"/>
    </w:p>
    <w:tbl>
      <w:tblPr>
        <w:tblStyle w:val="23"/>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15"/>
        <w:gridCol w:w="1040"/>
        <w:gridCol w:w="1459"/>
        <w:gridCol w:w="2473"/>
        <w:gridCol w:w="2432"/>
      </w:tblGrid>
      <w:tr w14:paraId="503B2F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7" w:hRule="atLeast"/>
          <w:tblHeader/>
          <w:jc w:val="center"/>
        </w:trPr>
        <w:tc>
          <w:tcPr>
            <w:tcW w:w="655" w:type="pct"/>
            <w:tcBorders>
              <w:tl2br w:val="single" w:color="auto" w:sz="4" w:space="0"/>
            </w:tcBorders>
            <w:noWrap w:val="0"/>
            <w:vAlign w:val="top"/>
          </w:tcPr>
          <w:p w14:paraId="3C549E99">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b/>
                <w:bCs/>
                <w:color w:val="auto"/>
                <w:kern w:val="2"/>
                <w:sz w:val="24"/>
                <w:szCs w:val="24"/>
                <w:highlight w:val="none"/>
                <w:lang w:val="en-US" w:eastAsia="zh-CN" w:bidi="ar-SA"/>
              </w:rPr>
            </w:pPr>
            <w:r>
              <w:rPr>
                <w:rFonts w:hint="eastAsia" w:ascii="Times New Roman" w:hAnsi="Times New Roman" w:eastAsia="宋体" w:cs="宋体"/>
                <w:b/>
                <w:bCs/>
                <w:color w:val="auto"/>
                <w:kern w:val="2"/>
                <w:sz w:val="24"/>
                <w:szCs w:val="24"/>
                <w:highlight w:val="none"/>
                <w:lang w:val="en-US" w:eastAsia="zh-CN" w:bidi="ar-SA"/>
              </w:rPr>
              <w:t>内容</w:t>
            </w:r>
          </w:p>
          <w:p w14:paraId="5626A9C0">
            <w:pPr>
              <w:pStyle w:val="34"/>
              <w:bidi w:val="0"/>
              <w:rPr>
                <w:rFonts w:hint="eastAsia"/>
                <w:color w:val="auto"/>
                <w:highlight w:val="none"/>
                <w:lang w:val="en-US" w:eastAsia="zh-CN"/>
              </w:rPr>
            </w:pPr>
          </w:p>
          <w:p w14:paraId="5AFFD292">
            <w:pPr>
              <w:pStyle w:val="34"/>
              <w:bidi w:val="0"/>
              <w:rPr>
                <w:rFonts w:hint="eastAsia"/>
                <w:color w:val="auto"/>
                <w:highlight w:val="none"/>
                <w:lang w:val="en-US" w:eastAsia="zh-CN"/>
              </w:rPr>
            </w:pPr>
          </w:p>
          <w:p w14:paraId="48190422">
            <w:pPr>
              <w:pStyle w:val="34"/>
              <w:bidi w:val="0"/>
              <w:rPr>
                <w:rFonts w:hint="eastAsia"/>
                <w:color w:val="auto"/>
                <w:highlight w:val="none"/>
                <w:lang w:val="en-US" w:eastAsia="zh-CN"/>
              </w:rPr>
            </w:pPr>
          </w:p>
          <w:p w14:paraId="3638AC62">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b/>
                <w:bCs/>
                <w:color w:val="auto"/>
                <w:kern w:val="2"/>
                <w:sz w:val="24"/>
                <w:szCs w:val="24"/>
                <w:highlight w:val="none"/>
                <w:lang w:val="en-US" w:eastAsia="zh-CN" w:bidi="ar-SA"/>
              </w:rPr>
            </w:pPr>
            <w:r>
              <w:rPr>
                <w:rFonts w:hint="eastAsia" w:ascii="Times New Roman" w:hAnsi="Times New Roman" w:eastAsia="宋体" w:cs="宋体"/>
                <w:b/>
                <w:bCs/>
                <w:color w:val="auto"/>
                <w:kern w:val="2"/>
                <w:sz w:val="24"/>
                <w:szCs w:val="24"/>
                <w:highlight w:val="none"/>
                <w:lang w:val="en-US" w:eastAsia="zh-CN" w:bidi="ar-SA"/>
              </w:rPr>
              <w:t>要素</w:t>
            </w:r>
          </w:p>
        </w:tc>
        <w:tc>
          <w:tcPr>
            <w:tcW w:w="610" w:type="pct"/>
            <w:noWrap w:val="0"/>
            <w:vAlign w:val="center"/>
          </w:tcPr>
          <w:p w14:paraId="5A29B9FF">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b/>
                <w:bCs/>
                <w:color w:val="auto"/>
                <w:kern w:val="2"/>
                <w:sz w:val="24"/>
                <w:szCs w:val="24"/>
                <w:highlight w:val="none"/>
                <w:lang w:val="en-US" w:eastAsia="zh-CN" w:bidi="ar-SA"/>
              </w:rPr>
            </w:pPr>
            <w:r>
              <w:rPr>
                <w:rFonts w:hint="eastAsia" w:ascii="Times New Roman" w:hAnsi="Times New Roman" w:eastAsia="宋体" w:cs="宋体"/>
                <w:b/>
                <w:bCs/>
                <w:color w:val="auto"/>
                <w:kern w:val="2"/>
                <w:sz w:val="24"/>
                <w:szCs w:val="24"/>
                <w:highlight w:val="none"/>
                <w:lang w:val="en-US" w:eastAsia="zh-CN" w:bidi="ar-SA"/>
              </w:rPr>
              <w:t>排放口（编号、</w:t>
            </w:r>
          </w:p>
          <w:p w14:paraId="3F92A4E2">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b/>
                <w:bCs/>
                <w:color w:val="auto"/>
                <w:kern w:val="2"/>
                <w:sz w:val="24"/>
                <w:szCs w:val="24"/>
                <w:highlight w:val="none"/>
                <w:lang w:val="en-US" w:eastAsia="zh-CN" w:bidi="ar-SA"/>
              </w:rPr>
            </w:pPr>
            <w:r>
              <w:rPr>
                <w:rFonts w:hint="eastAsia" w:ascii="Times New Roman" w:hAnsi="Times New Roman" w:eastAsia="宋体" w:cs="宋体"/>
                <w:b/>
                <w:bCs/>
                <w:color w:val="auto"/>
                <w:kern w:val="2"/>
                <w:sz w:val="24"/>
                <w:szCs w:val="24"/>
                <w:highlight w:val="none"/>
                <w:lang w:val="en-US" w:eastAsia="zh-CN" w:bidi="ar-SA"/>
              </w:rPr>
              <w:t>名称）/污染源</w:t>
            </w:r>
          </w:p>
        </w:tc>
        <w:tc>
          <w:tcPr>
            <w:tcW w:w="856" w:type="pct"/>
            <w:noWrap w:val="0"/>
            <w:vAlign w:val="center"/>
          </w:tcPr>
          <w:p w14:paraId="2098B18A">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b/>
                <w:bCs/>
                <w:color w:val="auto"/>
                <w:kern w:val="2"/>
                <w:sz w:val="24"/>
                <w:szCs w:val="24"/>
                <w:highlight w:val="none"/>
                <w:lang w:val="en-US" w:eastAsia="zh-CN" w:bidi="ar-SA"/>
              </w:rPr>
            </w:pPr>
            <w:r>
              <w:rPr>
                <w:rFonts w:hint="eastAsia" w:ascii="Times New Roman" w:hAnsi="Times New Roman" w:eastAsia="宋体" w:cs="宋体"/>
                <w:b/>
                <w:bCs/>
                <w:color w:val="auto"/>
                <w:kern w:val="2"/>
                <w:sz w:val="24"/>
                <w:szCs w:val="24"/>
                <w:highlight w:val="none"/>
                <w:lang w:val="en-US" w:eastAsia="zh-CN" w:bidi="ar-SA"/>
              </w:rPr>
              <w:t>污染物</w:t>
            </w:r>
          </w:p>
          <w:p w14:paraId="27422B31">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b/>
                <w:bCs/>
                <w:color w:val="auto"/>
                <w:kern w:val="2"/>
                <w:sz w:val="24"/>
                <w:szCs w:val="24"/>
                <w:highlight w:val="none"/>
                <w:lang w:val="en-US" w:eastAsia="zh-CN" w:bidi="ar-SA"/>
              </w:rPr>
            </w:pPr>
            <w:r>
              <w:rPr>
                <w:rFonts w:hint="eastAsia" w:ascii="Times New Roman" w:hAnsi="Times New Roman" w:eastAsia="宋体" w:cs="宋体"/>
                <w:b/>
                <w:bCs/>
                <w:color w:val="auto"/>
                <w:kern w:val="2"/>
                <w:sz w:val="24"/>
                <w:szCs w:val="24"/>
                <w:highlight w:val="none"/>
                <w:lang w:val="en-US" w:eastAsia="zh-CN" w:bidi="ar-SA"/>
              </w:rPr>
              <w:t>项目</w:t>
            </w:r>
          </w:p>
        </w:tc>
        <w:tc>
          <w:tcPr>
            <w:tcW w:w="1451" w:type="pct"/>
            <w:noWrap w:val="0"/>
            <w:vAlign w:val="center"/>
          </w:tcPr>
          <w:p w14:paraId="43FA1E71">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b/>
                <w:bCs/>
                <w:color w:val="auto"/>
                <w:kern w:val="2"/>
                <w:sz w:val="24"/>
                <w:szCs w:val="24"/>
                <w:highlight w:val="none"/>
                <w:lang w:val="en-US" w:eastAsia="zh-CN" w:bidi="ar-SA"/>
              </w:rPr>
            </w:pPr>
            <w:r>
              <w:rPr>
                <w:rFonts w:hint="eastAsia" w:ascii="Times New Roman" w:hAnsi="Times New Roman" w:eastAsia="宋体" w:cs="宋体"/>
                <w:b/>
                <w:bCs/>
                <w:color w:val="auto"/>
                <w:kern w:val="2"/>
                <w:sz w:val="24"/>
                <w:szCs w:val="24"/>
                <w:highlight w:val="none"/>
                <w:lang w:val="en-US" w:eastAsia="zh-CN" w:bidi="ar-SA"/>
              </w:rPr>
              <w:t>环境保护措施</w:t>
            </w:r>
          </w:p>
        </w:tc>
        <w:tc>
          <w:tcPr>
            <w:tcW w:w="1426" w:type="pct"/>
            <w:noWrap w:val="0"/>
            <w:vAlign w:val="center"/>
          </w:tcPr>
          <w:p w14:paraId="7974757C">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b/>
                <w:bCs/>
                <w:color w:val="auto"/>
                <w:kern w:val="2"/>
                <w:sz w:val="24"/>
                <w:szCs w:val="24"/>
                <w:highlight w:val="none"/>
                <w:lang w:val="en-US" w:eastAsia="zh-CN" w:bidi="ar-SA"/>
              </w:rPr>
            </w:pPr>
            <w:r>
              <w:rPr>
                <w:rFonts w:hint="eastAsia" w:ascii="Times New Roman" w:hAnsi="Times New Roman" w:eastAsia="宋体" w:cs="宋体"/>
                <w:b/>
                <w:bCs/>
                <w:color w:val="auto"/>
                <w:kern w:val="2"/>
                <w:sz w:val="24"/>
                <w:szCs w:val="24"/>
                <w:highlight w:val="none"/>
                <w:lang w:val="en-US" w:eastAsia="zh-CN" w:bidi="ar-SA"/>
              </w:rPr>
              <w:t>执行标准</w:t>
            </w:r>
          </w:p>
        </w:tc>
      </w:tr>
      <w:tr w14:paraId="61CD56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7" w:hRule="atLeast"/>
          <w:jc w:val="center"/>
        </w:trPr>
        <w:tc>
          <w:tcPr>
            <w:tcW w:w="655" w:type="pct"/>
            <w:noWrap w:val="0"/>
            <w:vAlign w:val="center"/>
          </w:tcPr>
          <w:p w14:paraId="6DD0CCA2">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大气环境</w:t>
            </w:r>
          </w:p>
        </w:tc>
        <w:tc>
          <w:tcPr>
            <w:tcW w:w="610" w:type="pct"/>
            <w:noWrap w:val="0"/>
            <w:vAlign w:val="center"/>
          </w:tcPr>
          <w:p w14:paraId="4EA0536E">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厂界无组织</w:t>
            </w:r>
          </w:p>
        </w:tc>
        <w:tc>
          <w:tcPr>
            <w:tcW w:w="856" w:type="pct"/>
            <w:shd w:val="clear" w:color="auto" w:fill="auto"/>
            <w:noWrap w:val="0"/>
            <w:vAlign w:val="center"/>
          </w:tcPr>
          <w:p w14:paraId="27018F05">
            <w:pPr>
              <w:pStyle w:val="34"/>
              <w:bidi w:val="0"/>
              <w:ind w:firstLine="0" w:firstLineChars="0"/>
              <w:rPr>
                <w:rFonts w:hint="default"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颗粒物</w:t>
            </w:r>
          </w:p>
        </w:tc>
        <w:tc>
          <w:tcPr>
            <w:tcW w:w="1451" w:type="pct"/>
            <w:shd w:val="clear" w:color="auto" w:fill="auto"/>
            <w:noWrap w:val="0"/>
            <w:vAlign w:val="center"/>
          </w:tcPr>
          <w:p w14:paraId="4D1034D7">
            <w:pPr>
              <w:widowControl w:val="0"/>
              <w:wordWrap w:val="0"/>
              <w:topLinePunct/>
              <w:autoSpaceDE/>
              <w:autoSpaceDN/>
              <w:bidi w:val="0"/>
              <w:adjustRightInd/>
              <w:spacing w:line="240" w:lineRule="auto"/>
              <w:ind w:firstLine="0" w:firstLineChars="0"/>
              <w:jc w:val="center"/>
              <w:rPr>
                <w:rFonts w:hint="default"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石子和砂子通过车辆运输进厂后卸料、贮存在堆场内，堆场内采取苫盖、洒水抑尘等措施，四周布置防风抑尘网；水泥筒仓、粉煤灰筒仓、外加剂罐自带的布袋除尘器，进料粉尘经布袋除尘器处理后通过罐顶通气孔无组织排放；砂、碎石等投料斗上方设置半封闭式罩棚与雾化喷淋装置，水泥、粉煤灰、外加剂等原料的输送、计量、投料等方式均为封闭式，物料计量后通过封闭输送机输送至搅拌站内，混合搅拌工序在密闭的搅拌站内，搅拌机投料口设置集气罩收集产生的颗粒物，经布袋除尘器处理后通过站顶排气口无组织排放；项目运输采取苫盖货车、密闭罐车运输，厂内及时清扫道路并定期洒水降尘，以减少道路扬尘的产生。</w:t>
            </w:r>
          </w:p>
        </w:tc>
        <w:tc>
          <w:tcPr>
            <w:tcW w:w="1426" w:type="pct"/>
            <w:shd w:val="clear" w:color="auto" w:fill="auto"/>
            <w:noWrap w:val="0"/>
            <w:vAlign w:val="center"/>
          </w:tcPr>
          <w:p w14:paraId="7AE0EBDD">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rPr>
              <w:t>《水泥工业大气污染物排放标准》（GB4915-2013）表3</w:t>
            </w:r>
          </w:p>
        </w:tc>
      </w:tr>
      <w:tr w14:paraId="450251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7" w:hRule="atLeast"/>
          <w:jc w:val="center"/>
        </w:trPr>
        <w:tc>
          <w:tcPr>
            <w:tcW w:w="655" w:type="pct"/>
            <w:vMerge w:val="restart"/>
            <w:noWrap w:val="0"/>
            <w:vAlign w:val="center"/>
          </w:tcPr>
          <w:p w14:paraId="53B1ECE4">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地表水环境</w:t>
            </w:r>
          </w:p>
        </w:tc>
        <w:tc>
          <w:tcPr>
            <w:tcW w:w="610" w:type="pct"/>
            <w:noWrap w:val="0"/>
            <w:vAlign w:val="center"/>
          </w:tcPr>
          <w:p w14:paraId="796BD5C9">
            <w:pPr>
              <w:pStyle w:val="34"/>
              <w:bidi w:val="0"/>
              <w:ind w:firstLine="0" w:firstLineChars="0"/>
              <w:rPr>
                <w:rFonts w:hint="eastAsia"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生活污水</w:t>
            </w:r>
          </w:p>
        </w:tc>
        <w:tc>
          <w:tcPr>
            <w:tcW w:w="856" w:type="pct"/>
            <w:noWrap w:val="0"/>
            <w:vAlign w:val="center"/>
          </w:tcPr>
          <w:p w14:paraId="7B466AE3">
            <w:pPr>
              <w:pStyle w:val="34"/>
              <w:bidi w:val="0"/>
              <w:ind w:firstLine="0" w:firstLineChars="0"/>
              <w:rPr>
                <w:rFonts w:hint="default" w:ascii="Times New Roman" w:hAnsi="Times New Roman" w:eastAsia="宋体" w:cs="宋体"/>
                <w:color w:val="auto"/>
                <w:kern w:val="2"/>
                <w:sz w:val="24"/>
                <w:szCs w:val="24"/>
                <w:highlight w:val="none"/>
                <w:lang w:val="en-US" w:eastAsia="zh-CN" w:bidi="ar-SA"/>
              </w:rPr>
            </w:pPr>
            <w:r>
              <w:rPr>
                <w:color w:val="auto"/>
                <w:sz w:val="24"/>
                <w:szCs w:val="24"/>
                <w:highlight w:val="none"/>
              </w:rPr>
              <w:t>COD</w:t>
            </w:r>
            <w:r>
              <w:rPr>
                <w:rFonts w:hint="eastAsia"/>
                <w:color w:val="auto"/>
                <w:sz w:val="24"/>
                <w:szCs w:val="24"/>
                <w:highlight w:val="none"/>
                <w:lang w:eastAsia="zh-CN"/>
              </w:rPr>
              <w:t>、</w:t>
            </w:r>
            <w:r>
              <w:rPr>
                <w:rFonts w:hint="eastAsia"/>
                <w:color w:val="auto"/>
                <w:sz w:val="24"/>
                <w:szCs w:val="24"/>
                <w:highlight w:val="none"/>
                <w:lang w:val="en-US" w:eastAsia="zh-CN"/>
              </w:rPr>
              <w:t>氨氮</w:t>
            </w:r>
          </w:p>
        </w:tc>
        <w:tc>
          <w:tcPr>
            <w:tcW w:w="1451" w:type="pct"/>
            <w:noWrap w:val="0"/>
            <w:vAlign w:val="center"/>
          </w:tcPr>
          <w:p w14:paraId="3649640F">
            <w:pPr>
              <w:pStyle w:val="34"/>
              <w:bidi w:val="0"/>
              <w:ind w:firstLine="0" w:firstLineChars="0"/>
              <w:rPr>
                <w:rFonts w:hint="eastAsia"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防渗旱厕，定期清掏，外运堆肥，</w:t>
            </w:r>
            <w:r>
              <w:rPr>
                <w:rFonts w:hint="eastAsia" w:cs="宋体"/>
                <w:color w:val="auto"/>
                <w:kern w:val="2"/>
                <w:sz w:val="24"/>
                <w:szCs w:val="24"/>
                <w:highlight w:val="none"/>
                <w:lang w:val="en-US" w:eastAsia="zh-CN" w:bidi="ar-SA"/>
              </w:rPr>
              <w:t>不外排</w:t>
            </w:r>
          </w:p>
        </w:tc>
        <w:tc>
          <w:tcPr>
            <w:tcW w:w="1426" w:type="pct"/>
            <w:noWrap w:val="0"/>
            <w:vAlign w:val="center"/>
          </w:tcPr>
          <w:p w14:paraId="1EABA66D">
            <w:pPr>
              <w:widowControl w:val="0"/>
              <w:wordWrap w:val="0"/>
              <w:topLinePunct/>
              <w:autoSpaceDE/>
              <w:autoSpaceDN/>
              <w:bidi w:val="0"/>
              <w:adjustRightInd/>
              <w:spacing w:line="240" w:lineRule="auto"/>
              <w:ind w:firstLine="0" w:firstLineChars="0"/>
              <w:jc w:val="center"/>
              <w:rPr>
                <w:rFonts w:hint="default" w:ascii="Times New Roman" w:hAnsi="Times New Roman" w:eastAsia="宋体" w:cs="宋体"/>
                <w:color w:val="auto"/>
                <w:kern w:val="2"/>
                <w:sz w:val="24"/>
                <w:szCs w:val="24"/>
                <w:highlight w:val="none"/>
                <w:lang w:val="en-US" w:eastAsia="zh-CN" w:bidi="ar-SA"/>
              </w:rPr>
            </w:pPr>
            <w:r>
              <w:rPr>
                <w:rFonts w:hint="eastAsia" w:cs="宋体"/>
                <w:color w:val="auto"/>
                <w:kern w:val="2"/>
                <w:sz w:val="24"/>
                <w:szCs w:val="24"/>
                <w:highlight w:val="none"/>
                <w:lang w:val="en-US" w:eastAsia="zh-CN" w:bidi="ar-SA"/>
              </w:rPr>
              <w:t>/</w:t>
            </w:r>
          </w:p>
        </w:tc>
      </w:tr>
      <w:tr w14:paraId="25C807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7" w:hRule="atLeast"/>
          <w:jc w:val="center"/>
        </w:trPr>
        <w:tc>
          <w:tcPr>
            <w:tcW w:w="655" w:type="pct"/>
            <w:vMerge w:val="continue"/>
            <w:noWrap w:val="0"/>
            <w:vAlign w:val="center"/>
          </w:tcPr>
          <w:p w14:paraId="30A86F42">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p>
        </w:tc>
        <w:tc>
          <w:tcPr>
            <w:tcW w:w="610" w:type="pct"/>
            <w:noWrap w:val="0"/>
            <w:vAlign w:val="center"/>
          </w:tcPr>
          <w:p w14:paraId="3770D3BC">
            <w:pPr>
              <w:pStyle w:val="34"/>
              <w:bidi w:val="0"/>
              <w:ind w:firstLine="0" w:firstLineChars="0"/>
              <w:rPr>
                <w:rFonts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抑尘用水</w:t>
            </w:r>
          </w:p>
        </w:tc>
        <w:tc>
          <w:tcPr>
            <w:tcW w:w="856" w:type="pct"/>
            <w:noWrap w:val="0"/>
            <w:vAlign w:val="center"/>
          </w:tcPr>
          <w:p w14:paraId="6A45212F">
            <w:pPr>
              <w:pStyle w:val="34"/>
              <w:bidi w:val="0"/>
              <w:ind w:firstLine="0" w:firstLineChars="0"/>
              <w:rPr>
                <w:rFonts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SS</w:t>
            </w:r>
          </w:p>
        </w:tc>
        <w:tc>
          <w:tcPr>
            <w:tcW w:w="1451" w:type="pct"/>
            <w:noWrap w:val="0"/>
            <w:vAlign w:val="center"/>
          </w:tcPr>
          <w:p w14:paraId="7B5B9156">
            <w:pPr>
              <w:pStyle w:val="34"/>
              <w:bidi w:val="0"/>
              <w:ind w:firstLine="0" w:firstLineChars="0"/>
              <w:rPr>
                <w:rFonts w:hint="eastAsia"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自然蒸发</w:t>
            </w:r>
          </w:p>
        </w:tc>
        <w:tc>
          <w:tcPr>
            <w:tcW w:w="1426" w:type="pct"/>
            <w:noWrap w:val="0"/>
            <w:vAlign w:val="center"/>
          </w:tcPr>
          <w:p w14:paraId="5033265D">
            <w:pPr>
              <w:widowControl w:val="0"/>
              <w:wordWrap w:val="0"/>
              <w:topLinePunct/>
              <w:autoSpaceDE/>
              <w:autoSpaceDN/>
              <w:bidi w:val="0"/>
              <w:adjustRightInd/>
              <w:spacing w:line="240" w:lineRule="auto"/>
              <w:ind w:firstLine="0" w:firstLineChars="0"/>
              <w:jc w:val="center"/>
              <w:rPr>
                <w:rFonts w:hint="default" w:ascii="Times New Roman" w:hAnsi="Times New Roman" w:eastAsia="宋体" w:cs="宋体"/>
                <w:color w:val="auto"/>
                <w:kern w:val="2"/>
                <w:sz w:val="24"/>
                <w:szCs w:val="24"/>
                <w:highlight w:val="none"/>
                <w:lang w:val="en-US" w:eastAsia="zh-CN" w:bidi="ar-SA"/>
              </w:rPr>
            </w:pPr>
            <w:r>
              <w:rPr>
                <w:rFonts w:hint="eastAsia" w:cs="宋体"/>
                <w:color w:val="auto"/>
                <w:kern w:val="2"/>
                <w:sz w:val="24"/>
                <w:szCs w:val="24"/>
                <w:highlight w:val="none"/>
                <w:lang w:val="en-US" w:eastAsia="zh-CN" w:bidi="ar-SA"/>
              </w:rPr>
              <w:t>/</w:t>
            </w:r>
          </w:p>
        </w:tc>
      </w:tr>
      <w:tr w14:paraId="34EF57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7" w:hRule="atLeast"/>
          <w:jc w:val="center"/>
        </w:trPr>
        <w:tc>
          <w:tcPr>
            <w:tcW w:w="655" w:type="pct"/>
            <w:vMerge w:val="continue"/>
            <w:noWrap w:val="0"/>
            <w:vAlign w:val="center"/>
          </w:tcPr>
          <w:p w14:paraId="1FFAABE5">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p>
        </w:tc>
        <w:tc>
          <w:tcPr>
            <w:tcW w:w="610" w:type="pct"/>
            <w:noWrap w:val="0"/>
            <w:vAlign w:val="center"/>
          </w:tcPr>
          <w:p w14:paraId="53FEB58E">
            <w:pPr>
              <w:pStyle w:val="34"/>
              <w:bidi w:val="0"/>
              <w:ind w:firstLine="0" w:firstLineChars="0"/>
              <w:rPr>
                <w:rFonts w:ascii="Times New Roman" w:hAnsi="Times New Roman" w:eastAsia="宋体" w:cs="宋体"/>
                <w:color w:val="auto"/>
                <w:kern w:val="2"/>
                <w:sz w:val="24"/>
                <w:szCs w:val="24"/>
                <w:highlight w:val="none"/>
                <w:lang w:val="en-US" w:eastAsia="zh-CN" w:bidi="ar-SA"/>
              </w:rPr>
            </w:pPr>
            <w:r>
              <w:rPr>
                <w:color w:val="auto"/>
                <w:sz w:val="24"/>
                <w:szCs w:val="24"/>
                <w:highlight w:val="none"/>
              </w:rPr>
              <w:t>设备冲洗水</w:t>
            </w:r>
          </w:p>
        </w:tc>
        <w:tc>
          <w:tcPr>
            <w:tcW w:w="856" w:type="pct"/>
            <w:noWrap w:val="0"/>
            <w:vAlign w:val="center"/>
          </w:tcPr>
          <w:p w14:paraId="5CE2B8A9">
            <w:pPr>
              <w:pStyle w:val="34"/>
              <w:bidi w:val="0"/>
              <w:ind w:firstLine="0" w:firstLineChars="0"/>
              <w:rPr>
                <w:rFonts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SS</w:t>
            </w:r>
          </w:p>
        </w:tc>
        <w:tc>
          <w:tcPr>
            <w:tcW w:w="1451" w:type="pct"/>
            <w:noWrap w:val="0"/>
            <w:vAlign w:val="center"/>
          </w:tcPr>
          <w:p w14:paraId="2BF4998A">
            <w:pPr>
              <w:pStyle w:val="34"/>
              <w:bidi w:val="0"/>
              <w:ind w:firstLine="0" w:firstLineChars="0"/>
              <w:rPr>
                <w:rFonts w:hint="eastAsia"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进入产品</w:t>
            </w:r>
          </w:p>
        </w:tc>
        <w:tc>
          <w:tcPr>
            <w:tcW w:w="1426" w:type="pct"/>
            <w:noWrap w:val="0"/>
            <w:vAlign w:val="center"/>
          </w:tcPr>
          <w:p w14:paraId="7A74A786">
            <w:pPr>
              <w:widowControl w:val="0"/>
              <w:wordWrap w:val="0"/>
              <w:topLinePunct/>
              <w:autoSpaceDE/>
              <w:autoSpaceDN/>
              <w:bidi w:val="0"/>
              <w:adjustRightInd/>
              <w:spacing w:line="240" w:lineRule="auto"/>
              <w:ind w:firstLine="0" w:firstLineChars="0"/>
              <w:jc w:val="center"/>
              <w:rPr>
                <w:rFonts w:ascii="Times New Roman" w:hAnsi="Times New Roman" w:eastAsia="宋体" w:cs="宋体"/>
                <w:color w:val="auto"/>
                <w:kern w:val="2"/>
                <w:sz w:val="24"/>
                <w:szCs w:val="24"/>
                <w:highlight w:val="none"/>
                <w:lang w:val="en-US" w:eastAsia="zh-CN" w:bidi="ar-SA"/>
              </w:rPr>
            </w:pPr>
            <w:r>
              <w:rPr>
                <w:rFonts w:hint="eastAsia" w:cs="宋体"/>
                <w:color w:val="auto"/>
                <w:kern w:val="2"/>
                <w:sz w:val="24"/>
                <w:szCs w:val="24"/>
                <w:highlight w:val="none"/>
                <w:lang w:val="en-US" w:eastAsia="zh-CN" w:bidi="ar-SA"/>
              </w:rPr>
              <w:t>/</w:t>
            </w:r>
          </w:p>
        </w:tc>
      </w:tr>
      <w:tr w14:paraId="61B842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7" w:hRule="atLeast"/>
          <w:jc w:val="center"/>
        </w:trPr>
        <w:tc>
          <w:tcPr>
            <w:tcW w:w="655" w:type="pct"/>
            <w:vMerge w:val="continue"/>
            <w:noWrap w:val="0"/>
            <w:vAlign w:val="center"/>
          </w:tcPr>
          <w:p w14:paraId="14FED1EE">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p>
        </w:tc>
        <w:tc>
          <w:tcPr>
            <w:tcW w:w="610" w:type="pct"/>
            <w:noWrap w:val="0"/>
            <w:vAlign w:val="center"/>
          </w:tcPr>
          <w:p w14:paraId="51ECEFF4">
            <w:pPr>
              <w:pStyle w:val="34"/>
              <w:bidi w:val="0"/>
              <w:ind w:firstLine="0" w:firstLineChars="0"/>
              <w:rPr>
                <w:rFonts w:hint="default" w:eastAsia="宋体"/>
                <w:color w:val="auto"/>
                <w:sz w:val="24"/>
                <w:szCs w:val="24"/>
                <w:highlight w:val="none"/>
                <w:lang w:val="en-US" w:eastAsia="zh-CN"/>
              </w:rPr>
            </w:pPr>
            <w:r>
              <w:rPr>
                <w:rFonts w:hint="eastAsia"/>
                <w:color w:val="auto"/>
                <w:sz w:val="24"/>
                <w:szCs w:val="24"/>
                <w:highlight w:val="none"/>
                <w:lang w:val="en-US" w:eastAsia="zh-CN"/>
              </w:rPr>
              <w:t>车辆冲洗</w:t>
            </w:r>
          </w:p>
        </w:tc>
        <w:tc>
          <w:tcPr>
            <w:tcW w:w="856" w:type="pct"/>
            <w:noWrap w:val="0"/>
            <w:vAlign w:val="center"/>
          </w:tcPr>
          <w:p w14:paraId="7D38AAFA">
            <w:pPr>
              <w:pStyle w:val="34"/>
              <w:bidi w:val="0"/>
              <w:ind w:firstLine="0" w:firstLineChars="0"/>
              <w:rPr>
                <w:rFonts w:hint="default"/>
                <w:color w:val="auto"/>
                <w:sz w:val="24"/>
                <w:szCs w:val="24"/>
                <w:highlight w:val="none"/>
                <w:lang w:val="en-US" w:eastAsia="zh-CN"/>
              </w:rPr>
            </w:pPr>
            <w:r>
              <w:rPr>
                <w:rFonts w:hint="eastAsia"/>
                <w:color w:val="auto"/>
                <w:sz w:val="24"/>
                <w:szCs w:val="24"/>
                <w:highlight w:val="none"/>
                <w:lang w:val="en-US" w:eastAsia="zh-CN"/>
              </w:rPr>
              <w:t>SS</w:t>
            </w:r>
          </w:p>
        </w:tc>
        <w:tc>
          <w:tcPr>
            <w:tcW w:w="1451" w:type="pct"/>
            <w:noWrap w:val="0"/>
            <w:vAlign w:val="center"/>
          </w:tcPr>
          <w:p w14:paraId="416B28E6">
            <w:pPr>
              <w:pStyle w:val="34"/>
              <w:bidi w:val="0"/>
              <w:ind w:firstLine="0" w:firstLineChars="0"/>
              <w:rPr>
                <w:rFonts w:hint="default"/>
                <w:color w:val="auto"/>
                <w:sz w:val="24"/>
                <w:szCs w:val="24"/>
                <w:highlight w:val="none"/>
                <w:lang w:val="en-US" w:eastAsia="zh-CN"/>
              </w:rPr>
            </w:pPr>
            <w:r>
              <w:rPr>
                <w:rFonts w:hint="eastAsia"/>
                <w:color w:val="auto"/>
                <w:sz w:val="24"/>
                <w:szCs w:val="24"/>
                <w:highlight w:val="none"/>
                <w:lang w:val="en-US" w:eastAsia="zh-CN"/>
              </w:rPr>
              <w:t>沉淀池沉淀后回用于车辆冲洗，最终全部自然蒸发</w:t>
            </w:r>
          </w:p>
        </w:tc>
        <w:tc>
          <w:tcPr>
            <w:tcW w:w="1426" w:type="pct"/>
            <w:noWrap w:val="0"/>
            <w:vAlign w:val="center"/>
          </w:tcPr>
          <w:p w14:paraId="6EBD7203">
            <w:pPr>
              <w:widowControl w:val="0"/>
              <w:wordWrap w:val="0"/>
              <w:topLinePunct/>
              <w:autoSpaceDE/>
              <w:autoSpaceDN/>
              <w:bidi w:val="0"/>
              <w:adjustRightInd/>
              <w:spacing w:line="240" w:lineRule="auto"/>
              <w:ind w:firstLine="0" w:firstLineChars="0"/>
              <w:jc w:val="center"/>
              <w:rPr>
                <w:rFonts w:hint="default" w:cs="宋体"/>
                <w:color w:val="auto"/>
                <w:kern w:val="2"/>
                <w:sz w:val="24"/>
                <w:szCs w:val="24"/>
                <w:highlight w:val="none"/>
                <w:lang w:val="en-US" w:eastAsia="zh-CN" w:bidi="ar-SA"/>
              </w:rPr>
            </w:pPr>
            <w:r>
              <w:rPr>
                <w:rFonts w:hint="eastAsia" w:cs="宋体"/>
                <w:color w:val="auto"/>
                <w:kern w:val="2"/>
                <w:sz w:val="24"/>
                <w:szCs w:val="24"/>
                <w:highlight w:val="none"/>
                <w:lang w:val="en-US" w:eastAsia="zh-CN" w:bidi="ar-SA"/>
              </w:rPr>
              <w:t>/</w:t>
            </w:r>
          </w:p>
        </w:tc>
      </w:tr>
      <w:tr w14:paraId="685B67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7" w:hRule="atLeast"/>
          <w:jc w:val="center"/>
        </w:trPr>
        <w:tc>
          <w:tcPr>
            <w:tcW w:w="655" w:type="pct"/>
            <w:vMerge w:val="continue"/>
            <w:noWrap w:val="0"/>
            <w:vAlign w:val="center"/>
          </w:tcPr>
          <w:p w14:paraId="1DA1FD78">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p>
        </w:tc>
        <w:tc>
          <w:tcPr>
            <w:tcW w:w="610" w:type="pct"/>
            <w:noWrap w:val="0"/>
            <w:vAlign w:val="center"/>
          </w:tcPr>
          <w:p w14:paraId="2D470E9F">
            <w:pPr>
              <w:pStyle w:val="34"/>
              <w:bidi w:val="0"/>
              <w:ind w:firstLine="0" w:firstLineChars="0"/>
              <w:rPr>
                <w:rFonts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生产线用水</w:t>
            </w:r>
          </w:p>
        </w:tc>
        <w:tc>
          <w:tcPr>
            <w:tcW w:w="856" w:type="pct"/>
            <w:noWrap w:val="0"/>
            <w:vAlign w:val="center"/>
          </w:tcPr>
          <w:p w14:paraId="2674C6CA">
            <w:pPr>
              <w:pStyle w:val="34"/>
              <w:bidi w:val="0"/>
              <w:ind w:firstLine="0" w:firstLineChars="0"/>
              <w:rPr>
                <w:rFonts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SS</w:t>
            </w:r>
          </w:p>
        </w:tc>
        <w:tc>
          <w:tcPr>
            <w:tcW w:w="1451" w:type="pct"/>
            <w:noWrap w:val="0"/>
            <w:vAlign w:val="center"/>
          </w:tcPr>
          <w:p w14:paraId="68D93664">
            <w:pPr>
              <w:pStyle w:val="34"/>
              <w:bidi w:val="0"/>
              <w:ind w:firstLine="0" w:firstLineChars="0"/>
              <w:rPr>
                <w:rFonts w:hint="default"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进入产品</w:t>
            </w:r>
          </w:p>
        </w:tc>
        <w:tc>
          <w:tcPr>
            <w:tcW w:w="1426" w:type="pct"/>
            <w:noWrap w:val="0"/>
            <w:vAlign w:val="center"/>
          </w:tcPr>
          <w:p w14:paraId="22E7B7AF">
            <w:pPr>
              <w:widowControl w:val="0"/>
              <w:wordWrap w:val="0"/>
              <w:topLinePunct/>
              <w:autoSpaceDE/>
              <w:autoSpaceDN/>
              <w:bidi w:val="0"/>
              <w:adjustRightInd/>
              <w:spacing w:line="240" w:lineRule="auto"/>
              <w:ind w:firstLine="0" w:firstLineChars="0"/>
              <w:jc w:val="center"/>
              <w:rPr>
                <w:rFonts w:ascii="Times New Roman" w:hAnsi="Times New Roman" w:eastAsia="宋体" w:cs="宋体"/>
                <w:color w:val="auto"/>
                <w:kern w:val="2"/>
                <w:sz w:val="24"/>
                <w:szCs w:val="24"/>
                <w:highlight w:val="none"/>
                <w:lang w:val="en-US" w:eastAsia="zh-CN" w:bidi="ar-SA"/>
              </w:rPr>
            </w:pPr>
            <w:r>
              <w:rPr>
                <w:rFonts w:hint="eastAsia" w:cs="宋体"/>
                <w:color w:val="auto"/>
                <w:kern w:val="2"/>
                <w:sz w:val="24"/>
                <w:szCs w:val="24"/>
                <w:highlight w:val="none"/>
                <w:lang w:val="en-US" w:eastAsia="zh-CN" w:bidi="ar-SA"/>
              </w:rPr>
              <w:t>/</w:t>
            </w:r>
          </w:p>
        </w:tc>
      </w:tr>
      <w:tr w14:paraId="5323B6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7" w:hRule="atLeast"/>
          <w:jc w:val="center"/>
        </w:trPr>
        <w:tc>
          <w:tcPr>
            <w:tcW w:w="655" w:type="pct"/>
            <w:vMerge w:val="continue"/>
            <w:noWrap w:val="0"/>
            <w:vAlign w:val="center"/>
          </w:tcPr>
          <w:p w14:paraId="75F51B5F">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p>
        </w:tc>
        <w:tc>
          <w:tcPr>
            <w:tcW w:w="610" w:type="pct"/>
            <w:noWrap w:val="0"/>
            <w:vAlign w:val="center"/>
          </w:tcPr>
          <w:p w14:paraId="418D2F1E">
            <w:pPr>
              <w:pStyle w:val="34"/>
              <w:bidi w:val="0"/>
              <w:ind w:firstLine="0" w:firstLineChars="0"/>
              <w:rPr>
                <w:rFonts w:hint="default"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初期雨水</w:t>
            </w:r>
          </w:p>
        </w:tc>
        <w:tc>
          <w:tcPr>
            <w:tcW w:w="856" w:type="pct"/>
            <w:noWrap w:val="0"/>
            <w:vAlign w:val="center"/>
          </w:tcPr>
          <w:p w14:paraId="08706697">
            <w:pPr>
              <w:pStyle w:val="34"/>
              <w:bidi w:val="0"/>
              <w:ind w:firstLine="0" w:firstLineChars="0"/>
              <w:rPr>
                <w:rFonts w:hint="default"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SS</w:t>
            </w:r>
          </w:p>
        </w:tc>
        <w:tc>
          <w:tcPr>
            <w:tcW w:w="1451" w:type="pct"/>
            <w:noWrap w:val="0"/>
            <w:vAlign w:val="center"/>
          </w:tcPr>
          <w:p w14:paraId="0230ABF6">
            <w:pPr>
              <w:pStyle w:val="34"/>
              <w:bidi w:val="0"/>
              <w:ind w:firstLine="0" w:firstLineChars="0"/>
              <w:rPr>
                <w:rFonts w:hint="default" w:ascii="Times New Roman" w:hAnsi="Times New Roman" w:eastAsia="宋体" w:cs="宋体"/>
                <w:color w:val="auto"/>
                <w:kern w:val="2"/>
                <w:sz w:val="24"/>
                <w:szCs w:val="24"/>
                <w:highlight w:val="none"/>
                <w:lang w:val="en-US" w:eastAsia="zh-CN" w:bidi="ar-SA"/>
              </w:rPr>
            </w:pPr>
            <w:r>
              <w:rPr>
                <w:rFonts w:hint="eastAsia"/>
                <w:color w:val="auto"/>
                <w:sz w:val="24"/>
                <w:szCs w:val="24"/>
                <w:highlight w:val="none"/>
                <w:lang w:val="en-US" w:eastAsia="zh-CN"/>
              </w:rPr>
              <w:t>沉淀池沉淀回用于厂区降尘，自然蒸发</w:t>
            </w:r>
          </w:p>
        </w:tc>
        <w:tc>
          <w:tcPr>
            <w:tcW w:w="1426" w:type="pct"/>
            <w:noWrap w:val="0"/>
            <w:vAlign w:val="center"/>
          </w:tcPr>
          <w:p w14:paraId="3453E053">
            <w:pPr>
              <w:widowControl w:val="0"/>
              <w:wordWrap w:val="0"/>
              <w:topLinePunct/>
              <w:autoSpaceDE/>
              <w:autoSpaceDN/>
              <w:bidi w:val="0"/>
              <w:adjustRightInd/>
              <w:spacing w:line="240" w:lineRule="auto"/>
              <w:ind w:firstLine="0" w:firstLineChars="0"/>
              <w:jc w:val="center"/>
              <w:rPr>
                <w:rFonts w:hint="default" w:ascii="Times New Roman" w:hAnsi="Times New Roman" w:eastAsia="宋体" w:cs="宋体"/>
                <w:color w:val="auto"/>
                <w:kern w:val="2"/>
                <w:sz w:val="24"/>
                <w:szCs w:val="24"/>
                <w:highlight w:val="none"/>
                <w:lang w:val="en-US" w:eastAsia="zh-CN" w:bidi="ar-SA"/>
              </w:rPr>
            </w:pPr>
            <w:r>
              <w:rPr>
                <w:rFonts w:hint="eastAsia" w:cs="宋体"/>
                <w:color w:val="auto"/>
                <w:kern w:val="2"/>
                <w:sz w:val="24"/>
                <w:szCs w:val="24"/>
                <w:highlight w:val="none"/>
                <w:lang w:val="en-US" w:eastAsia="zh-CN" w:bidi="ar-SA"/>
              </w:rPr>
              <w:t>/</w:t>
            </w:r>
          </w:p>
        </w:tc>
      </w:tr>
      <w:tr w14:paraId="21AC73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27" w:hRule="atLeast"/>
          <w:jc w:val="center"/>
        </w:trPr>
        <w:tc>
          <w:tcPr>
            <w:tcW w:w="655" w:type="pct"/>
            <w:noWrap w:val="0"/>
            <w:vAlign w:val="center"/>
          </w:tcPr>
          <w:p w14:paraId="24A9FB59">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声环境</w:t>
            </w:r>
          </w:p>
        </w:tc>
        <w:tc>
          <w:tcPr>
            <w:tcW w:w="610" w:type="pct"/>
            <w:noWrap w:val="0"/>
            <w:vAlign w:val="center"/>
          </w:tcPr>
          <w:p w14:paraId="0E5F8568">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ascii="Times New Roman" w:hAnsi="Times New Roman" w:eastAsia="宋体" w:cs="宋体"/>
                <w:color w:val="auto"/>
                <w:kern w:val="2"/>
                <w:sz w:val="24"/>
                <w:szCs w:val="24"/>
                <w:highlight w:val="none"/>
                <w:lang w:val="en-US" w:eastAsia="zh-CN" w:bidi="ar-SA"/>
              </w:rPr>
              <w:t>厂界噪声</w:t>
            </w:r>
          </w:p>
        </w:tc>
        <w:tc>
          <w:tcPr>
            <w:tcW w:w="856" w:type="pct"/>
            <w:noWrap w:val="0"/>
            <w:vAlign w:val="center"/>
          </w:tcPr>
          <w:p w14:paraId="39C803A8">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ascii="Times New Roman" w:hAnsi="Times New Roman" w:eastAsia="宋体" w:cs="宋体"/>
                <w:color w:val="auto"/>
                <w:kern w:val="2"/>
                <w:sz w:val="24"/>
                <w:szCs w:val="24"/>
                <w:highlight w:val="none"/>
                <w:lang w:val="en-US" w:eastAsia="zh-CN" w:bidi="ar-SA"/>
              </w:rPr>
              <w:t>等效连续A声级</w:t>
            </w:r>
          </w:p>
        </w:tc>
        <w:tc>
          <w:tcPr>
            <w:tcW w:w="1451" w:type="pct"/>
            <w:noWrap w:val="0"/>
            <w:vAlign w:val="center"/>
          </w:tcPr>
          <w:p w14:paraId="7B25099D">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ascii="Times New Roman" w:hAnsi="Times New Roman" w:eastAsia="宋体" w:cs="宋体"/>
                <w:color w:val="auto"/>
                <w:kern w:val="2"/>
                <w:sz w:val="24"/>
                <w:szCs w:val="24"/>
                <w:highlight w:val="none"/>
                <w:lang w:val="en-US" w:eastAsia="zh-CN" w:bidi="ar-SA"/>
              </w:rPr>
              <w:t>隔声减振降噪</w:t>
            </w:r>
          </w:p>
        </w:tc>
        <w:tc>
          <w:tcPr>
            <w:tcW w:w="1426" w:type="pct"/>
            <w:noWrap w:val="0"/>
            <w:vAlign w:val="center"/>
          </w:tcPr>
          <w:p w14:paraId="39B353AD">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ascii="Times New Roman" w:hAnsi="Times New Roman" w:eastAsia="宋体" w:cs="宋体"/>
                <w:color w:val="auto"/>
                <w:kern w:val="2"/>
                <w:sz w:val="24"/>
                <w:szCs w:val="24"/>
                <w:highlight w:val="none"/>
                <w:lang w:val="en-US" w:eastAsia="zh-CN" w:bidi="ar-SA"/>
              </w:rPr>
              <w:t>《工业企业厂界环境噪声排放标准》（GB12348-2008）2类标准</w:t>
            </w:r>
          </w:p>
        </w:tc>
      </w:tr>
      <w:tr w14:paraId="2682BF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83" w:hRule="atLeast"/>
          <w:jc w:val="center"/>
        </w:trPr>
        <w:tc>
          <w:tcPr>
            <w:tcW w:w="655" w:type="pct"/>
            <w:noWrap w:val="0"/>
            <w:vAlign w:val="center"/>
          </w:tcPr>
          <w:p w14:paraId="21D1B5A1">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固体废物</w:t>
            </w:r>
          </w:p>
        </w:tc>
        <w:tc>
          <w:tcPr>
            <w:tcW w:w="4344" w:type="pct"/>
            <w:gridSpan w:val="4"/>
            <w:noWrap w:val="0"/>
            <w:vAlign w:val="center"/>
          </w:tcPr>
          <w:p w14:paraId="3DFA832B">
            <w:pPr>
              <w:pStyle w:val="31"/>
              <w:keepNext w:val="0"/>
              <w:keepLines w:val="0"/>
              <w:pageBreakBefore w:val="0"/>
              <w:widowControl w:val="0"/>
              <w:kinsoku/>
              <w:wordWrap w:val="0"/>
              <w:overflowPunct/>
              <w:topLinePunct/>
              <w:autoSpaceDE/>
              <w:autoSpaceDN/>
              <w:bidi w:val="0"/>
              <w:adjustRightInd/>
              <w:snapToGrid/>
              <w:spacing w:line="240" w:lineRule="auto"/>
              <w:textAlignment w:val="auto"/>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本项目生活垃圾交由市政部门统一处理；</w:t>
            </w:r>
          </w:p>
          <w:p w14:paraId="5B9C604E">
            <w:pPr>
              <w:pStyle w:val="31"/>
              <w:keepNext w:val="0"/>
              <w:keepLines w:val="0"/>
              <w:pageBreakBefore w:val="0"/>
              <w:widowControl w:val="0"/>
              <w:kinsoku/>
              <w:wordWrap w:val="0"/>
              <w:overflowPunct/>
              <w:topLinePunct/>
              <w:autoSpaceDE/>
              <w:autoSpaceDN/>
              <w:bidi w:val="0"/>
              <w:adjustRightInd/>
              <w:snapToGrid/>
              <w:spacing w:line="240" w:lineRule="auto"/>
              <w:textAlignment w:val="auto"/>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水泥筒仓、粉煤灰筒仓、外加剂罐、搅拌机布袋除尘器收尘作为原料回用于生产；实验室废料，由骨料供应商回收破碎后重新利用；废布袋由厂家回收处置；沉淀池中的污泥定期自然晾干挖出后交由市政部门统一处理。</w:t>
            </w:r>
          </w:p>
          <w:p w14:paraId="3DF72FA7">
            <w:pPr>
              <w:pStyle w:val="31"/>
              <w:keepNext w:val="0"/>
              <w:keepLines w:val="0"/>
              <w:pageBreakBefore w:val="0"/>
              <w:widowControl w:val="0"/>
              <w:kinsoku/>
              <w:wordWrap w:val="0"/>
              <w:overflowPunct/>
              <w:topLinePunct/>
              <w:autoSpaceDE/>
              <w:autoSpaceDN/>
              <w:bidi w:val="0"/>
              <w:adjustRightInd/>
              <w:snapToGrid/>
              <w:spacing w:line="240" w:lineRule="auto"/>
              <w:textAlignment w:val="auto"/>
              <w:rPr>
                <w:rFonts w:hint="eastAsia" w:ascii="Times New Roman" w:hAnsi="Times New Roman" w:eastAsia="宋体" w:cs="宋体"/>
                <w:color w:val="auto"/>
                <w:kern w:val="2"/>
                <w:sz w:val="24"/>
                <w:szCs w:val="24"/>
                <w:highlight w:val="none"/>
                <w:lang w:val="en-US" w:eastAsia="zh-CN" w:bidi="ar-SA"/>
              </w:rPr>
            </w:pPr>
            <w:r>
              <w:rPr>
                <w:rFonts w:hint="eastAsia" w:cs="宋体"/>
                <w:color w:val="auto"/>
                <w:kern w:val="2"/>
                <w:sz w:val="24"/>
                <w:szCs w:val="24"/>
                <w:highlight w:val="none"/>
                <w:lang w:val="en-US" w:eastAsia="zh-CN" w:bidi="ar-SA"/>
              </w:rPr>
              <w:t>本项目设备维修、保养产生的废润滑油、废油桶、含油抹布及棉纱手套收集至危废贮存点，定期委托有资质单位处理。</w:t>
            </w:r>
          </w:p>
        </w:tc>
      </w:tr>
      <w:tr w14:paraId="0FA769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48" w:hRule="atLeast"/>
          <w:jc w:val="center"/>
        </w:trPr>
        <w:tc>
          <w:tcPr>
            <w:tcW w:w="655" w:type="pct"/>
            <w:noWrap w:val="0"/>
            <w:vAlign w:val="center"/>
          </w:tcPr>
          <w:p w14:paraId="1F463CD5">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土壤及地下水污染防治措施</w:t>
            </w:r>
          </w:p>
        </w:tc>
        <w:tc>
          <w:tcPr>
            <w:tcW w:w="4344" w:type="pct"/>
            <w:gridSpan w:val="4"/>
            <w:noWrap w:val="0"/>
            <w:vAlign w:val="center"/>
          </w:tcPr>
          <w:p w14:paraId="13E4B1EF">
            <w:pPr>
              <w:pStyle w:val="34"/>
              <w:bidi w:val="0"/>
              <w:ind w:firstLine="480" w:firstLineChars="200"/>
              <w:jc w:val="both"/>
              <w:rPr>
                <w:rFonts w:hint="default"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lang w:val="en-US" w:eastAsia="zh-CN"/>
              </w:rPr>
              <w:t>本项目厂区进行分区防渗，危废贮存点</w:t>
            </w:r>
            <w:r>
              <w:rPr>
                <w:rFonts w:hint="eastAsia" w:ascii="Times New Roman" w:hAnsi="Times New Roman" w:eastAsia="宋体" w:cs="宋体"/>
                <w:color w:val="auto"/>
                <w:kern w:val="2"/>
                <w:sz w:val="24"/>
                <w:szCs w:val="24"/>
                <w:highlight w:val="none"/>
                <w:lang w:val="en-US" w:eastAsia="zh-CN" w:bidi="ar-SA"/>
              </w:rPr>
              <w:t>为重点防渗区，防渗层采用2mm厚高密度聚乙烯土工膜（HDPE），其渗透系数不大于1.0×10</w:t>
            </w:r>
            <w:r>
              <w:rPr>
                <w:rFonts w:hint="eastAsia" w:ascii="Times New Roman" w:hAnsi="Times New Roman" w:eastAsia="宋体" w:cs="宋体"/>
                <w:color w:val="auto"/>
                <w:kern w:val="2"/>
                <w:sz w:val="24"/>
                <w:szCs w:val="24"/>
                <w:highlight w:val="none"/>
                <w:vertAlign w:val="superscript"/>
                <w:lang w:val="en-US" w:eastAsia="zh-CN" w:bidi="ar-SA"/>
              </w:rPr>
              <w:t>-10</w:t>
            </w:r>
            <w:r>
              <w:rPr>
                <w:rFonts w:hint="eastAsia" w:ascii="Times New Roman" w:hAnsi="Times New Roman" w:eastAsia="宋体" w:cs="宋体"/>
                <w:color w:val="auto"/>
                <w:kern w:val="2"/>
                <w:sz w:val="24"/>
                <w:szCs w:val="24"/>
                <w:highlight w:val="none"/>
                <w:lang w:val="en-US" w:eastAsia="zh-CN" w:bidi="ar-SA"/>
              </w:rPr>
              <w:t>cm/s。</w:t>
            </w:r>
          </w:p>
          <w:p w14:paraId="493BDB8A">
            <w:pPr>
              <w:pStyle w:val="34"/>
              <w:bidi w:val="0"/>
              <w:ind w:firstLine="480" w:firstLineChars="200"/>
              <w:jc w:val="both"/>
              <w:rPr>
                <w:rFonts w:hint="default"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lang w:val="en-US" w:eastAsia="zh-CN"/>
              </w:rPr>
              <w:t>沉淀池进行一般防渗处理，</w:t>
            </w:r>
            <w:r>
              <w:rPr>
                <w:rFonts w:hint="default" w:ascii="Times New Roman" w:hAnsi="Times New Roman" w:eastAsia="宋体" w:cs="宋体"/>
                <w:color w:val="auto"/>
                <w:sz w:val="24"/>
                <w:szCs w:val="24"/>
                <w:highlight w:val="none"/>
                <w:lang w:val="en-US" w:eastAsia="zh-CN"/>
              </w:rPr>
              <w:t>其防渗技术要求可满足等效黏土防渗层Mb≥</w:t>
            </w:r>
            <w:r>
              <w:rPr>
                <w:rFonts w:hint="eastAsia" w:ascii="Times New Roman" w:hAnsi="Times New Roman" w:eastAsia="宋体" w:cs="宋体"/>
                <w:color w:val="auto"/>
                <w:sz w:val="24"/>
                <w:szCs w:val="24"/>
                <w:highlight w:val="none"/>
                <w:lang w:val="en-US" w:eastAsia="zh-CN"/>
              </w:rPr>
              <w:t>1.5</w:t>
            </w:r>
            <w:r>
              <w:rPr>
                <w:rFonts w:hint="default" w:ascii="Times New Roman" w:hAnsi="Times New Roman" w:eastAsia="宋体" w:cs="宋体"/>
                <w:color w:val="auto"/>
                <w:sz w:val="24"/>
                <w:szCs w:val="24"/>
                <w:highlight w:val="none"/>
                <w:lang w:val="en-US" w:eastAsia="zh-CN"/>
              </w:rPr>
              <w:t>m，K≤1×10</w:t>
            </w:r>
            <w:r>
              <w:rPr>
                <w:rFonts w:hint="default" w:ascii="Times New Roman" w:hAnsi="Times New Roman" w:eastAsia="宋体" w:cs="宋体"/>
                <w:color w:val="auto"/>
                <w:sz w:val="24"/>
                <w:szCs w:val="24"/>
                <w:highlight w:val="none"/>
                <w:vertAlign w:val="superscript"/>
                <w:lang w:val="en-US" w:eastAsia="zh-CN"/>
              </w:rPr>
              <w:t>-7</w:t>
            </w:r>
            <w:r>
              <w:rPr>
                <w:rFonts w:hint="default" w:ascii="Times New Roman" w:hAnsi="Times New Roman" w:eastAsia="宋体" w:cs="宋体"/>
                <w:color w:val="auto"/>
                <w:sz w:val="24"/>
                <w:szCs w:val="24"/>
                <w:highlight w:val="none"/>
                <w:lang w:val="en-US" w:eastAsia="zh-CN"/>
              </w:rPr>
              <w:t>cm/s的要求。</w:t>
            </w:r>
          </w:p>
          <w:p w14:paraId="64580F04">
            <w:pPr>
              <w:pStyle w:val="31"/>
              <w:bidi w:val="0"/>
              <w:rPr>
                <w:rFonts w:hint="eastAsia" w:ascii="Times New Roman" w:hAnsi="Times New Roman" w:eastAsia="宋体" w:cs="宋体"/>
                <w:color w:val="auto"/>
                <w:kern w:val="2"/>
                <w:sz w:val="24"/>
                <w:szCs w:val="24"/>
                <w:highlight w:val="none"/>
                <w:lang w:val="en-US" w:eastAsia="zh-CN" w:bidi="ar-SA"/>
              </w:rPr>
            </w:pPr>
            <w:r>
              <w:rPr>
                <w:rFonts w:hint="eastAsia"/>
                <w:color w:val="auto"/>
                <w:highlight w:val="none"/>
                <w:lang w:val="en-US" w:eastAsia="zh-CN"/>
              </w:rPr>
              <w:t>其余场地及道路进行一般地面硬化，简单防渗处理。</w:t>
            </w:r>
          </w:p>
        </w:tc>
      </w:tr>
      <w:tr w14:paraId="0C48AD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7" w:hRule="atLeast"/>
          <w:jc w:val="center"/>
        </w:trPr>
        <w:tc>
          <w:tcPr>
            <w:tcW w:w="655" w:type="pct"/>
            <w:noWrap w:val="0"/>
            <w:vAlign w:val="center"/>
          </w:tcPr>
          <w:p w14:paraId="5ACAF9FC">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生态保护措施</w:t>
            </w:r>
          </w:p>
        </w:tc>
        <w:tc>
          <w:tcPr>
            <w:tcW w:w="4344" w:type="pct"/>
            <w:gridSpan w:val="4"/>
            <w:noWrap w:val="0"/>
            <w:vAlign w:val="center"/>
          </w:tcPr>
          <w:p w14:paraId="2BB6ACC1">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w:t>
            </w:r>
          </w:p>
        </w:tc>
      </w:tr>
      <w:tr w14:paraId="2721AA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35" w:hRule="atLeast"/>
          <w:jc w:val="center"/>
        </w:trPr>
        <w:tc>
          <w:tcPr>
            <w:tcW w:w="655" w:type="pct"/>
            <w:noWrap w:val="0"/>
            <w:vAlign w:val="center"/>
          </w:tcPr>
          <w:p w14:paraId="37A6D69A">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环境风险防范措施</w:t>
            </w:r>
          </w:p>
        </w:tc>
        <w:tc>
          <w:tcPr>
            <w:tcW w:w="4344" w:type="pct"/>
            <w:gridSpan w:val="4"/>
            <w:noWrap w:val="0"/>
            <w:vAlign w:val="center"/>
          </w:tcPr>
          <w:p w14:paraId="33AF8CF8">
            <w:pPr>
              <w:widowControl w:val="0"/>
              <w:wordWrap w:val="0"/>
              <w:topLinePunct/>
              <w:autoSpaceDE/>
              <w:autoSpaceDN/>
              <w:bidi w:val="0"/>
              <w:adjustRightInd/>
              <w:spacing w:line="240" w:lineRule="auto"/>
              <w:ind w:firstLine="480" w:firstLineChars="200"/>
              <w:jc w:val="both"/>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1、严格按照相关要求落实</w:t>
            </w:r>
            <w:r>
              <w:rPr>
                <w:rFonts w:hint="eastAsia" w:cs="宋体"/>
                <w:color w:val="auto"/>
                <w:kern w:val="2"/>
                <w:sz w:val="24"/>
                <w:szCs w:val="24"/>
                <w:highlight w:val="none"/>
                <w:lang w:val="en-US" w:eastAsia="zh-CN" w:bidi="ar-SA"/>
              </w:rPr>
              <w:t>废润滑油</w:t>
            </w:r>
            <w:r>
              <w:rPr>
                <w:rFonts w:hint="eastAsia" w:ascii="Times New Roman" w:hAnsi="Times New Roman" w:eastAsia="宋体" w:cs="宋体"/>
                <w:color w:val="auto"/>
                <w:kern w:val="2"/>
                <w:sz w:val="24"/>
                <w:szCs w:val="24"/>
                <w:highlight w:val="none"/>
                <w:lang w:val="en-US" w:eastAsia="zh-CN" w:bidi="ar-SA"/>
              </w:rPr>
              <w:t>的储存，确定指定地点存放</w:t>
            </w:r>
            <w:r>
              <w:rPr>
                <w:rFonts w:hint="eastAsia" w:cs="宋体"/>
                <w:color w:val="auto"/>
                <w:kern w:val="2"/>
                <w:sz w:val="24"/>
                <w:szCs w:val="24"/>
                <w:highlight w:val="none"/>
                <w:lang w:val="en-US" w:eastAsia="zh-CN" w:bidi="ar-SA"/>
              </w:rPr>
              <w:t>。</w:t>
            </w:r>
          </w:p>
          <w:p w14:paraId="4557B901">
            <w:pPr>
              <w:widowControl w:val="0"/>
              <w:wordWrap w:val="0"/>
              <w:topLinePunct/>
              <w:autoSpaceDE/>
              <w:autoSpaceDN/>
              <w:bidi w:val="0"/>
              <w:adjustRightInd/>
              <w:spacing w:line="240" w:lineRule="auto"/>
              <w:ind w:firstLine="480" w:firstLineChars="200"/>
              <w:jc w:val="both"/>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2、厂区内制定安全操作管理规程，每日安排专人对</w:t>
            </w:r>
            <w:r>
              <w:rPr>
                <w:rFonts w:hint="eastAsia" w:cs="宋体"/>
                <w:color w:val="auto"/>
                <w:kern w:val="2"/>
                <w:sz w:val="24"/>
                <w:szCs w:val="24"/>
                <w:highlight w:val="none"/>
                <w:lang w:val="en-US" w:eastAsia="zh-CN" w:bidi="ar-SA"/>
              </w:rPr>
              <w:t>废润滑油</w:t>
            </w:r>
            <w:r>
              <w:rPr>
                <w:rFonts w:hint="eastAsia" w:ascii="Times New Roman" w:hAnsi="Times New Roman" w:eastAsia="宋体" w:cs="宋体"/>
                <w:color w:val="auto"/>
                <w:kern w:val="2"/>
                <w:sz w:val="24"/>
                <w:szCs w:val="24"/>
                <w:highlight w:val="none"/>
                <w:lang w:val="en-US" w:eastAsia="zh-CN" w:bidi="ar-SA"/>
              </w:rPr>
              <w:t>的安全存放、使用进行检查，确保</w:t>
            </w:r>
            <w:r>
              <w:rPr>
                <w:rFonts w:hint="eastAsia" w:cs="宋体"/>
                <w:color w:val="auto"/>
                <w:kern w:val="2"/>
                <w:sz w:val="24"/>
                <w:szCs w:val="24"/>
                <w:highlight w:val="none"/>
                <w:lang w:val="en-US" w:eastAsia="zh-CN" w:bidi="ar-SA"/>
              </w:rPr>
              <w:t>废润滑油</w:t>
            </w:r>
            <w:r>
              <w:rPr>
                <w:rFonts w:hint="eastAsia" w:ascii="Times New Roman" w:hAnsi="Times New Roman" w:eastAsia="宋体" w:cs="宋体"/>
                <w:color w:val="auto"/>
                <w:kern w:val="2"/>
                <w:sz w:val="24"/>
                <w:szCs w:val="24"/>
                <w:highlight w:val="none"/>
                <w:lang w:val="en-US" w:eastAsia="zh-CN" w:bidi="ar-SA"/>
              </w:rPr>
              <w:t>不发生泄漏及火灾爆炸。</w:t>
            </w:r>
          </w:p>
          <w:p w14:paraId="11BB67D5">
            <w:pPr>
              <w:widowControl w:val="0"/>
              <w:wordWrap w:val="0"/>
              <w:topLinePunct/>
              <w:autoSpaceDE/>
              <w:autoSpaceDN/>
              <w:bidi w:val="0"/>
              <w:adjustRightInd/>
              <w:spacing w:line="240" w:lineRule="auto"/>
              <w:ind w:firstLine="480" w:firstLineChars="200"/>
              <w:jc w:val="both"/>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3、加强对厂区人员的环境安全宣传教育，严格按操作规程操作，杜绝处理不当导致</w:t>
            </w:r>
            <w:r>
              <w:rPr>
                <w:rFonts w:hint="eastAsia" w:cs="宋体"/>
                <w:color w:val="auto"/>
                <w:kern w:val="2"/>
                <w:sz w:val="24"/>
                <w:szCs w:val="24"/>
                <w:highlight w:val="none"/>
                <w:lang w:val="en-US" w:eastAsia="zh-CN" w:bidi="ar-SA"/>
              </w:rPr>
              <w:t>废润滑油</w:t>
            </w:r>
            <w:r>
              <w:rPr>
                <w:rFonts w:hint="eastAsia" w:ascii="Times New Roman" w:hAnsi="Times New Roman" w:eastAsia="宋体" w:cs="宋体"/>
                <w:color w:val="auto"/>
                <w:kern w:val="2"/>
                <w:sz w:val="24"/>
                <w:szCs w:val="24"/>
                <w:highlight w:val="none"/>
                <w:lang w:val="en-US" w:eastAsia="zh-CN" w:bidi="ar-SA"/>
              </w:rPr>
              <w:t>存储器皿发生破裂现象，</w:t>
            </w:r>
            <w:r>
              <w:rPr>
                <w:rFonts w:hint="eastAsia" w:cs="宋体"/>
                <w:color w:val="auto"/>
                <w:kern w:val="2"/>
                <w:sz w:val="24"/>
                <w:szCs w:val="24"/>
                <w:highlight w:val="none"/>
                <w:lang w:val="en-US" w:eastAsia="zh-CN" w:bidi="ar-SA"/>
              </w:rPr>
              <w:t>废润滑油</w:t>
            </w:r>
            <w:r>
              <w:rPr>
                <w:rFonts w:hint="eastAsia" w:ascii="Times New Roman" w:hAnsi="Times New Roman" w:eastAsia="宋体" w:cs="宋体"/>
                <w:color w:val="auto"/>
                <w:kern w:val="2"/>
                <w:sz w:val="24"/>
                <w:szCs w:val="24"/>
                <w:highlight w:val="none"/>
                <w:lang w:val="en-US" w:eastAsia="zh-CN" w:bidi="ar-SA"/>
              </w:rPr>
              <w:t>装罐后要及时将罐口封闭。</w:t>
            </w:r>
          </w:p>
          <w:p w14:paraId="4AA59137">
            <w:pPr>
              <w:widowControl w:val="0"/>
              <w:wordWrap w:val="0"/>
              <w:topLinePunct/>
              <w:autoSpaceDE/>
              <w:autoSpaceDN/>
              <w:bidi w:val="0"/>
              <w:adjustRightInd/>
              <w:spacing w:line="240" w:lineRule="auto"/>
              <w:ind w:firstLine="480" w:firstLineChars="200"/>
              <w:jc w:val="both"/>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4、</w:t>
            </w:r>
            <w:r>
              <w:rPr>
                <w:rFonts w:hint="eastAsia" w:cs="宋体"/>
                <w:color w:val="auto"/>
                <w:kern w:val="2"/>
                <w:sz w:val="24"/>
                <w:szCs w:val="24"/>
                <w:highlight w:val="none"/>
                <w:lang w:val="en-US" w:eastAsia="zh-CN" w:bidi="ar-SA"/>
              </w:rPr>
              <w:t>废润滑油</w:t>
            </w:r>
            <w:r>
              <w:rPr>
                <w:rFonts w:hint="eastAsia" w:ascii="Times New Roman" w:hAnsi="Times New Roman" w:eastAsia="宋体" w:cs="宋体"/>
                <w:color w:val="auto"/>
                <w:kern w:val="2"/>
                <w:sz w:val="24"/>
                <w:szCs w:val="24"/>
                <w:highlight w:val="none"/>
                <w:lang w:val="en-US" w:eastAsia="zh-CN" w:bidi="ar-SA"/>
              </w:rPr>
              <w:t>储存区域应远离明火，最大限度地杜绝火灾爆炸现象的发生。</w:t>
            </w:r>
          </w:p>
          <w:p w14:paraId="376354A6">
            <w:pPr>
              <w:widowControl w:val="0"/>
              <w:wordWrap w:val="0"/>
              <w:topLinePunct/>
              <w:autoSpaceDE/>
              <w:autoSpaceDN/>
              <w:bidi w:val="0"/>
              <w:adjustRightInd/>
              <w:spacing w:line="240" w:lineRule="auto"/>
              <w:ind w:firstLine="480" w:firstLineChars="200"/>
              <w:jc w:val="both"/>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5、严格落实各项消防措施。</w:t>
            </w:r>
          </w:p>
          <w:p w14:paraId="13358BCD">
            <w:pPr>
              <w:pStyle w:val="31"/>
              <w:keepNext w:val="0"/>
              <w:keepLines w:val="0"/>
              <w:pageBreakBefore w:val="0"/>
              <w:widowControl w:val="0"/>
              <w:kinsoku/>
              <w:wordWrap w:val="0"/>
              <w:overflowPunct/>
              <w:topLinePunct/>
              <w:autoSpaceDE/>
              <w:autoSpaceDN/>
              <w:bidi w:val="0"/>
              <w:adjustRightInd/>
              <w:snapToGrid/>
              <w:spacing w:line="240" w:lineRule="auto"/>
              <w:textAlignment w:val="auto"/>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6、危废贮存点的贮存设施污染控制要求、容器和包装物污染控制要求以及环境管理要求等均应满足《危险废物贮存污染控制标准》（GB18597-2023）要求。</w:t>
            </w:r>
          </w:p>
        </w:tc>
      </w:tr>
      <w:tr w14:paraId="455A38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23" w:hRule="atLeast"/>
          <w:jc w:val="center"/>
        </w:trPr>
        <w:tc>
          <w:tcPr>
            <w:tcW w:w="655" w:type="pct"/>
            <w:noWrap w:val="0"/>
            <w:vAlign w:val="center"/>
          </w:tcPr>
          <w:p w14:paraId="5B85BB2D">
            <w:pPr>
              <w:widowControl w:val="0"/>
              <w:wordWrap w:val="0"/>
              <w:topLinePunct/>
              <w:autoSpaceDE/>
              <w:autoSpaceDN/>
              <w:bidi w:val="0"/>
              <w:adjustRightInd/>
              <w:spacing w:line="240" w:lineRule="auto"/>
              <w:ind w:firstLine="0" w:firstLineChars="0"/>
              <w:jc w:val="center"/>
              <w:rPr>
                <w:rFonts w:hint="eastAsia" w:ascii="Times New Roman" w:hAnsi="Times New Roman" w:eastAsia="宋体" w:cs="宋体"/>
                <w:color w:val="auto"/>
                <w:kern w:val="2"/>
                <w:sz w:val="24"/>
                <w:szCs w:val="24"/>
                <w:highlight w:val="none"/>
                <w:lang w:val="en-US" w:eastAsia="zh-CN" w:bidi="ar-SA"/>
              </w:rPr>
            </w:pPr>
            <w:r>
              <w:rPr>
                <w:rFonts w:hint="eastAsia" w:ascii="Times New Roman" w:hAnsi="Times New Roman" w:eastAsia="宋体" w:cs="宋体"/>
                <w:color w:val="auto"/>
                <w:kern w:val="2"/>
                <w:sz w:val="24"/>
                <w:szCs w:val="24"/>
                <w:highlight w:val="none"/>
                <w:lang w:val="en-US" w:eastAsia="zh-CN" w:bidi="ar-SA"/>
              </w:rPr>
              <w:t>其他环境管理要求</w:t>
            </w:r>
          </w:p>
        </w:tc>
        <w:tc>
          <w:tcPr>
            <w:tcW w:w="4344" w:type="pct"/>
            <w:gridSpan w:val="4"/>
            <w:noWrap w:val="0"/>
            <w:vAlign w:val="center"/>
          </w:tcPr>
          <w:p w14:paraId="63D143D2">
            <w:pPr>
              <w:widowControl w:val="0"/>
              <w:wordWrap w:val="0"/>
              <w:topLinePunct/>
              <w:autoSpaceDE/>
              <w:autoSpaceDN/>
              <w:bidi w:val="0"/>
              <w:adjustRightInd/>
              <w:spacing w:line="240" w:lineRule="auto"/>
              <w:ind w:firstLine="480" w:firstLineChars="200"/>
              <w:jc w:val="both"/>
              <w:rPr>
                <w:rFonts w:hint="default"/>
                <w:color w:val="auto"/>
                <w:sz w:val="24"/>
                <w:szCs w:val="24"/>
                <w:highlight w:val="none"/>
                <w:lang w:val="en-US" w:eastAsia="zh-CN"/>
              </w:rPr>
            </w:pPr>
            <w:r>
              <w:rPr>
                <w:rFonts w:hint="default"/>
                <w:color w:val="auto"/>
                <w:sz w:val="24"/>
                <w:szCs w:val="24"/>
                <w:highlight w:val="none"/>
                <w:lang w:val="en-US" w:eastAsia="zh-CN"/>
              </w:rPr>
              <w:t>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设备运行状况的检查，对三废处理装置要定期检修，以确保污染物达标排放。</w:t>
            </w:r>
          </w:p>
          <w:p w14:paraId="577F276A">
            <w:pPr>
              <w:widowControl w:val="0"/>
              <w:wordWrap w:val="0"/>
              <w:topLinePunct/>
              <w:autoSpaceDE/>
              <w:autoSpaceDN/>
              <w:bidi w:val="0"/>
              <w:adjustRightInd/>
              <w:spacing w:line="240" w:lineRule="auto"/>
              <w:ind w:firstLine="480" w:firstLineChars="200"/>
              <w:jc w:val="both"/>
              <w:rPr>
                <w:rFonts w:hint="eastAsia" w:ascii="Times New Roman" w:hAnsi="Times New Roman" w:eastAsia="宋体" w:cs="宋体"/>
                <w:color w:val="auto"/>
                <w:kern w:val="2"/>
                <w:sz w:val="24"/>
                <w:szCs w:val="24"/>
                <w:highlight w:val="none"/>
                <w:lang w:val="en-US" w:eastAsia="zh-CN" w:bidi="ar-SA"/>
              </w:rPr>
            </w:pPr>
            <w:r>
              <w:rPr>
                <w:rFonts w:hint="default"/>
                <w:color w:val="auto"/>
                <w:sz w:val="24"/>
                <w:szCs w:val="24"/>
                <w:highlight w:val="none"/>
                <w:lang w:val="en-US" w:eastAsia="zh-CN"/>
              </w:rPr>
              <w:t>排污许可制度衔接情况及管理要求：建设单位按照《环境保护信息公开办法》进行相关信息的公开根据《关于做好环境影响评价制度与排污许可</w:t>
            </w:r>
            <w:r>
              <w:rPr>
                <w:rFonts w:hint="eastAsia"/>
                <w:color w:val="auto"/>
                <w:sz w:val="24"/>
                <w:szCs w:val="24"/>
                <w:highlight w:val="none"/>
                <w:lang w:val="en-US" w:eastAsia="zh-CN"/>
              </w:rPr>
              <w:t>制度</w:t>
            </w:r>
            <w:r>
              <w:rPr>
                <w:rFonts w:hint="default"/>
                <w:color w:val="auto"/>
                <w:sz w:val="24"/>
                <w:szCs w:val="24"/>
                <w:highlight w:val="none"/>
                <w:lang w:val="en-US" w:eastAsia="zh-CN"/>
              </w:rPr>
              <w:t>衔接相关工作的通知》（环办环评</w:t>
            </w:r>
            <w:r>
              <w:rPr>
                <w:rFonts w:hint="eastAsia"/>
                <w:color w:val="auto"/>
                <w:sz w:val="24"/>
                <w:szCs w:val="24"/>
                <w:highlight w:val="none"/>
                <w:lang w:val="en-US" w:eastAsia="zh-CN"/>
              </w:rPr>
              <w:t>〔2017〕84号</w:t>
            </w:r>
            <w:r>
              <w:rPr>
                <w:rFonts w:hint="default"/>
                <w:color w:val="auto"/>
                <w:sz w:val="24"/>
                <w:szCs w:val="24"/>
                <w:highlight w:val="none"/>
                <w:lang w:val="en-US" w:eastAsia="zh-CN"/>
              </w:rPr>
              <w:t>），建设项目发生实际排污行为之前，排污单位应当按照国家环境保护相关法律法规以及排污许可证申请与核发技术规范要求申请排污许可</w:t>
            </w:r>
            <w:r>
              <w:rPr>
                <w:rFonts w:hint="eastAsia"/>
                <w:color w:val="auto"/>
                <w:sz w:val="24"/>
                <w:szCs w:val="24"/>
                <w:highlight w:val="none"/>
                <w:lang w:val="en-US" w:eastAsia="zh-CN"/>
              </w:rPr>
              <w:t>登记证</w:t>
            </w:r>
            <w:r>
              <w:rPr>
                <w:rFonts w:hint="default"/>
                <w:color w:val="auto"/>
                <w:sz w:val="24"/>
                <w:szCs w:val="24"/>
                <w:highlight w:val="none"/>
                <w:lang w:val="en-US" w:eastAsia="zh-CN"/>
              </w:rPr>
              <w:t>，不得无证排污或不按证排污。</w:t>
            </w:r>
          </w:p>
        </w:tc>
      </w:tr>
    </w:tbl>
    <w:p w14:paraId="41EEADDE">
      <w:pPr>
        <w:jc w:val="center"/>
        <w:outlineLvl w:val="0"/>
        <w:rPr>
          <w:color w:val="auto"/>
          <w:highlight w:val="none"/>
        </w:rPr>
      </w:pPr>
      <w:r>
        <w:rPr>
          <w:rFonts w:ascii="Times New Roman" w:hAnsi="Times New Roman" w:eastAsia="宋体" w:cs="宋体"/>
          <w:snapToGrid w:val="0"/>
          <w:color w:val="auto"/>
          <w:highlight w:val="none"/>
        </w:rPr>
        <w:br w:type="page"/>
      </w:r>
      <w:bookmarkStart w:id="13" w:name="_Toc877"/>
      <w:r>
        <w:rPr>
          <w:rFonts w:hint="eastAsia" w:cs="宋体"/>
          <w:b/>
          <w:snapToGrid w:val="0"/>
          <w:color w:val="auto"/>
          <w:sz w:val="30"/>
          <w:szCs w:val="30"/>
          <w:highlight w:val="none"/>
        </w:rPr>
        <w:t>六、结论</w:t>
      </w:r>
      <w:bookmarkEnd w:id="13"/>
    </w:p>
    <w:tbl>
      <w:tblPr>
        <w:tblStyle w:val="23"/>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49FD8B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19" w:hRule="atLeast"/>
          <w:jc w:val="center"/>
        </w:trPr>
        <w:tc>
          <w:tcPr>
            <w:tcW w:w="5000" w:type="pct"/>
            <w:noWrap w:val="0"/>
            <w:vAlign w:val="top"/>
          </w:tcPr>
          <w:p w14:paraId="62D5ADFA">
            <w:pPr>
              <w:pStyle w:val="33"/>
              <w:keepNext w:val="0"/>
              <w:keepLines w:val="0"/>
              <w:pageBreakBefore w:val="0"/>
              <w:widowControl w:val="0"/>
              <w:kinsoku/>
              <w:wordWrap w:val="0"/>
              <w:overflowPunct/>
              <w:topLinePunct/>
              <w:autoSpaceDE/>
              <w:autoSpaceDN/>
              <w:bidi w:val="0"/>
              <w:adjustRightInd/>
              <w:snapToGrid/>
              <w:spacing w:before="157" w:beforeLines="50"/>
              <w:textAlignment w:val="auto"/>
              <w:rPr>
                <w:color w:val="auto"/>
                <w:highlight w:val="none"/>
              </w:rPr>
            </w:pPr>
            <w:r>
              <w:rPr>
                <w:color w:val="auto"/>
                <w:highlight w:val="none"/>
              </w:rPr>
              <w:t>项目建设符合国家产业政策要求，项目平面布局基本合理可行。在严格落实本环评报告提出的各项污染物防治措施的前提下，污染物能实现达标排放，不会对周围环境质量造成明显不利影响。从环保角度分析，该项目建设是可行的。</w:t>
            </w:r>
          </w:p>
          <w:p w14:paraId="199B2B9B">
            <w:pPr>
              <w:rPr>
                <w:rFonts w:ascii="Times New Roman" w:hAnsi="Times New Roman" w:eastAsia="宋体" w:cs="宋体"/>
                <w:color w:val="auto"/>
                <w:highlight w:val="none"/>
              </w:rPr>
            </w:pPr>
          </w:p>
        </w:tc>
      </w:tr>
    </w:tbl>
    <w:p w14:paraId="3CAF7BB5">
      <w:pPr>
        <w:rPr>
          <w:rFonts w:ascii="Times New Roman" w:hAnsi="Times New Roman" w:eastAsia="宋体" w:cs="宋体"/>
          <w:color w:val="auto"/>
          <w:highlight w:val="none"/>
        </w:rPr>
        <w:sectPr>
          <w:pgSz w:w="11906" w:h="16838"/>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04A1B98E">
      <w:pPr>
        <w:widowControl w:val="0"/>
        <w:wordWrap w:val="0"/>
        <w:topLinePunct/>
        <w:bidi w:val="0"/>
        <w:spacing w:line="360" w:lineRule="auto"/>
        <w:ind w:firstLine="0" w:firstLineChars="0"/>
        <w:jc w:val="left"/>
        <w:outlineLvl w:val="0"/>
        <w:rPr>
          <w:rFonts w:hint="eastAsia" w:ascii="Times New Roman" w:hAnsi="Times New Roman" w:eastAsia="宋体" w:cs="宋体"/>
          <w:b/>
          <w:snapToGrid w:val="0"/>
          <w:color w:val="auto"/>
          <w:kern w:val="2"/>
          <w:sz w:val="30"/>
          <w:szCs w:val="30"/>
          <w:highlight w:val="none"/>
          <w:lang w:val="en-US" w:eastAsia="zh-CN" w:bidi="ar-SA"/>
        </w:rPr>
      </w:pPr>
      <w:bookmarkStart w:id="14" w:name="_Toc17027"/>
      <w:r>
        <w:rPr>
          <w:rFonts w:hint="eastAsia" w:ascii="Times New Roman" w:hAnsi="Times New Roman" w:eastAsia="宋体" w:cs="宋体"/>
          <w:b/>
          <w:snapToGrid w:val="0"/>
          <w:color w:val="auto"/>
          <w:kern w:val="2"/>
          <w:sz w:val="30"/>
          <w:szCs w:val="30"/>
          <w:highlight w:val="none"/>
          <w:lang w:val="en-US" w:eastAsia="zh-CN" w:bidi="ar-SA"/>
        </w:rPr>
        <w:t>附表：建设项目污染物排放量汇总表</w:t>
      </w:r>
      <w:bookmarkEnd w:id="14"/>
    </w:p>
    <w:p w14:paraId="460CA8C4">
      <w:pPr>
        <w:keepNext w:val="0"/>
        <w:keepLines w:val="0"/>
        <w:pageBreakBefore w:val="0"/>
        <w:widowControl w:val="0"/>
        <w:kinsoku/>
        <w:wordWrap w:val="0"/>
        <w:overflowPunct/>
        <w:topLinePunct/>
        <w:autoSpaceDE/>
        <w:autoSpaceDN/>
        <w:bidi w:val="0"/>
        <w:adjustRightInd/>
        <w:snapToGrid/>
        <w:spacing w:line="360" w:lineRule="auto"/>
        <w:ind w:firstLine="0" w:firstLineChars="0"/>
        <w:jc w:val="center"/>
        <w:textAlignment w:val="auto"/>
        <w:outlineLvl w:val="9"/>
        <w:rPr>
          <w:rFonts w:hint="eastAsia" w:ascii="Times New Roman" w:hAnsi="Times New Roman" w:eastAsia="宋体" w:cs="宋体"/>
          <w:b/>
          <w:snapToGrid w:val="0"/>
          <w:color w:val="auto"/>
          <w:kern w:val="2"/>
          <w:sz w:val="36"/>
          <w:szCs w:val="36"/>
          <w:highlight w:val="none"/>
          <w:lang w:val="en-US" w:eastAsia="zh-CN" w:bidi="ar-SA"/>
        </w:rPr>
      </w:pPr>
      <w:r>
        <w:rPr>
          <w:rFonts w:hint="eastAsia" w:ascii="Times New Roman" w:hAnsi="Times New Roman" w:eastAsia="宋体" w:cs="宋体"/>
          <w:b/>
          <w:snapToGrid w:val="0"/>
          <w:color w:val="auto"/>
          <w:kern w:val="2"/>
          <w:sz w:val="36"/>
          <w:szCs w:val="36"/>
          <w:highlight w:val="none"/>
          <w:lang w:val="en-US" w:eastAsia="zh-CN" w:bidi="ar-SA"/>
        </w:rPr>
        <w:t>建设项目污染物排放量汇总表</w:t>
      </w:r>
    </w:p>
    <w:p w14:paraId="4E789A97">
      <w:pPr>
        <w:widowControl w:val="0"/>
        <w:wordWrap w:val="0"/>
        <w:topLinePunct/>
        <w:bidi w:val="0"/>
        <w:spacing w:line="240" w:lineRule="auto"/>
        <w:ind w:firstLine="0" w:firstLineChars="0"/>
        <w:jc w:val="right"/>
        <w:rPr>
          <w:rFonts w:hint="eastAsia" w:ascii="Times New Roman" w:hAnsi="Times New Roman" w:eastAsia="宋体" w:cs="宋体"/>
          <w:b w:val="0"/>
          <w:bCs/>
          <w:color w:val="auto"/>
          <w:kern w:val="2"/>
          <w:sz w:val="24"/>
          <w:szCs w:val="24"/>
          <w:highlight w:val="none"/>
          <w:lang w:val="en-US" w:eastAsia="zh-CN" w:bidi="ar-SA"/>
        </w:rPr>
      </w:pPr>
      <w:r>
        <w:rPr>
          <w:rFonts w:hint="eastAsia" w:ascii="Times New Roman" w:hAnsi="Times New Roman" w:eastAsia="宋体" w:cs="宋体"/>
          <w:b w:val="0"/>
          <w:bCs/>
          <w:color w:val="auto"/>
          <w:kern w:val="2"/>
          <w:sz w:val="24"/>
          <w:szCs w:val="24"/>
          <w:highlight w:val="none"/>
          <w:lang w:val="en-US" w:eastAsia="zh-CN" w:bidi="ar-SA"/>
        </w:rPr>
        <w:t>单位：t/a</w:t>
      </w:r>
    </w:p>
    <w:tbl>
      <w:tblPr>
        <w:tblStyle w:val="23"/>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532"/>
        <w:gridCol w:w="1365"/>
        <w:gridCol w:w="1386"/>
        <w:gridCol w:w="1080"/>
        <w:gridCol w:w="1548"/>
        <w:gridCol w:w="1726"/>
        <w:gridCol w:w="1561"/>
        <w:gridCol w:w="1769"/>
        <w:gridCol w:w="1322"/>
      </w:tblGrid>
      <w:tr w14:paraId="04A455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576" w:type="pct"/>
            <w:tcBorders>
              <w:tl2br w:val="single" w:color="auto" w:sz="4" w:space="0"/>
            </w:tcBorders>
            <w:noWrap w:val="0"/>
            <w:tcMar>
              <w:left w:w="28" w:type="dxa"/>
              <w:right w:w="28" w:type="dxa"/>
            </w:tcMar>
            <w:vAlign w:val="center"/>
          </w:tcPr>
          <w:p w14:paraId="0AAE8F99">
            <w:pPr>
              <w:keepNext w:val="0"/>
              <w:keepLines w:val="0"/>
              <w:pageBreakBefore w:val="0"/>
              <w:widowControl w:val="0"/>
              <w:kinsoku/>
              <w:wordWrap w:val="0"/>
              <w:overflowPunct/>
              <w:topLinePunct/>
              <w:autoSpaceDE/>
              <w:autoSpaceDN/>
              <w:bidi w:val="0"/>
              <w:spacing w:line="240" w:lineRule="auto"/>
              <w:ind w:firstLine="0" w:firstLineChars="0"/>
              <w:jc w:val="right"/>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项目</w:t>
            </w:r>
          </w:p>
          <w:p w14:paraId="5151B10B">
            <w:pPr>
              <w:keepNext w:val="0"/>
              <w:keepLines w:val="0"/>
              <w:pageBreakBefore w:val="0"/>
              <w:widowControl w:val="0"/>
              <w:kinsoku/>
              <w:wordWrap w:val="0"/>
              <w:overflowPunct/>
              <w:topLinePunct/>
              <w:autoSpaceDE/>
              <w:autoSpaceDN/>
              <w:bidi w:val="0"/>
              <w:spacing w:line="240" w:lineRule="auto"/>
              <w:ind w:firstLine="0" w:firstLineChars="0"/>
              <w:jc w:val="left"/>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分类</w:t>
            </w:r>
          </w:p>
        </w:tc>
        <w:tc>
          <w:tcPr>
            <w:tcW w:w="513" w:type="pct"/>
            <w:noWrap w:val="0"/>
            <w:tcMar>
              <w:left w:w="28" w:type="dxa"/>
              <w:right w:w="28" w:type="dxa"/>
            </w:tcMar>
            <w:vAlign w:val="center"/>
          </w:tcPr>
          <w:p w14:paraId="01B2C503">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污染物名称</w:t>
            </w:r>
          </w:p>
        </w:tc>
        <w:tc>
          <w:tcPr>
            <w:tcW w:w="521" w:type="pct"/>
            <w:noWrap w:val="0"/>
            <w:tcMar>
              <w:left w:w="28" w:type="dxa"/>
              <w:right w:w="28" w:type="dxa"/>
            </w:tcMar>
            <w:vAlign w:val="center"/>
          </w:tcPr>
          <w:p w14:paraId="73DBD1AD">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现有工程</w:t>
            </w:r>
          </w:p>
          <w:p w14:paraId="0745CA37">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排放量（固体废物产生量）</w:t>
            </w:r>
            <w:r>
              <w:rPr>
                <w:rFonts w:hint="default" w:ascii="Times New Roman" w:hAnsi="Times New Roman" w:eastAsia="宋体" w:cs="Times New Roman"/>
                <w:b/>
                <w:bCs/>
                <w:snapToGrid w:val="0"/>
                <w:color w:val="auto"/>
                <w:spacing w:val="-6"/>
                <w:kern w:val="21"/>
                <w:sz w:val="24"/>
                <w:szCs w:val="24"/>
                <w:highlight w:val="none"/>
              </w:rPr>
              <w:fldChar w:fldCharType="begin"/>
            </w:r>
            <w:r>
              <w:rPr>
                <w:rFonts w:hint="default" w:ascii="Times New Roman" w:hAnsi="Times New Roman" w:eastAsia="宋体" w:cs="Times New Roman"/>
                <w:b/>
                <w:bCs/>
                <w:snapToGrid w:val="0"/>
                <w:color w:val="auto"/>
                <w:spacing w:val="-6"/>
                <w:kern w:val="21"/>
                <w:sz w:val="24"/>
                <w:szCs w:val="24"/>
                <w:highlight w:val="none"/>
              </w:rPr>
              <w:instrText xml:space="preserve"> = 1 \* GB3 \* MERGEFORMAT </w:instrText>
            </w:r>
            <w:r>
              <w:rPr>
                <w:rFonts w:hint="default" w:ascii="Times New Roman" w:hAnsi="Times New Roman" w:eastAsia="宋体" w:cs="Times New Roman"/>
                <w:b/>
                <w:bCs/>
                <w:snapToGrid w:val="0"/>
                <w:color w:val="auto"/>
                <w:spacing w:val="-6"/>
                <w:kern w:val="21"/>
                <w:sz w:val="24"/>
                <w:szCs w:val="24"/>
                <w:highlight w:val="none"/>
              </w:rPr>
              <w:fldChar w:fldCharType="separate"/>
            </w:r>
            <w:r>
              <w:rPr>
                <w:rFonts w:hint="default" w:ascii="Times New Roman" w:hAnsi="Times New Roman" w:eastAsia="宋体" w:cs="Times New Roman"/>
                <w:b/>
                <w:bCs/>
                <w:color w:val="auto"/>
                <w:sz w:val="24"/>
                <w:szCs w:val="24"/>
                <w:highlight w:val="none"/>
              </w:rPr>
              <w:t>①</w:t>
            </w:r>
            <w:r>
              <w:rPr>
                <w:rFonts w:hint="default" w:ascii="Times New Roman" w:hAnsi="Times New Roman" w:eastAsia="宋体" w:cs="Times New Roman"/>
                <w:b/>
                <w:bCs/>
                <w:snapToGrid w:val="0"/>
                <w:color w:val="auto"/>
                <w:spacing w:val="-6"/>
                <w:kern w:val="21"/>
                <w:sz w:val="24"/>
                <w:szCs w:val="24"/>
                <w:highlight w:val="none"/>
              </w:rPr>
              <w:fldChar w:fldCharType="end"/>
            </w:r>
          </w:p>
        </w:tc>
        <w:tc>
          <w:tcPr>
            <w:tcW w:w="406" w:type="pct"/>
            <w:noWrap w:val="0"/>
            <w:tcMar>
              <w:left w:w="28" w:type="dxa"/>
              <w:right w:w="28" w:type="dxa"/>
            </w:tcMar>
            <w:vAlign w:val="center"/>
          </w:tcPr>
          <w:p w14:paraId="4C490EE5">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现有工程</w:t>
            </w:r>
          </w:p>
          <w:p w14:paraId="47D5A00E">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许可排放量</w:t>
            </w:r>
          </w:p>
          <w:p w14:paraId="7480B154">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fldChar w:fldCharType="begin"/>
            </w:r>
            <w:r>
              <w:rPr>
                <w:rFonts w:hint="default" w:ascii="Times New Roman" w:hAnsi="Times New Roman" w:eastAsia="宋体" w:cs="Times New Roman"/>
                <w:b/>
                <w:bCs/>
                <w:snapToGrid w:val="0"/>
                <w:color w:val="auto"/>
                <w:spacing w:val="-6"/>
                <w:kern w:val="21"/>
                <w:sz w:val="24"/>
                <w:szCs w:val="24"/>
                <w:highlight w:val="none"/>
              </w:rPr>
              <w:instrText xml:space="preserve"> = 2 \* GB3 \* MERGEFORMAT </w:instrText>
            </w:r>
            <w:r>
              <w:rPr>
                <w:rFonts w:hint="default" w:ascii="Times New Roman" w:hAnsi="Times New Roman" w:eastAsia="宋体" w:cs="Times New Roman"/>
                <w:b/>
                <w:bCs/>
                <w:snapToGrid w:val="0"/>
                <w:color w:val="auto"/>
                <w:spacing w:val="-6"/>
                <w:kern w:val="21"/>
                <w:sz w:val="24"/>
                <w:szCs w:val="24"/>
                <w:highlight w:val="none"/>
              </w:rPr>
              <w:fldChar w:fldCharType="separate"/>
            </w:r>
            <w:r>
              <w:rPr>
                <w:rFonts w:hint="default" w:ascii="Times New Roman" w:hAnsi="Times New Roman" w:eastAsia="宋体" w:cs="Times New Roman"/>
                <w:b/>
                <w:bCs/>
                <w:snapToGrid w:val="0"/>
                <w:color w:val="auto"/>
                <w:spacing w:val="-6"/>
                <w:kern w:val="21"/>
                <w:sz w:val="24"/>
                <w:szCs w:val="24"/>
                <w:highlight w:val="none"/>
              </w:rPr>
              <w:t>②</w:t>
            </w:r>
            <w:r>
              <w:rPr>
                <w:rFonts w:hint="default" w:ascii="Times New Roman" w:hAnsi="Times New Roman" w:eastAsia="宋体" w:cs="Times New Roman"/>
                <w:b/>
                <w:bCs/>
                <w:snapToGrid w:val="0"/>
                <w:color w:val="auto"/>
                <w:spacing w:val="-6"/>
                <w:kern w:val="21"/>
                <w:sz w:val="24"/>
                <w:szCs w:val="24"/>
                <w:highlight w:val="none"/>
              </w:rPr>
              <w:fldChar w:fldCharType="end"/>
            </w:r>
          </w:p>
        </w:tc>
        <w:tc>
          <w:tcPr>
            <w:tcW w:w="582" w:type="pct"/>
            <w:noWrap w:val="0"/>
            <w:tcMar>
              <w:left w:w="28" w:type="dxa"/>
              <w:right w:w="28" w:type="dxa"/>
            </w:tcMar>
            <w:vAlign w:val="center"/>
          </w:tcPr>
          <w:p w14:paraId="2103F804">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在建工程</w:t>
            </w:r>
          </w:p>
          <w:p w14:paraId="6A7AAA47">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排放量（固体废物产生量）</w:t>
            </w:r>
            <w:r>
              <w:rPr>
                <w:rFonts w:hint="default" w:ascii="Times New Roman" w:hAnsi="Times New Roman" w:eastAsia="宋体" w:cs="Times New Roman"/>
                <w:b/>
                <w:bCs/>
                <w:snapToGrid w:val="0"/>
                <w:color w:val="auto"/>
                <w:spacing w:val="-6"/>
                <w:kern w:val="21"/>
                <w:sz w:val="24"/>
                <w:szCs w:val="24"/>
                <w:highlight w:val="none"/>
              </w:rPr>
              <w:fldChar w:fldCharType="begin"/>
            </w:r>
            <w:r>
              <w:rPr>
                <w:rFonts w:hint="default" w:ascii="Times New Roman" w:hAnsi="Times New Roman" w:eastAsia="宋体" w:cs="Times New Roman"/>
                <w:b/>
                <w:bCs/>
                <w:snapToGrid w:val="0"/>
                <w:color w:val="auto"/>
                <w:spacing w:val="-6"/>
                <w:kern w:val="21"/>
                <w:sz w:val="24"/>
                <w:szCs w:val="24"/>
                <w:highlight w:val="none"/>
              </w:rPr>
              <w:instrText xml:space="preserve"> = 3 \* GB3 \* MERGEFORMAT </w:instrText>
            </w:r>
            <w:r>
              <w:rPr>
                <w:rFonts w:hint="default" w:ascii="Times New Roman" w:hAnsi="Times New Roman" w:eastAsia="宋体" w:cs="Times New Roman"/>
                <w:b/>
                <w:bCs/>
                <w:snapToGrid w:val="0"/>
                <w:color w:val="auto"/>
                <w:spacing w:val="-6"/>
                <w:kern w:val="21"/>
                <w:sz w:val="24"/>
                <w:szCs w:val="24"/>
                <w:highlight w:val="none"/>
              </w:rPr>
              <w:fldChar w:fldCharType="separate"/>
            </w:r>
            <w:r>
              <w:rPr>
                <w:rFonts w:hint="default" w:ascii="Times New Roman" w:hAnsi="Times New Roman" w:eastAsia="宋体" w:cs="Times New Roman"/>
                <w:b/>
                <w:bCs/>
                <w:color w:val="auto"/>
                <w:sz w:val="24"/>
                <w:szCs w:val="24"/>
                <w:highlight w:val="none"/>
              </w:rPr>
              <w:t>③</w:t>
            </w:r>
            <w:r>
              <w:rPr>
                <w:rFonts w:hint="default" w:ascii="Times New Roman" w:hAnsi="Times New Roman" w:eastAsia="宋体" w:cs="Times New Roman"/>
                <w:b/>
                <w:bCs/>
                <w:snapToGrid w:val="0"/>
                <w:color w:val="auto"/>
                <w:spacing w:val="-6"/>
                <w:kern w:val="21"/>
                <w:sz w:val="24"/>
                <w:szCs w:val="24"/>
                <w:highlight w:val="none"/>
              </w:rPr>
              <w:fldChar w:fldCharType="end"/>
            </w:r>
          </w:p>
        </w:tc>
        <w:tc>
          <w:tcPr>
            <w:tcW w:w="649" w:type="pct"/>
            <w:noWrap w:val="0"/>
            <w:tcMar>
              <w:left w:w="28" w:type="dxa"/>
              <w:right w:w="28" w:type="dxa"/>
            </w:tcMar>
            <w:vAlign w:val="center"/>
          </w:tcPr>
          <w:p w14:paraId="21F51050">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本项目</w:t>
            </w:r>
          </w:p>
          <w:p w14:paraId="29F8C0E3">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排放量（固体废物产生量）</w:t>
            </w:r>
            <w:r>
              <w:rPr>
                <w:rFonts w:hint="default" w:ascii="Times New Roman" w:hAnsi="Times New Roman" w:eastAsia="宋体" w:cs="Times New Roman"/>
                <w:b/>
                <w:bCs/>
                <w:snapToGrid w:val="0"/>
                <w:color w:val="auto"/>
                <w:spacing w:val="-6"/>
                <w:kern w:val="21"/>
                <w:sz w:val="24"/>
                <w:szCs w:val="24"/>
                <w:highlight w:val="none"/>
              </w:rPr>
              <w:fldChar w:fldCharType="begin"/>
            </w:r>
            <w:r>
              <w:rPr>
                <w:rFonts w:hint="default" w:ascii="Times New Roman" w:hAnsi="Times New Roman" w:eastAsia="宋体" w:cs="Times New Roman"/>
                <w:b/>
                <w:bCs/>
                <w:snapToGrid w:val="0"/>
                <w:color w:val="auto"/>
                <w:spacing w:val="-6"/>
                <w:kern w:val="21"/>
                <w:sz w:val="24"/>
                <w:szCs w:val="24"/>
                <w:highlight w:val="none"/>
              </w:rPr>
              <w:instrText xml:space="preserve"> = 4 \* GB3 \* MERGEFORMAT </w:instrText>
            </w:r>
            <w:r>
              <w:rPr>
                <w:rFonts w:hint="default" w:ascii="Times New Roman" w:hAnsi="Times New Roman" w:eastAsia="宋体" w:cs="Times New Roman"/>
                <w:b/>
                <w:bCs/>
                <w:snapToGrid w:val="0"/>
                <w:color w:val="auto"/>
                <w:spacing w:val="-6"/>
                <w:kern w:val="21"/>
                <w:sz w:val="24"/>
                <w:szCs w:val="24"/>
                <w:highlight w:val="none"/>
              </w:rPr>
              <w:fldChar w:fldCharType="separate"/>
            </w:r>
            <w:r>
              <w:rPr>
                <w:rFonts w:hint="default" w:ascii="Times New Roman" w:hAnsi="Times New Roman" w:eastAsia="宋体" w:cs="Times New Roman"/>
                <w:b/>
                <w:bCs/>
                <w:color w:val="auto"/>
                <w:sz w:val="24"/>
                <w:szCs w:val="24"/>
                <w:highlight w:val="none"/>
              </w:rPr>
              <w:t>④</w:t>
            </w:r>
            <w:r>
              <w:rPr>
                <w:rFonts w:hint="default" w:ascii="Times New Roman" w:hAnsi="Times New Roman" w:eastAsia="宋体" w:cs="Times New Roman"/>
                <w:b/>
                <w:bCs/>
                <w:snapToGrid w:val="0"/>
                <w:color w:val="auto"/>
                <w:spacing w:val="-6"/>
                <w:kern w:val="21"/>
                <w:sz w:val="24"/>
                <w:szCs w:val="24"/>
                <w:highlight w:val="none"/>
              </w:rPr>
              <w:fldChar w:fldCharType="end"/>
            </w:r>
            <w:r>
              <w:rPr>
                <w:rFonts w:hint="default" w:ascii="Times New Roman" w:hAnsi="Times New Roman" w:eastAsia="宋体" w:cs="Times New Roman"/>
                <w:b/>
                <w:bCs/>
                <w:snapToGrid w:val="0"/>
                <w:color w:val="auto"/>
                <w:spacing w:val="-6"/>
                <w:kern w:val="21"/>
                <w:sz w:val="24"/>
                <w:szCs w:val="24"/>
                <w:highlight w:val="none"/>
              </w:rPr>
              <w:t>t/a</w:t>
            </w:r>
          </w:p>
        </w:tc>
        <w:tc>
          <w:tcPr>
            <w:tcW w:w="587" w:type="pct"/>
            <w:noWrap w:val="0"/>
            <w:tcMar>
              <w:left w:w="28" w:type="dxa"/>
              <w:right w:w="28" w:type="dxa"/>
            </w:tcMar>
            <w:vAlign w:val="center"/>
          </w:tcPr>
          <w:p w14:paraId="55C56F16">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16"/>
                <w:kern w:val="21"/>
                <w:sz w:val="24"/>
                <w:szCs w:val="24"/>
                <w:highlight w:val="none"/>
              </w:rPr>
            </w:pPr>
            <w:r>
              <w:rPr>
                <w:rFonts w:hint="default" w:ascii="Times New Roman" w:hAnsi="Times New Roman" w:eastAsia="宋体" w:cs="Times New Roman"/>
                <w:b/>
                <w:bCs/>
                <w:snapToGrid w:val="0"/>
                <w:color w:val="auto"/>
                <w:spacing w:val="-16"/>
                <w:kern w:val="21"/>
                <w:sz w:val="24"/>
                <w:szCs w:val="24"/>
                <w:highlight w:val="none"/>
              </w:rPr>
              <w:t>以新带老削减量</w:t>
            </w:r>
          </w:p>
          <w:p w14:paraId="5DB13E10">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16"/>
                <w:kern w:val="21"/>
                <w:sz w:val="24"/>
                <w:szCs w:val="24"/>
                <w:highlight w:val="none"/>
              </w:rPr>
            </w:pPr>
            <w:r>
              <w:rPr>
                <w:rFonts w:hint="default" w:ascii="Times New Roman" w:hAnsi="Times New Roman" w:eastAsia="宋体" w:cs="Times New Roman"/>
                <w:b/>
                <w:bCs/>
                <w:snapToGrid w:val="0"/>
                <w:color w:val="auto"/>
                <w:spacing w:val="-16"/>
                <w:kern w:val="21"/>
                <w:sz w:val="24"/>
                <w:szCs w:val="24"/>
                <w:highlight w:val="none"/>
              </w:rPr>
              <w:t>（新建项目不填）</w:t>
            </w:r>
            <w:r>
              <w:rPr>
                <w:rFonts w:hint="default" w:ascii="Times New Roman" w:hAnsi="Times New Roman" w:eastAsia="宋体" w:cs="Times New Roman"/>
                <w:b/>
                <w:bCs/>
                <w:snapToGrid w:val="0"/>
                <w:color w:val="auto"/>
                <w:spacing w:val="-16"/>
                <w:kern w:val="21"/>
                <w:sz w:val="24"/>
                <w:szCs w:val="24"/>
                <w:highlight w:val="none"/>
              </w:rPr>
              <w:fldChar w:fldCharType="begin"/>
            </w:r>
            <w:r>
              <w:rPr>
                <w:rFonts w:hint="default" w:ascii="Times New Roman" w:hAnsi="Times New Roman" w:eastAsia="宋体" w:cs="Times New Roman"/>
                <w:b/>
                <w:bCs/>
                <w:snapToGrid w:val="0"/>
                <w:color w:val="auto"/>
                <w:spacing w:val="-16"/>
                <w:kern w:val="21"/>
                <w:sz w:val="24"/>
                <w:szCs w:val="24"/>
                <w:highlight w:val="none"/>
              </w:rPr>
              <w:instrText xml:space="preserve"> = 5 \* GB3 \* MERGEFORMAT </w:instrText>
            </w:r>
            <w:r>
              <w:rPr>
                <w:rFonts w:hint="default" w:ascii="Times New Roman" w:hAnsi="Times New Roman" w:eastAsia="宋体" w:cs="Times New Roman"/>
                <w:b/>
                <w:bCs/>
                <w:snapToGrid w:val="0"/>
                <w:color w:val="auto"/>
                <w:spacing w:val="-16"/>
                <w:kern w:val="21"/>
                <w:sz w:val="24"/>
                <w:szCs w:val="24"/>
                <w:highlight w:val="none"/>
              </w:rPr>
              <w:fldChar w:fldCharType="separate"/>
            </w:r>
            <w:r>
              <w:rPr>
                <w:rFonts w:hint="default" w:ascii="Times New Roman" w:hAnsi="Times New Roman" w:eastAsia="宋体" w:cs="Times New Roman"/>
                <w:b/>
                <w:bCs/>
                <w:color w:val="auto"/>
                <w:sz w:val="24"/>
                <w:szCs w:val="24"/>
                <w:highlight w:val="none"/>
              </w:rPr>
              <w:t>⑤</w:t>
            </w:r>
            <w:r>
              <w:rPr>
                <w:rFonts w:hint="default" w:ascii="Times New Roman" w:hAnsi="Times New Roman" w:eastAsia="宋体" w:cs="Times New Roman"/>
                <w:b/>
                <w:bCs/>
                <w:snapToGrid w:val="0"/>
                <w:color w:val="auto"/>
                <w:spacing w:val="-16"/>
                <w:kern w:val="21"/>
                <w:sz w:val="24"/>
                <w:szCs w:val="24"/>
                <w:highlight w:val="none"/>
              </w:rPr>
              <w:fldChar w:fldCharType="end"/>
            </w:r>
          </w:p>
        </w:tc>
        <w:tc>
          <w:tcPr>
            <w:tcW w:w="665" w:type="pct"/>
            <w:noWrap w:val="0"/>
            <w:tcMar>
              <w:left w:w="28" w:type="dxa"/>
              <w:right w:w="28" w:type="dxa"/>
            </w:tcMar>
            <w:vAlign w:val="center"/>
          </w:tcPr>
          <w:p w14:paraId="55AEEF46">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16"/>
                <w:kern w:val="21"/>
                <w:sz w:val="24"/>
                <w:szCs w:val="24"/>
                <w:highlight w:val="none"/>
              </w:rPr>
            </w:pPr>
            <w:r>
              <w:rPr>
                <w:rFonts w:hint="default" w:ascii="Times New Roman" w:hAnsi="Times New Roman" w:eastAsia="宋体" w:cs="Times New Roman"/>
                <w:b/>
                <w:bCs/>
                <w:snapToGrid w:val="0"/>
                <w:color w:val="auto"/>
                <w:spacing w:val="-16"/>
                <w:kern w:val="21"/>
                <w:sz w:val="24"/>
                <w:szCs w:val="24"/>
                <w:highlight w:val="none"/>
              </w:rPr>
              <w:t>本项目建成后</w:t>
            </w:r>
          </w:p>
          <w:p w14:paraId="183541D3">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16"/>
                <w:kern w:val="21"/>
                <w:sz w:val="24"/>
                <w:szCs w:val="24"/>
                <w:highlight w:val="none"/>
              </w:rPr>
            </w:pPr>
            <w:r>
              <w:rPr>
                <w:rFonts w:hint="default" w:ascii="Times New Roman" w:hAnsi="Times New Roman" w:eastAsia="宋体" w:cs="Times New Roman"/>
                <w:b/>
                <w:bCs/>
                <w:snapToGrid w:val="0"/>
                <w:color w:val="auto"/>
                <w:spacing w:val="-16"/>
                <w:kern w:val="21"/>
                <w:sz w:val="24"/>
                <w:szCs w:val="24"/>
                <w:highlight w:val="none"/>
              </w:rPr>
              <w:t>全厂排放量（固体废物产生量）</w:t>
            </w:r>
            <w:r>
              <w:rPr>
                <w:rFonts w:hint="default" w:ascii="Times New Roman" w:hAnsi="Times New Roman" w:eastAsia="宋体" w:cs="Times New Roman"/>
                <w:b/>
                <w:bCs/>
                <w:snapToGrid w:val="0"/>
                <w:color w:val="auto"/>
                <w:spacing w:val="-16"/>
                <w:kern w:val="21"/>
                <w:sz w:val="24"/>
                <w:szCs w:val="24"/>
                <w:highlight w:val="none"/>
              </w:rPr>
              <w:fldChar w:fldCharType="begin"/>
            </w:r>
            <w:r>
              <w:rPr>
                <w:rFonts w:hint="default" w:ascii="Times New Roman" w:hAnsi="Times New Roman" w:eastAsia="宋体" w:cs="Times New Roman"/>
                <w:b/>
                <w:bCs/>
                <w:snapToGrid w:val="0"/>
                <w:color w:val="auto"/>
                <w:spacing w:val="-16"/>
                <w:kern w:val="21"/>
                <w:sz w:val="24"/>
                <w:szCs w:val="24"/>
                <w:highlight w:val="none"/>
              </w:rPr>
              <w:instrText xml:space="preserve"> = 6 \* GB3 \* MERGEFORMAT </w:instrText>
            </w:r>
            <w:r>
              <w:rPr>
                <w:rFonts w:hint="default" w:ascii="Times New Roman" w:hAnsi="Times New Roman" w:eastAsia="宋体" w:cs="Times New Roman"/>
                <w:b/>
                <w:bCs/>
                <w:snapToGrid w:val="0"/>
                <w:color w:val="auto"/>
                <w:spacing w:val="-16"/>
                <w:kern w:val="21"/>
                <w:sz w:val="24"/>
                <w:szCs w:val="24"/>
                <w:highlight w:val="none"/>
              </w:rPr>
              <w:fldChar w:fldCharType="separate"/>
            </w:r>
            <w:r>
              <w:rPr>
                <w:rFonts w:hint="default" w:ascii="Times New Roman" w:hAnsi="Times New Roman" w:eastAsia="宋体" w:cs="Times New Roman"/>
                <w:b/>
                <w:bCs/>
                <w:color w:val="auto"/>
                <w:sz w:val="24"/>
                <w:szCs w:val="24"/>
                <w:highlight w:val="none"/>
              </w:rPr>
              <w:t>⑥</w:t>
            </w:r>
            <w:r>
              <w:rPr>
                <w:rFonts w:hint="default" w:ascii="Times New Roman" w:hAnsi="Times New Roman" w:eastAsia="宋体" w:cs="Times New Roman"/>
                <w:b/>
                <w:bCs/>
                <w:snapToGrid w:val="0"/>
                <w:color w:val="auto"/>
                <w:spacing w:val="-16"/>
                <w:kern w:val="21"/>
                <w:sz w:val="24"/>
                <w:szCs w:val="24"/>
                <w:highlight w:val="none"/>
              </w:rPr>
              <w:fldChar w:fldCharType="end"/>
            </w:r>
            <w:r>
              <w:rPr>
                <w:rFonts w:hint="default" w:ascii="Times New Roman" w:hAnsi="Times New Roman" w:eastAsia="宋体" w:cs="Times New Roman"/>
                <w:b/>
                <w:bCs/>
                <w:snapToGrid w:val="0"/>
                <w:color w:val="auto"/>
                <w:spacing w:val="-6"/>
                <w:kern w:val="21"/>
                <w:sz w:val="24"/>
                <w:szCs w:val="24"/>
                <w:highlight w:val="none"/>
              </w:rPr>
              <w:t>t/a</w:t>
            </w:r>
          </w:p>
        </w:tc>
        <w:tc>
          <w:tcPr>
            <w:tcW w:w="497" w:type="pct"/>
            <w:noWrap w:val="0"/>
            <w:tcMar>
              <w:left w:w="28" w:type="dxa"/>
              <w:right w:w="28" w:type="dxa"/>
            </w:tcMar>
            <w:vAlign w:val="center"/>
          </w:tcPr>
          <w:p w14:paraId="2C8B1174">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变化量</w:t>
            </w:r>
          </w:p>
          <w:p w14:paraId="3EA45450">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fldChar w:fldCharType="begin"/>
            </w:r>
            <w:r>
              <w:rPr>
                <w:rFonts w:hint="default" w:ascii="Times New Roman" w:hAnsi="Times New Roman" w:eastAsia="宋体" w:cs="Times New Roman"/>
                <w:b/>
                <w:bCs/>
                <w:snapToGrid w:val="0"/>
                <w:color w:val="auto"/>
                <w:spacing w:val="-6"/>
                <w:kern w:val="21"/>
                <w:sz w:val="24"/>
                <w:szCs w:val="24"/>
                <w:highlight w:val="none"/>
              </w:rPr>
              <w:instrText xml:space="preserve"> = 7 \* GB3 \* MERGEFORMAT </w:instrText>
            </w:r>
            <w:r>
              <w:rPr>
                <w:rFonts w:hint="default" w:ascii="Times New Roman" w:hAnsi="Times New Roman" w:eastAsia="宋体" w:cs="Times New Roman"/>
                <w:b/>
                <w:bCs/>
                <w:snapToGrid w:val="0"/>
                <w:color w:val="auto"/>
                <w:spacing w:val="-6"/>
                <w:kern w:val="21"/>
                <w:sz w:val="24"/>
                <w:szCs w:val="24"/>
                <w:highlight w:val="none"/>
              </w:rPr>
              <w:fldChar w:fldCharType="separate"/>
            </w:r>
            <w:r>
              <w:rPr>
                <w:rFonts w:hint="default" w:ascii="Times New Roman" w:hAnsi="Times New Roman" w:eastAsia="宋体" w:cs="Times New Roman"/>
                <w:b/>
                <w:bCs/>
                <w:color w:val="auto"/>
                <w:sz w:val="24"/>
                <w:szCs w:val="24"/>
                <w:highlight w:val="none"/>
              </w:rPr>
              <w:t>⑦</w:t>
            </w:r>
            <w:r>
              <w:rPr>
                <w:rFonts w:hint="default" w:ascii="Times New Roman" w:hAnsi="Times New Roman" w:eastAsia="宋体" w:cs="Times New Roman"/>
                <w:b/>
                <w:bCs/>
                <w:snapToGrid w:val="0"/>
                <w:color w:val="auto"/>
                <w:spacing w:val="-6"/>
                <w:kern w:val="21"/>
                <w:sz w:val="24"/>
                <w:szCs w:val="24"/>
                <w:highlight w:val="none"/>
              </w:rPr>
              <w:fldChar w:fldCharType="end"/>
            </w:r>
            <w:r>
              <w:rPr>
                <w:rFonts w:hint="default" w:ascii="Times New Roman" w:hAnsi="Times New Roman" w:eastAsia="宋体" w:cs="Times New Roman"/>
                <w:b/>
                <w:bCs/>
                <w:snapToGrid w:val="0"/>
                <w:color w:val="auto"/>
                <w:spacing w:val="-6"/>
                <w:kern w:val="21"/>
                <w:sz w:val="24"/>
                <w:szCs w:val="24"/>
                <w:highlight w:val="none"/>
              </w:rPr>
              <w:t>t/a</w:t>
            </w:r>
          </w:p>
        </w:tc>
      </w:tr>
      <w:tr w14:paraId="4CEA3D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6" w:type="pct"/>
            <w:noWrap w:val="0"/>
            <w:vAlign w:val="center"/>
          </w:tcPr>
          <w:p w14:paraId="1DBEA484">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eastAsia="zh-CN"/>
              </w:rPr>
            </w:pPr>
            <w:r>
              <w:rPr>
                <w:rFonts w:hint="eastAsia" w:cs="Times New Roman"/>
                <w:color w:val="auto"/>
                <w:sz w:val="24"/>
                <w:szCs w:val="24"/>
                <w:highlight w:val="none"/>
                <w:lang w:val="en-US" w:eastAsia="zh-CN"/>
              </w:rPr>
              <w:t>废气</w:t>
            </w:r>
          </w:p>
        </w:tc>
        <w:tc>
          <w:tcPr>
            <w:tcW w:w="513" w:type="pct"/>
            <w:noWrap w:val="0"/>
            <w:vAlign w:val="center"/>
          </w:tcPr>
          <w:p w14:paraId="5EE896CE">
            <w:pPr>
              <w:pStyle w:val="34"/>
              <w:bidi w:val="0"/>
              <w:ind w:firstLine="0" w:firstLineChars="0"/>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cs="Times New Roman"/>
                <w:color w:val="auto"/>
                <w:sz w:val="24"/>
                <w:szCs w:val="24"/>
                <w:highlight w:val="none"/>
                <w:lang w:val="en-US" w:eastAsia="zh-CN"/>
              </w:rPr>
              <w:t>颗粒物</w:t>
            </w:r>
          </w:p>
        </w:tc>
        <w:tc>
          <w:tcPr>
            <w:tcW w:w="521" w:type="pct"/>
            <w:noWrap w:val="0"/>
            <w:vAlign w:val="center"/>
          </w:tcPr>
          <w:p w14:paraId="3C7CDC17">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406" w:type="pct"/>
            <w:noWrap w:val="0"/>
            <w:vAlign w:val="center"/>
          </w:tcPr>
          <w:p w14:paraId="0EE1222B">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82" w:type="pct"/>
            <w:noWrap w:val="0"/>
            <w:vAlign w:val="center"/>
          </w:tcPr>
          <w:p w14:paraId="65550F53">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49" w:type="pct"/>
            <w:noWrap w:val="0"/>
            <w:vAlign w:val="center"/>
          </w:tcPr>
          <w:p w14:paraId="43391492">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rPr>
            </w:pPr>
            <w:r>
              <w:rPr>
                <w:rFonts w:hint="eastAsia" w:cs="Times New Roman"/>
                <w:snapToGrid w:val="0"/>
                <w:color w:val="auto"/>
                <w:kern w:val="21"/>
                <w:sz w:val="24"/>
                <w:szCs w:val="24"/>
                <w:highlight w:val="none"/>
                <w:lang w:val="en-US" w:eastAsia="zh-CN"/>
              </w:rPr>
              <w:t>0.9534</w:t>
            </w:r>
          </w:p>
        </w:tc>
        <w:tc>
          <w:tcPr>
            <w:tcW w:w="587" w:type="pct"/>
            <w:noWrap w:val="0"/>
            <w:vAlign w:val="center"/>
          </w:tcPr>
          <w:p w14:paraId="36FCFDA3">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65" w:type="pct"/>
            <w:noWrap w:val="0"/>
            <w:vAlign w:val="center"/>
          </w:tcPr>
          <w:p w14:paraId="4BEF4473">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rPr>
            </w:pPr>
            <w:r>
              <w:rPr>
                <w:rFonts w:hint="eastAsia" w:cs="Times New Roman"/>
                <w:snapToGrid w:val="0"/>
                <w:color w:val="auto"/>
                <w:kern w:val="21"/>
                <w:sz w:val="24"/>
                <w:szCs w:val="24"/>
                <w:highlight w:val="none"/>
                <w:lang w:val="en-US" w:eastAsia="zh-CN"/>
              </w:rPr>
              <w:t>0.9534</w:t>
            </w:r>
          </w:p>
        </w:tc>
        <w:tc>
          <w:tcPr>
            <w:tcW w:w="497" w:type="pct"/>
            <w:noWrap w:val="0"/>
            <w:vAlign w:val="center"/>
          </w:tcPr>
          <w:p w14:paraId="7231DB25">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cs="Times New Roman"/>
                <w:snapToGrid w:val="0"/>
                <w:color w:val="auto"/>
                <w:kern w:val="21"/>
                <w:sz w:val="24"/>
                <w:szCs w:val="24"/>
                <w:highlight w:val="none"/>
                <w:lang w:val="en-US" w:eastAsia="zh-CN"/>
              </w:rPr>
              <w:t>+</w:t>
            </w:r>
            <w:r>
              <w:rPr>
                <w:rFonts w:hint="eastAsia" w:cs="Times New Roman"/>
                <w:snapToGrid w:val="0"/>
                <w:color w:val="auto"/>
                <w:kern w:val="21"/>
                <w:sz w:val="24"/>
                <w:szCs w:val="24"/>
                <w:highlight w:val="none"/>
                <w:lang w:val="en-US" w:eastAsia="zh-CN"/>
              </w:rPr>
              <w:t>0.9534</w:t>
            </w:r>
          </w:p>
        </w:tc>
      </w:tr>
      <w:tr w14:paraId="07EF7C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6" w:type="pct"/>
            <w:noWrap w:val="0"/>
            <w:vAlign w:val="center"/>
          </w:tcPr>
          <w:p w14:paraId="12383FC1">
            <w:pPr>
              <w:pStyle w:val="34"/>
              <w:bidi w:val="0"/>
              <w:ind w:firstLine="0" w:firstLineChars="0"/>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cs="Times New Roman"/>
                <w:color w:val="auto"/>
                <w:sz w:val="24"/>
                <w:szCs w:val="24"/>
                <w:highlight w:val="none"/>
                <w:lang w:val="en-US" w:eastAsia="zh-CN"/>
              </w:rPr>
              <w:t>生活垃圾</w:t>
            </w:r>
          </w:p>
        </w:tc>
        <w:tc>
          <w:tcPr>
            <w:tcW w:w="513" w:type="pct"/>
            <w:noWrap w:val="0"/>
            <w:vAlign w:val="center"/>
          </w:tcPr>
          <w:p w14:paraId="6FBCFB08">
            <w:pPr>
              <w:pStyle w:val="34"/>
              <w:bidi w:val="0"/>
              <w:ind w:firstLine="0" w:firstLineChars="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生活垃圾</w:t>
            </w:r>
          </w:p>
        </w:tc>
        <w:tc>
          <w:tcPr>
            <w:tcW w:w="521" w:type="pct"/>
            <w:noWrap w:val="0"/>
            <w:vAlign w:val="center"/>
          </w:tcPr>
          <w:p w14:paraId="3992D34C">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406" w:type="pct"/>
            <w:noWrap w:val="0"/>
            <w:vAlign w:val="center"/>
          </w:tcPr>
          <w:p w14:paraId="7D173C30">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82" w:type="pct"/>
            <w:noWrap w:val="0"/>
            <w:vAlign w:val="center"/>
          </w:tcPr>
          <w:p w14:paraId="432C43C7">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49" w:type="pct"/>
            <w:noWrap w:val="0"/>
            <w:vAlign w:val="center"/>
          </w:tcPr>
          <w:p w14:paraId="26C853EC">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1.17</w:t>
            </w:r>
          </w:p>
        </w:tc>
        <w:tc>
          <w:tcPr>
            <w:tcW w:w="587" w:type="pct"/>
            <w:noWrap w:val="0"/>
            <w:vAlign w:val="center"/>
          </w:tcPr>
          <w:p w14:paraId="6F89CFA5">
            <w:pPr>
              <w:pStyle w:val="57"/>
              <w:keepNext w:val="0"/>
              <w:keepLines w:val="0"/>
              <w:pageBreakBefore w:val="0"/>
              <w:widowControl w:val="0"/>
              <w:kinsoku/>
              <w:wordWrap w:val="0"/>
              <w:overflowPunct/>
              <w:topLinePunct/>
              <w:autoSpaceDE/>
              <w:autoSpaceDN/>
              <w:bidi w:val="0"/>
              <w:spacing w:beforeLines="0" w:afterLines="0"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bidi="ar-SA"/>
              </w:rPr>
            </w:pPr>
          </w:p>
        </w:tc>
        <w:tc>
          <w:tcPr>
            <w:tcW w:w="665" w:type="pct"/>
            <w:noWrap w:val="0"/>
            <w:vAlign w:val="center"/>
          </w:tcPr>
          <w:p w14:paraId="39257EF5">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1.17</w:t>
            </w:r>
          </w:p>
        </w:tc>
        <w:tc>
          <w:tcPr>
            <w:tcW w:w="497" w:type="pct"/>
            <w:noWrap w:val="0"/>
            <w:vAlign w:val="center"/>
          </w:tcPr>
          <w:p w14:paraId="685C166A">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+1.17</w:t>
            </w:r>
          </w:p>
        </w:tc>
      </w:tr>
      <w:tr w14:paraId="720A45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6" w:type="pct"/>
            <w:vMerge w:val="restart"/>
            <w:noWrap w:val="0"/>
            <w:vAlign w:val="center"/>
          </w:tcPr>
          <w:p w14:paraId="681EB627">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一般工业</w:t>
            </w:r>
          </w:p>
          <w:p w14:paraId="534E5374">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固体废物</w:t>
            </w:r>
          </w:p>
        </w:tc>
        <w:tc>
          <w:tcPr>
            <w:tcW w:w="513" w:type="pct"/>
            <w:noWrap w:val="0"/>
            <w:vAlign w:val="center"/>
          </w:tcPr>
          <w:p w14:paraId="6801DFE0">
            <w:pPr>
              <w:pStyle w:val="34"/>
              <w:bidi w:val="0"/>
              <w:ind w:firstLine="0" w:firstLineChars="0"/>
              <w:rPr>
                <w:rFonts w:hint="default" w:ascii="Times New Roman" w:hAnsi="Times New Roman" w:cs="Times New Roman"/>
                <w:color w:val="auto"/>
                <w:sz w:val="24"/>
                <w:szCs w:val="24"/>
                <w:highlight w:val="none"/>
                <w:lang w:val="en-US" w:eastAsia="zh-CN"/>
              </w:rPr>
            </w:pPr>
            <w:r>
              <w:rPr>
                <w:rFonts w:hint="eastAsia"/>
                <w:color w:val="auto"/>
                <w:sz w:val="24"/>
                <w:szCs w:val="24"/>
                <w:highlight w:val="none"/>
                <w:lang w:val="en-US" w:eastAsia="zh-CN"/>
              </w:rPr>
              <w:t>水泥筒仓</w:t>
            </w:r>
            <w:r>
              <w:rPr>
                <w:rFonts w:hint="eastAsia"/>
                <w:color w:val="auto"/>
                <w:sz w:val="24"/>
                <w:szCs w:val="24"/>
                <w:highlight w:val="none"/>
              </w:rPr>
              <w:t>布袋除尘器收尘</w:t>
            </w:r>
          </w:p>
        </w:tc>
        <w:tc>
          <w:tcPr>
            <w:tcW w:w="521" w:type="pct"/>
            <w:noWrap w:val="0"/>
            <w:vAlign w:val="center"/>
          </w:tcPr>
          <w:p w14:paraId="48D87739">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406" w:type="pct"/>
            <w:noWrap w:val="0"/>
            <w:vAlign w:val="center"/>
          </w:tcPr>
          <w:p w14:paraId="0AC5482F">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82" w:type="pct"/>
            <w:noWrap w:val="0"/>
            <w:vAlign w:val="center"/>
          </w:tcPr>
          <w:p w14:paraId="4B309382">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49" w:type="pct"/>
            <w:noWrap w:val="0"/>
            <w:vAlign w:val="center"/>
          </w:tcPr>
          <w:p w14:paraId="69BECD1F">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rPr>
            </w:pPr>
            <w:r>
              <w:rPr>
                <w:rFonts w:hint="eastAsia"/>
                <w:color w:val="auto"/>
                <w:sz w:val="24"/>
                <w:szCs w:val="24"/>
                <w:highlight w:val="none"/>
                <w:lang w:val="en-US" w:eastAsia="zh-CN"/>
              </w:rPr>
              <w:t>1.9</w:t>
            </w:r>
          </w:p>
        </w:tc>
        <w:tc>
          <w:tcPr>
            <w:tcW w:w="587" w:type="pct"/>
            <w:noWrap w:val="0"/>
            <w:vAlign w:val="center"/>
          </w:tcPr>
          <w:p w14:paraId="4C1F3C0C">
            <w:pPr>
              <w:pStyle w:val="57"/>
              <w:keepNext w:val="0"/>
              <w:keepLines w:val="0"/>
              <w:pageBreakBefore w:val="0"/>
              <w:widowControl w:val="0"/>
              <w:kinsoku/>
              <w:wordWrap w:val="0"/>
              <w:overflowPunct/>
              <w:topLinePunct/>
              <w:autoSpaceDE/>
              <w:autoSpaceDN/>
              <w:bidi w:val="0"/>
              <w:spacing w:beforeLines="0" w:afterLines="0"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65" w:type="pct"/>
            <w:noWrap w:val="0"/>
            <w:vAlign w:val="center"/>
          </w:tcPr>
          <w:p w14:paraId="7ACE14B7">
            <w:pPr>
              <w:pStyle w:val="34"/>
              <w:bidi w:val="0"/>
              <w:ind w:firstLine="0" w:firstLineChars="0"/>
              <w:rPr>
                <w:rFonts w:hint="default" w:ascii="Times New Roman" w:hAnsi="Times New Roman" w:eastAsia="宋体" w:cs="Times New Roman"/>
                <w:snapToGrid w:val="0"/>
                <w:color w:val="auto"/>
                <w:kern w:val="21"/>
                <w:sz w:val="24"/>
                <w:szCs w:val="24"/>
                <w:highlight w:val="none"/>
              </w:rPr>
            </w:pPr>
            <w:r>
              <w:rPr>
                <w:rFonts w:hint="eastAsia"/>
                <w:color w:val="auto"/>
                <w:sz w:val="24"/>
                <w:szCs w:val="24"/>
                <w:highlight w:val="none"/>
                <w:lang w:val="en-US" w:eastAsia="zh-CN"/>
              </w:rPr>
              <w:t>1.9</w:t>
            </w:r>
          </w:p>
        </w:tc>
        <w:tc>
          <w:tcPr>
            <w:tcW w:w="497" w:type="pct"/>
            <w:noWrap w:val="0"/>
            <w:vAlign w:val="center"/>
          </w:tcPr>
          <w:p w14:paraId="2DB1773F">
            <w:pPr>
              <w:pStyle w:val="34"/>
              <w:bidi w:val="0"/>
              <w:ind w:firstLine="0" w:firstLineChars="0"/>
              <w:rPr>
                <w:rFonts w:hint="default" w:ascii="Times New Roman" w:hAnsi="Times New Roman" w:eastAsia="宋体" w:cs="Times New Roman"/>
                <w:snapToGrid w:val="0"/>
                <w:color w:val="auto"/>
                <w:kern w:val="21"/>
                <w:sz w:val="24"/>
                <w:szCs w:val="24"/>
                <w:highlight w:val="none"/>
              </w:rPr>
            </w:pPr>
            <w:r>
              <w:rPr>
                <w:rFonts w:hint="eastAsia"/>
                <w:color w:val="auto"/>
                <w:sz w:val="24"/>
                <w:szCs w:val="24"/>
                <w:highlight w:val="none"/>
                <w:lang w:val="en-US" w:eastAsia="zh-CN"/>
              </w:rPr>
              <w:t>+1.9</w:t>
            </w:r>
          </w:p>
        </w:tc>
      </w:tr>
      <w:tr w14:paraId="1FA70E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6" w:type="pct"/>
            <w:vMerge w:val="continue"/>
            <w:noWrap w:val="0"/>
            <w:vAlign w:val="center"/>
          </w:tcPr>
          <w:p w14:paraId="037EAFE3">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13" w:type="pct"/>
            <w:noWrap w:val="0"/>
            <w:vAlign w:val="center"/>
          </w:tcPr>
          <w:p w14:paraId="1C3C0B1F">
            <w:pPr>
              <w:pStyle w:val="34"/>
              <w:bidi w:val="0"/>
              <w:ind w:firstLine="0" w:firstLineChars="0"/>
              <w:rPr>
                <w:rFonts w:hint="default" w:ascii="Times New Roman" w:hAnsi="Times New Roman" w:cs="Times New Roman"/>
                <w:color w:val="auto"/>
                <w:sz w:val="24"/>
                <w:szCs w:val="24"/>
                <w:highlight w:val="none"/>
                <w:lang w:val="en-US" w:eastAsia="zh-CN"/>
              </w:rPr>
            </w:pPr>
            <w:r>
              <w:rPr>
                <w:rFonts w:hint="eastAsia"/>
                <w:color w:val="auto"/>
                <w:sz w:val="24"/>
                <w:szCs w:val="24"/>
                <w:highlight w:val="none"/>
                <w:lang w:val="en-US" w:eastAsia="zh-CN"/>
              </w:rPr>
              <w:t>粉煤灰筒仓</w:t>
            </w:r>
            <w:r>
              <w:rPr>
                <w:rFonts w:hint="eastAsia"/>
                <w:color w:val="auto"/>
                <w:sz w:val="24"/>
                <w:szCs w:val="24"/>
                <w:highlight w:val="none"/>
              </w:rPr>
              <w:t>布袋除尘器收尘</w:t>
            </w:r>
          </w:p>
        </w:tc>
        <w:tc>
          <w:tcPr>
            <w:tcW w:w="521" w:type="pct"/>
            <w:noWrap w:val="0"/>
            <w:vAlign w:val="center"/>
          </w:tcPr>
          <w:p w14:paraId="638BFA3C">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406" w:type="pct"/>
            <w:noWrap w:val="0"/>
            <w:vAlign w:val="center"/>
          </w:tcPr>
          <w:p w14:paraId="3A554F60">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82" w:type="pct"/>
            <w:noWrap w:val="0"/>
            <w:vAlign w:val="center"/>
          </w:tcPr>
          <w:p w14:paraId="3255049F">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49" w:type="pct"/>
            <w:noWrap w:val="0"/>
            <w:vAlign w:val="center"/>
          </w:tcPr>
          <w:p w14:paraId="33C0A8B5">
            <w:pPr>
              <w:pStyle w:val="34"/>
              <w:bidi w:val="0"/>
              <w:ind w:firstLine="0" w:firstLineChars="0"/>
              <w:rPr>
                <w:rFonts w:hint="default" w:ascii="Times New Roman" w:hAnsi="Times New Roman" w:cs="Times New Roman"/>
                <w:snapToGrid w:val="0"/>
                <w:color w:val="auto"/>
                <w:kern w:val="21"/>
                <w:sz w:val="24"/>
                <w:szCs w:val="24"/>
                <w:highlight w:val="none"/>
                <w:lang w:val="en-US" w:eastAsia="zh-CN"/>
              </w:rPr>
            </w:pPr>
            <w:r>
              <w:rPr>
                <w:rFonts w:hint="eastAsia"/>
                <w:color w:val="auto"/>
                <w:sz w:val="24"/>
                <w:szCs w:val="24"/>
                <w:highlight w:val="none"/>
                <w:lang w:val="en-US" w:eastAsia="zh-CN"/>
              </w:rPr>
              <w:t>0.594</w:t>
            </w:r>
          </w:p>
        </w:tc>
        <w:tc>
          <w:tcPr>
            <w:tcW w:w="587" w:type="pct"/>
            <w:noWrap w:val="0"/>
            <w:vAlign w:val="center"/>
          </w:tcPr>
          <w:p w14:paraId="1FA1A07A">
            <w:pPr>
              <w:pStyle w:val="57"/>
              <w:keepNext w:val="0"/>
              <w:keepLines w:val="0"/>
              <w:pageBreakBefore w:val="0"/>
              <w:widowControl w:val="0"/>
              <w:kinsoku/>
              <w:wordWrap w:val="0"/>
              <w:overflowPunct/>
              <w:topLinePunct/>
              <w:autoSpaceDE/>
              <w:autoSpaceDN/>
              <w:bidi w:val="0"/>
              <w:spacing w:beforeLines="0" w:afterLines="0"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65" w:type="pct"/>
            <w:noWrap w:val="0"/>
            <w:vAlign w:val="center"/>
          </w:tcPr>
          <w:p w14:paraId="24EAF426">
            <w:pPr>
              <w:pStyle w:val="34"/>
              <w:bidi w:val="0"/>
              <w:ind w:firstLine="0" w:firstLineChars="0"/>
              <w:rPr>
                <w:rFonts w:hint="default" w:ascii="Times New Roman" w:hAnsi="Times New Roman" w:cs="Times New Roman"/>
                <w:snapToGrid w:val="0"/>
                <w:color w:val="auto"/>
                <w:kern w:val="21"/>
                <w:sz w:val="24"/>
                <w:szCs w:val="24"/>
                <w:highlight w:val="none"/>
                <w:lang w:val="en-US" w:eastAsia="zh-CN"/>
              </w:rPr>
            </w:pPr>
            <w:r>
              <w:rPr>
                <w:rFonts w:hint="eastAsia"/>
                <w:color w:val="auto"/>
                <w:sz w:val="24"/>
                <w:szCs w:val="24"/>
                <w:highlight w:val="none"/>
                <w:lang w:val="en-US" w:eastAsia="zh-CN"/>
              </w:rPr>
              <w:t>0.594</w:t>
            </w:r>
          </w:p>
        </w:tc>
        <w:tc>
          <w:tcPr>
            <w:tcW w:w="497" w:type="pct"/>
            <w:noWrap w:val="0"/>
            <w:vAlign w:val="center"/>
          </w:tcPr>
          <w:p w14:paraId="4066B59D">
            <w:pPr>
              <w:pStyle w:val="34"/>
              <w:bidi w:val="0"/>
              <w:ind w:firstLine="0" w:firstLineChars="0"/>
              <w:rPr>
                <w:rFonts w:hint="default" w:ascii="Times New Roman" w:hAnsi="Times New Roman" w:cs="Times New Roman"/>
                <w:snapToGrid w:val="0"/>
                <w:color w:val="auto"/>
                <w:kern w:val="21"/>
                <w:sz w:val="24"/>
                <w:szCs w:val="24"/>
                <w:highlight w:val="none"/>
                <w:lang w:val="en-US" w:eastAsia="zh-CN"/>
              </w:rPr>
            </w:pPr>
            <w:r>
              <w:rPr>
                <w:rFonts w:hint="eastAsia"/>
                <w:color w:val="auto"/>
                <w:sz w:val="24"/>
                <w:szCs w:val="24"/>
                <w:highlight w:val="none"/>
                <w:lang w:val="en-US" w:eastAsia="zh-CN"/>
              </w:rPr>
              <w:t>+0.594</w:t>
            </w:r>
          </w:p>
        </w:tc>
      </w:tr>
      <w:tr w14:paraId="11945C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6" w:type="pct"/>
            <w:vMerge w:val="continue"/>
            <w:noWrap w:val="0"/>
            <w:vAlign w:val="center"/>
          </w:tcPr>
          <w:p w14:paraId="23DDA4DE">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13" w:type="pct"/>
            <w:noWrap w:val="0"/>
            <w:vAlign w:val="center"/>
          </w:tcPr>
          <w:p w14:paraId="064EC95E">
            <w:pPr>
              <w:pStyle w:val="34"/>
              <w:bidi w:val="0"/>
              <w:ind w:firstLine="0" w:firstLineChars="0"/>
              <w:rPr>
                <w:rFonts w:hint="default" w:ascii="Times New Roman" w:hAnsi="Times New Roman" w:cs="Times New Roman"/>
                <w:color w:val="auto"/>
                <w:sz w:val="24"/>
                <w:szCs w:val="24"/>
                <w:highlight w:val="none"/>
                <w:lang w:val="en-US" w:eastAsia="zh-CN"/>
              </w:rPr>
            </w:pPr>
            <w:r>
              <w:rPr>
                <w:rFonts w:hint="eastAsia"/>
                <w:color w:val="auto"/>
                <w:sz w:val="24"/>
                <w:szCs w:val="24"/>
                <w:highlight w:val="none"/>
                <w:lang w:val="en-US" w:eastAsia="zh-CN"/>
              </w:rPr>
              <w:t>外加剂罐</w:t>
            </w:r>
            <w:r>
              <w:rPr>
                <w:rFonts w:hint="eastAsia"/>
                <w:color w:val="auto"/>
                <w:sz w:val="24"/>
                <w:szCs w:val="24"/>
                <w:highlight w:val="none"/>
              </w:rPr>
              <w:t>布袋除尘器收尘</w:t>
            </w:r>
          </w:p>
        </w:tc>
        <w:tc>
          <w:tcPr>
            <w:tcW w:w="521" w:type="pct"/>
            <w:noWrap w:val="0"/>
            <w:vAlign w:val="center"/>
          </w:tcPr>
          <w:p w14:paraId="5889B345">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406" w:type="pct"/>
            <w:noWrap w:val="0"/>
            <w:vAlign w:val="center"/>
          </w:tcPr>
          <w:p w14:paraId="5404A38D">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82" w:type="pct"/>
            <w:noWrap w:val="0"/>
            <w:vAlign w:val="center"/>
          </w:tcPr>
          <w:p w14:paraId="4B7CA86B">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49" w:type="pct"/>
            <w:noWrap w:val="0"/>
            <w:vAlign w:val="center"/>
          </w:tcPr>
          <w:p w14:paraId="559CABAD">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rPr>
            </w:pPr>
            <w:r>
              <w:rPr>
                <w:rFonts w:hint="eastAsia"/>
                <w:color w:val="auto"/>
                <w:sz w:val="24"/>
                <w:szCs w:val="24"/>
                <w:highlight w:val="none"/>
                <w:lang w:val="en-US" w:eastAsia="zh-CN"/>
              </w:rPr>
              <w:t>0.0594</w:t>
            </w:r>
          </w:p>
        </w:tc>
        <w:tc>
          <w:tcPr>
            <w:tcW w:w="587" w:type="pct"/>
            <w:noWrap w:val="0"/>
            <w:vAlign w:val="center"/>
          </w:tcPr>
          <w:p w14:paraId="1B45A4BA">
            <w:pPr>
              <w:pStyle w:val="57"/>
              <w:keepNext w:val="0"/>
              <w:keepLines w:val="0"/>
              <w:pageBreakBefore w:val="0"/>
              <w:widowControl w:val="0"/>
              <w:kinsoku/>
              <w:wordWrap w:val="0"/>
              <w:overflowPunct/>
              <w:topLinePunct/>
              <w:autoSpaceDE/>
              <w:autoSpaceDN/>
              <w:bidi w:val="0"/>
              <w:spacing w:beforeLines="0" w:afterLines="0"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65" w:type="pct"/>
            <w:noWrap w:val="0"/>
            <w:vAlign w:val="center"/>
          </w:tcPr>
          <w:p w14:paraId="4FC85B17">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rPr>
            </w:pPr>
            <w:r>
              <w:rPr>
                <w:rFonts w:hint="eastAsia"/>
                <w:color w:val="auto"/>
                <w:sz w:val="24"/>
                <w:szCs w:val="24"/>
                <w:highlight w:val="none"/>
                <w:lang w:val="en-US" w:eastAsia="zh-CN"/>
              </w:rPr>
              <w:t>0.0594</w:t>
            </w:r>
          </w:p>
        </w:tc>
        <w:tc>
          <w:tcPr>
            <w:tcW w:w="497" w:type="pct"/>
            <w:noWrap w:val="0"/>
            <w:vAlign w:val="center"/>
          </w:tcPr>
          <w:p w14:paraId="02938DC7">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rPr>
            </w:pPr>
            <w:r>
              <w:rPr>
                <w:rFonts w:hint="eastAsia"/>
                <w:color w:val="auto"/>
                <w:sz w:val="24"/>
                <w:szCs w:val="24"/>
                <w:highlight w:val="none"/>
                <w:lang w:val="en-US" w:eastAsia="zh-CN"/>
              </w:rPr>
              <w:t>+0.0594</w:t>
            </w:r>
          </w:p>
        </w:tc>
      </w:tr>
      <w:tr w14:paraId="2B6970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6" w:type="pct"/>
            <w:vMerge w:val="continue"/>
            <w:noWrap w:val="0"/>
            <w:vAlign w:val="center"/>
          </w:tcPr>
          <w:p w14:paraId="7D1D36F3">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13" w:type="pct"/>
            <w:noWrap w:val="0"/>
            <w:vAlign w:val="center"/>
          </w:tcPr>
          <w:p w14:paraId="12C4501A">
            <w:pPr>
              <w:pStyle w:val="34"/>
              <w:bidi w:val="0"/>
              <w:ind w:firstLine="0" w:firstLineChars="0"/>
              <w:rPr>
                <w:rFonts w:hint="default" w:ascii="Times New Roman" w:hAnsi="Times New Roman" w:cs="Times New Roman"/>
                <w:color w:val="auto"/>
                <w:sz w:val="24"/>
                <w:szCs w:val="24"/>
                <w:highlight w:val="none"/>
                <w:lang w:val="en-US" w:eastAsia="zh-CN"/>
              </w:rPr>
            </w:pPr>
            <w:r>
              <w:rPr>
                <w:rFonts w:hint="eastAsia"/>
                <w:color w:val="auto"/>
                <w:sz w:val="24"/>
                <w:szCs w:val="24"/>
                <w:highlight w:val="none"/>
                <w:lang w:val="en-US" w:eastAsia="zh-CN"/>
              </w:rPr>
              <w:t>搅拌机布袋除尘器收尘</w:t>
            </w:r>
          </w:p>
        </w:tc>
        <w:tc>
          <w:tcPr>
            <w:tcW w:w="521" w:type="pct"/>
            <w:noWrap w:val="0"/>
            <w:vAlign w:val="center"/>
          </w:tcPr>
          <w:p w14:paraId="0FD4F52A">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406" w:type="pct"/>
            <w:noWrap w:val="0"/>
            <w:vAlign w:val="center"/>
          </w:tcPr>
          <w:p w14:paraId="2898FCB9">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82" w:type="pct"/>
            <w:noWrap w:val="0"/>
            <w:vAlign w:val="center"/>
          </w:tcPr>
          <w:p w14:paraId="4F0883A6">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49" w:type="pct"/>
            <w:noWrap w:val="0"/>
            <w:vAlign w:val="center"/>
          </w:tcPr>
          <w:p w14:paraId="32E76D82">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15.9</w:t>
            </w:r>
          </w:p>
        </w:tc>
        <w:tc>
          <w:tcPr>
            <w:tcW w:w="587" w:type="pct"/>
            <w:noWrap w:val="0"/>
            <w:vAlign w:val="center"/>
          </w:tcPr>
          <w:p w14:paraId="318D5C31">
            <w:pPr>
              <w:pStyle w:val="57"/>
              <w:keepNext w:val="0"/>
              <w:keepLines w:val="0"/>
              <w:pageBreakBefore w:val="0"/>
              <w:widowControl w:val="0"/>
              <w:kinsoku/>
              <w:wordWrap w:val="0"/>
              <w:overflowPunct/>
              <w:topLinePunct/>
              <w:autoSpaceDE/>
              <w:autoSpaceDN/>
              <w:bidi w:val="0"/>
              <w:spacing w:beforeLines="0" w:afterLines="0"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bidi="ar-SA"/>
              </w:rPr>
            </w:pPr>
          </w:p>
        </w:tc>
        <w:tc>
          <w:tcPr>
            <w:tcW w:w="665" w:type="pct"/>
            <w:noWrap w:val="0"/>
            <w:vAlign w:val="center"/>
          </w:tcPr>
          <w:p w14:paraId="72046CDF">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15.9</w:t>
            </w:r>
          </w:p>
        </w:tc>
        <w:tc>
          <w:tcPr>
            <w:tcW w:w="497" w:type="pct"/>
            <w:noWrap w:val="0"/>
            <w:vAlign w:val="center"/>
          </w:tcPr>
          <w:p w14:paraId="29722E4F">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+15.9</w:t>
            </w:r>
          </w:p>
        </w:tc>
      </w:tr>
      <w:tr w14:paraId="529C79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6" w:type="pct"/>
            <w:vMerge w:val="continue"/>
            <w:noWrap w:val="0"/>
            <w:vAlign w:val="center"/>
          </w:tcPr>
          <w:p w14:paraId="67617E11">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13" w:type="pct"/>
            <w:noWrap w:val="0"/>
            <w:vAlign w:val="center"/>
          </w:tcPr>
          <w:p w14:paraId="66C248AA">
            <w:pPr>
              <w:pStyle w:val="34"/>
              <w:bidi w:val="0"/>
              <w:ind w:firstLine="0" w:firstLineChars="0"/>
              <w:rPr>
                <w:rFonts w:hint="default" w:ascii="Times New Roman" w:hAnsi="Times New Roman" w:cs="Times New Roman"/>
                <w:color w:val="auto"/>
                <w:sz w:val="24"/>
                <w:szCs w:val="24"/>
                <w:highlight w:val="none"/>
                <w:lang w:val="en-US" w:eastAsia="zh-CN"/>
              </w:rPr>
            </w:pPr>
            <w:r>
              <w:rPr>
                <w:rFonts w:hint="eastAsia"/>
                <w:color w:val="auto"/>
                <w:sz w:val="24"/>
                <w:szCs w:val="24"/>
                <w:highlight w:val="none"/>
                <w:lang w:val="en-US" w:eastAsia="zh-CN"/>
              </w:rPr>
              <w:t>废布袋</w:t>
            </w:r>
          </w:p>
        </w:tc>
        <w:tc>
          <w:tcPr>
            <w:tcW w:w="521" w:type="pct"/>
            <w:noWrap w:val="0"/>
            <w:vAlign w:val="center"/>
          </w:tcPr>
          <w:p w14:paraId="162FD9B8">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406" w:type="pct"/>
            <w:noWrap w:val="0"/>
            <w:vAlign w:val="center"/>
          </w:tcPr>
          <w:p w14:paraId="41221540">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82" w:type="pct"/>
            <w:noWrap w:val="0"/>
            <w:vAlign w:val="center"/>
          </w:tcPr>
          <w:p w14:paraId="4A63E1AE">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49" w:type="pct"/>
            <w:noWrap w:val="0"/>
            <w:vAlign w:val="center"/>
          </w:tcPr>
          <w:p w14:paraId="4F5CAA92">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0.02</w:t>
            </w:r>
          </w:p>
        </w:tc>
        <w:tc>
          <w:tcPr>
            <w:tcW w:w="587" w:type="pct"/>
            <w:noWrap w:val="0"/>
            <w:vAlign w:val="center"/>
          </w:tcPr>
          <w:p w14:paraId="44F2A904">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bidi="ar-SA"/>
              </w:rPr>
            </w:pPr>
          </w:p>
        </w:tc>
        <w:tc>
          <w:tcPr>
            <w:tcW w:w="665" w:type="pct"/>
            <w:noWrap w:val="0"/>
            <w:vAlign w:val="center"/>
          </w:tcPr>
          <w:p w14:paraId="7E4CBCC1">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0.02</w:t>
            </w:r>
          </w:p>
        </w:tc>
        <w:tc>
          <w:tcPr>
            <w:tcW w:w="497" w:type="pct"/>
            <w:noWrap w:val="0"/>
            <w:vAlign w:val="center"/>
          </w:tcPr>
          <w:p w14:paraId="2FF6A374">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+0.02</w:t>
            </w:r>
          </w:p>
        </w:tc>
      </w:tr>
      <w:tr w14:paraId="608858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6" w:type="pct"/>
            <w:vMerge w:val="continue"/>
            <w:noWrap w:val="0"/>
            <w:vAlign w:val="center"/>
          </w:tcPr>
          <w:p w14:paraId="63189CE9">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13" w:type="pct"/>
            <w:noWrap w:val="0"/>
            <w:vAlign w:val="center"/>
          </w:tcPr>
          <w:p w14:paraId="4DF9F08B">
            <w:pPr>
              <w:pStyle w:val="34"/>
              <w:bidi w:val="0"/>
              <w:ind w:firstLine="0" w:firstLineChars="0"/>
              <w:rPr>
                <w:rFonts w:hint="default" w:ascii="Times New Roman" w:hAnsi="Times New Roman" w:cs="Times New Roman"/>
                <w:color w:val="auto"/>
                <w:sz w:val="24"/>
                <w:szCs w:val="24"/>
                <w:highlight w:val="none"/>
                <w:lang w:val="en-US" w:eastAsia="zh-CN"/>
              </w:rPr>
            </w:pPr>
            <w:r>
              <w:rPr>
                <w:rFonts w:hint="eastAsia"/>
                <w:color w:val="auto"/>
                <w:sz w:val="24"/>
                <w:szCs w:val="24"/>
                <w:highlight w:val="none"/>
                <w:lang w:val="en-US" w:eastAsia="zh-CN"/>
              </w:rPr>
              <w:t>实验室废料</w:t>
            </w:r>
          </w:p>
        </w:tc>
        <w:tc>
          <w:tcPr>
            <w:tcW w:w="521" w:type="pct"/>
            <w:noWrap w:val="0"/>
            <w:vAlign w:val="center"/>
          </w:tcPr>
          <w:p w14:paraId="58E00CC5">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406" w:type="pct"/>
            <w:noWrap w:val="0"/>
            <w:vAlign w:val="center"/>
          </w:tcPr>
          <w:p w14:paraId="31847527">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82" w:type="pct"/>
            <w:noWrap w:val="0"/>
            <w:vAlign w:val="center"/>
          </w:tcPr>
          <w:p w14:paraId="3C42BEBD">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49" w:type="pct"/>
            <w:noWrap w:val="0"/>
            <w:vAlign w:val="center"/>
          </w:tcPr>
          <w:p w14:paraId="38C5DC8E">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1.5</w:t>
            </w:r>
          </w:p>
        </w:tc>
        <w:tc>
          <w:tcPr>
            <w:tcW w:w="587" w:type="pct"/>
            <w:noWrap w:val="0"/>
            <w:vAlign w:val="center"/>
          </w:tcPr>
          <w:p w14:paraId="205FE759">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bidi="ar-SA"/>
              </w:rPr>
            </w:pPr>
          </w:p>
        </w:tc>
        <w:tc>
          <w:tcPr>
            <w:tcW w:w="665" w:type="pct"/>
            <w:noWrap w:val="0"/>
            <w:vAlign w:val="center"/>
          </w:tcPr>
          <w:p w14:paraId="2A121A74">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1.5</w:t>
            </w:r>
          </w:p>
        </w:tc>
        <w:tc>
          <w:tcPr>
            <w:tcW w:w="497" w:type="pct"/>
            <w:noWrap w:val="0"/>
            <w:vAlign w:val="center"/>
          </w:tcPr>
          <w:p w14:paraId="2EA4FE79">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+1.5</w:t>
            </w:r>
          </w:p>
        </w:tc>
      </w:tr>
      <w:tr w14:paraId="72A911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6" w:type="pct"/>
            <w:vMerge w:val="continue"/>
            <w:noWrap w:val="0"/>
            <w:vAlign w:val="center"/>
          </w:tcPr>
          <w:p w14:paraId="059309EC">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13" w:type="pct"/>
            <w:noWrap w:val="0"/>
            <w:vAlign w:val="center"/>
          </w:tcPr>
          <w:p w14:paraId="3AD6B364">
            <w:pPr>
              <w:pStyle w:val="34"/>
              <w:bidi w:val="0"/>
              <w:ind w:firstLine="0" w:firstLineChars="0"/>
              <w:rPr>
                <w:rFonts w:hint="eastAsia"/>
                <w:color w:val="auto"/>
                <w:sz w:val="24"/>
                <w:szCs w:val="24"/>
                <w:highlight w:val="none"/>
                <w:lang w:val="en-US" w:eastAsia="zh-CN"/>
              </w:rPr>
            </w:pPr>
            <w:r>
              <w:rPr>
                <w:rFonts w:hint="eastAsia"/>
                <w:color w:val="auto"/>
                <w:sz w:val="24"/>
                <w:szCs w:val="24"/>
                <w:highlight w:val="none"/>
                <w:lang w:val="en-US" w:eastAsia="zh-CN"/>
              </w:rPr>
              <w:t>污泥</w:t>
            </w:r>
          </w:p>
        </w:tc>
        <w:tc>
          <w:tcPr>
            <w:tcW w:w="521" w:type="pct"/>
            <w:noWrap w:val="0"/>
            <w:vAlign w:val="center"/>
          </w:tcPr>
          <w:p w14:paraId="6369CF20">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406" w:type="pct"/>
            <w:noWrap w:val="0"/>
            <w:vAlign w:val="center"/>
          </w:tcPr>
          <w:p w14:paraId="15362256">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582" w:type="pct"/>
            <w:noWrap w:val="0"/>
            <w:vAlign w:val="center"/>
          </w:tcPr>
          <w:p w14:paraId="16B1B524">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649" w:type="pct"/>
            <w:noWrap w:val="0"/>
            <w:vAlign w:val="center"/>
          </w:tcPr>
          <w:p w14:paraId="5CDE3190">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0.05</w:t>
            </w:r>
          </w:p>
        </w:tc>
        <w:tc>
          <w:tcPr>
            <w:tcW w:w="587" w:type="pct"/>
            <w:noWrap w:val="0"/>
            <w:vAlign w:val="center"/>
          </w:tcPr>
          <w:p w14:paraId="55212E1E">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bidi="ar-SA"/>
              </w:rPr>
            </w:pPr>
          </w:p>
        </w:tc>
        <w:tc>
          <w:tcPr>
            <w:tcW w:w="665" w:type="pct"/>
            <w:noWrap w:val="0"/>
            <w:vAlign w:val="center"/>
          </w:tcPr>
          <w:p w14:paraId="45A1FD0A">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0.05</w:t>
            </w:r>
          </w:p>
        </w:tc>
        <w:tc>
          <w:tcPr>
            <w:tcW w:w="497" w:type="pct"/>
            <w:noWrap w:val="0"/>
            <w:vAlign w:val="center"/>
          </w:tcPr>
          <w:p w14:paraId="39D5645E">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+0.05</w:t>
            </w:r>
          </w:p>
        </w:tc>
      </w:tr>
      <w:tr w14:paraId="2D8BE2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6" w:type="pct"/>
            <w:vMerge w:val="restart"/>
            <w:noWrap w:val="0"/>
            <w:vAlign w:val="center"/>
          </w:tcPr>
          <w:p w14:paraId="5083816C">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危险废物</w:t>
            </w:r>
          </w:p>
        </w:tc>
        <w:tc>
          <w:tcPr>
            <w:tcW w:w="513" w:type="pct"/>
            <w:shd w:val="clear" w:color="auto" w:fill="auto"/>
            <w:noWrap w:val="0"/>
            <w:vAlign w:val="center"/>
          </w:tcPr>
          <w:p w14:paraId="6EDF877B">
            <w:pPr>
              <w:pStyle w:val="34"/>
              <w:bidi w:val="0"/>
              <w:ind w:firstLine="0" w:firstLineChars="0"/>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sz w:val="24"/>
                <w:szCs w:val="24"/>
                <w:highlight w:val="none"/>
                <w:lang w:val="en-US" w:eastAsia="zh-CN"/>
              </w:rPr>
              <w:t>废润滑油</w:t>
            </w:r>
          </w:p>
        </w:tc>
        <w:tc>
          <w:tcPr>
            <w:tcW w:w="521" w:type="pct"/>
            <w:shd w:val="clear" w:color="auto" w:fill="auto"/>
            <w:noWrap w:val="0"/>
            <w:vAlign w:val="center"/>
          </w:tcPr>
          <w:p w14:paraId="327461A8">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bidi="ar-SA"/>
              </w:rPr>
            </w:pPr>
          </w:p>
        </w:tc>
        <w:tc>
          <w:tcPr>
            <w:tcW w:w="406" w:type="pct"/>
            <w:shd w:val="clear" w:color="auto" w:fill="auto"/>
            <w:noWrap w:val="0"/>
            <w:vAlign w:val="center"/>
          </w:tcPr>
          <w:p w14:paraId="06633266">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bidi="ar-SA"/>
              </w:rPr>
            </w:pPr>
          </w:p>
        </w:tc>
        <w:tc>
          <w:tcPr>
            <w:tcW w:w="582" w:type="pct"/>
            <w:shd w:val="clear" w:color="auto" w:fill="auto"/>
            <w:noWrap w:val="0"/>
            <w:vAlign w:val="center"/>
          </w:tcPr>
          <w:p w14:paraId="1007BA65">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bidi="ar-SA"/>
              </w:rPr>
            </w:pPr>
          </w:p>
        </w:tc>
        <w:tc>
          <w:tcPr>
            <w:tcW w:w="649" w:type="pct"/>
            <w:shd w:val="clear" w:color="auto" w:fill="auto"/>
            <w:noWrap w:val="0"/>
            <w:vAlign w:val="center"/>
          </w:tcPr>
          <w:p w14:paraId="71A2103B">
            <w:pPr>
              <w:pStyle w:val="42"/>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bidi="ar-SA"/>
              </w:rPr>
            </w:pPr>
            <w:r>
              <w:rPr>
                <w:rFonts w:hint="eastAsia" w:ascii="Times New Roman" w:hAnsi="Times New Roman" w:cs="Times New Roman"/>
                <w:snapToGrid w:val="0"/>
                <w:color w:val="auto"/>
                <w:kern w:val="21"/>
                <w:sz w:val="24"/>
                <w:szCs w:val="24"/>
                <w:highlight w:val="none"/>
                <w:lang w:val="en-US" w:eastAsia="zh-CN" w:bidi="ar-SA"/>
              </w:rPr>
              <w:t>0.01</w:t>
            </w:r>
          </w:p>
        </w:tc>
        <w:tc>
          <w:tcPr>
            <w:tcW w:w="587" w:type="pct"/>
            <w:shd w:val="clear" w:color="auto" w:fill="auto"/>
            <w:noWrap w:val="0"/>
            <w:vAlign w:val="center"/>
          </w:tcPr>
          <w:p w14:paraId="092BE8E5">
            <w:pPr>
              <w:pStyle w:val="57"/>
              <w:keepNext w:val="0"/>
              <w:keepLines w:val="0"/>
              <w:pageBreakBefore w:val="0"/>
              <w:widowControl w:val="0"/>
              <w:kinsoku/>
              <w:wordWrap w:val="0"/>
              <w:overflowPunct/>
              <w:topLinePunct/>
              <w:autoSpaceDE/>
              <w:autoSpaceDN/>
              <w:bidi w:val="0"/>
              <w:spacing w:beforeLines="0" w:afterLines="0"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bidi="ar-SA"/>
              </w:rPr>
            </w:pPr>
          </w:p>
        </w:tc>
        <w:tc>
          <w:tcPr>
            <w:tcW w:w="665" w:type="pct"/>
            <w:shd w:val="clear" w:color="auto" w:fill="auto"/>
            <w:noWrap w:val="0"/>
            <w:vAlign w:val="center"/>
          </w:tcPr>
          <w:p w14:paraId="73FC16CC">
            <w:pPr>
              <w:pStyle w:val="42"/>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bidi="ar-SA"/>
              </w:rPr>
            </w:pPr>
            <w:r>
              <w:rPr>
                <w:rFonts w:hint="eastAsia" w:ascii="Times New Roman" w:hAnsi="Times New Roman" w:cs="Times New Roman"/>
                <w:snapToGrid w:val="0"/>
                <w:color w:val="auto"/>
                <w:kern w:val="21"/>
                <w:sz w:val="24"/>
                <w:szCs w:val="24"/>
                <w:highlight w:val="none"/>
                <w:lang w:val="en-US" w:eastAsia="zh-CN" w:bidi="ar-SA"/>
              </w:rPr>
              <w:t>0.01</w:t>
            </w:r>
          </w:p>
        </w:tc>
        <w:tc>
          <w:tcPr>
            <w:tcW w:w="497" w:type="pct"/>
            <w:shd w:val="clear" w:color="auto" w:fill="auto"/>
            <w:noWrap w:val="0"/>
            <w:vAlign w:val="center"/>
          </w:tcPr>
          <w:p w14:paraId="4CCF914C">
            <w:pPr>
              <w:pStyle w:val="42"/>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lang w:val="en-US" w:eastAsia="zh-CN" w:bidi="ar-SA"/>
              </w:rPr>
            </w:pPr>
            <w:r>
              <w:rPr>
                <w:rFonts w:hint="eastAsia" w:ascii="Times New Roman" w:hAnsi="Times New Roman" w:cs="Times New Roman"/>
                <w:snapToGrid w:val="0"/>
                <w:color w:val="auto"/>
                <w:kern w:val="21"/>
                <w:sz w:val="24"/>
                <w:szCs w:val="24"/>
                <w:highlight w:val="none"/>
                <w:lang w:val="en-US" w:eastAsia="zh-CN" w:bidi="ar-SA"/>
              </w:rPr>
              <w:t>+0.01</w:t>
            </w:r>
          </w:p>
        </w:tc>
      </w:tr>
      <w:tr w14:paraId="0247BF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6" w:type="pct"/>
            <w:vMerge w:val="continue"/>
            <w:noWrap w:val="0"/>
            <w:vAlign w:val="center"/>
          </w:tcPr>
          <w:p w14:paraId="60EF2700">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1365" w:type="dxa"/>
            <w:shd w:val="clear" w:color="auto" w:fill="auto"/>
            <w:noWrap w:val="0"/>
            <w:vAlign w:val="center"/>
          </w:tcPr>
          <w:p w14:paraId="3F4C0207">
            <w:pPr>
              <w:pStyle w:val="34"/>
              <w:bidi w:val="0"/>
              <w:ind w:firstLine="0" w:firstLineChars="0"/>
              <w:rPr>
                <w:rFonts w:hint="eastAsia" w:cs="Times New Roman"/>
                <w:color w:val="auto"/>
                <w:sz w:val="24"/>
                <w:szCs w:val="24"/>
                <w:highlight w:val="none"/>
                <w:lang w:val="en-US" w:eastAsia="zh-CN"/>
              </w:rPr>
            </w:pPr>
            <w:r>
              <w:rPr>
                <w:rFonts w:hint="eastAsia" w:ascii="Times New Roman" w:hAnsi="Times New Roman" w:eastAsia="宋体" w:cs="宋体"/>
                <w:color w:val="auto"/>
                <w:sz w:val="24"/>
                <w:szCs w:val="24"/>
                <w:highlight w:val="none"/>
                <w:lang w:val="en-US" w:eastAsia="zh-CN"/>
              </w:rPr>
              <w:t>废油桶</w:t>
            </w:r>
          </w:p>
        </w:tc>
        <w:tc>
          <w:tcPr>
            <w:tcW w:w="1386" w:type="dxa"/>
            <w:shd w:val="clear" w:color="auto" w:fill="auto"/>
            <w:noWrap w:val="0"/>
            <w:vAlign w:val="center"/>
          </w:tcPr>
          <w:p w14:paraId="35E6B972">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p>
        </w:tc>
        <w:tc>
          <w:tcPr>
            <w:tcW w:w="1080" w:type="dxa"/>
            <w:shd w:val="clear" w:color="auto" w:fill="auto"/>
            <w:noWrap w:val="0"/>
            <w:vAlign w:val="center"/>
          </w:tcPr>
          <w:p w14:paraId="630C73A0">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p>
        </w:tc>
        <w:tc>
          <w:tcPr>
            <w:tcW w:w="1548" w:type="dxa"/>
            <w:shd w:val="clear" w:color="auto" w:fill="auto"/>
            <w:noWrap w:val="0"/>
            <w:vAlign w:val="center"/>
          </w:tcPr>
          <w:p w14:paraId="02846655">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p>
        </w:tc>
        <w:tc>
          <w:tcPr>
            <w:tcW w:w="1726" w:type="dxa"/>
            <w:shd w:val="clear" w:color="auto" w:fill="auto"/>
            <w:noWrap w:val="0"/>
            <w:vAlign w:val="center"/>
          </w:tcPr>
          <w:p w14:paraId="453F6E20">
            <w:pPr>
              <w:pStyle w:val="34"/>
              <w:bidi w:val="0"/>
              <w:ind w:firstLine="0" w:firstLineChars="0"/>
              <w:rPr>
                <w:rFonts w:hint="default" w:ascii="Times New Roman" w:hAnsi="Times New Roman" w:cs="Times New Roman"/>
                <w:snapToGrid w:val="0"/>
                <w:color w:val="auto"/>
                <w:kern w:val="21"/>
                <w:sz w:val="24"/>
                <w:szCs w:val="24"/>
                <w:highlight w:val="none"/>
                <w:lang w:val="en-US" w:eastAsia="zh-CN" w:bidi="ar-SA"/>
              </w:rPr>
            </w:pPr>
            <w:r>
              <w:rPr>
                <w:rFonts w:hint="default"/>
                <w:color w:val="auto"/>
                <w:sz w:val="24"/>
                <w:szCs w:val="24"/>
                <w:highlight w:val="none"/>
                <w:lang w:val="en-US" w:eastAsia="zh-CN"/>
              </w:rPr>
              <w:t>0.00</w:t>
            </w:r>
            <w:r>
              <w:rPr>
                <w:rFonts w:hint="eastAsia"/>
                <w:color w:val="auto"/>
                <w:sz w:val="24"/>
                <w:szCs w:val="24"/>
                <w:highlight w:val="none"/>
                <w:lang w:val="en-US" w:eastAsia="zh-CN"/>
              </w:rPr>
              <w:t>05</w:t>
            </w:r>
          </w:p>
        </w:tc>
        <w:tc>
          <w:tcPr>
            <w:tcW w:w="1561" w:type="dxa"/>
            <w:shd w:val="clear" w:color="auto" w:fill="auto"/>
            <w:noWrap w:val="0"/>
            <w:vAlign w:val="center"/>
          </w:tcPr>
          <w:p w14:paraId="5E3BFC92">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default"/>
                <w:color w:val="auto"/>
                <w:sz w:val="24"/>
                <w:szCs w:val="24"/>
                <w:highlight w:val="none"/>
                <w:lang w:val="en-US" w:eastAsia="zh-CN"/>
              </w:rPr>
              <w:t>/</w:t>
            </w:r>
          </w:p>
        </w:tc>
        <w:tc>
          <w:tcPr>
            <w:tcW w:w="1769" w:type="dxa"/>
            <w:shd w:val="clear" w:color="auto" w:fill="auto"/>
            <w:noWrap w:val="0"/>
            <w:vAlign w:val="center"/>
          </w:tcPr>
          <w:p w14:paraId="05900B13">
            <w:pPr>
              <w:pStyle w:val="34"/>
              <w:bidi w:val="0"/>
              <w:ind w:firstLine="0" w:firstLineChars="0"/>
              <w:rPr>
                <w:rFonts w:hint="eastAsia" w:ascii="Times New Roman" w:hAnsi="Times New Roman" w:cs="Times New Roman"/>
                <w:snapToGrid w:val="0"/>
                <w:color w:val="auto"/>
                <w:kern w:val="21"/>
                <w:sz w:val="24"/>
                <w:szCs w:val="24"/>
                <w:highlight w:val="none"/>
                <w:lang w:val="en-US" w:eastAsia="zh-CN" w:bidi="ar-SA"/>
              </w:rPr>
            </w:pPr>
            <w:r>
              <w:rPr>
                <w:rFonts w:hint="default"/>
                <w:color w:val="auto"/>
                <w:sz w:val="24"/>
                <w:szCs w:val="24"/>
                <w:highlight w:val="none"/>
                <w:lang w:val="en-US" w:eastAsia="zh-CN"/>
              </w:rPr>
              <w:t>0.00</w:t>
            </w:r>
            <w:r>
              <w:rPr>
                <w:rFonts w:hint="eastAsia"/>
                <w:color w:val="auto"/>
                <w:sz w:val="24"/>
                <w:szCs w:val="24"/>
                <w:highlight w:val="none"/>
                <w:lang w:val="en-US" w:eastAsia="zh-CN"/>
              </w:rPr>
              <w:t>05</w:t>
            </w:r>
          </w:p>
        </w:tc>
        <w:tc>
          <w:tcPr>
            <w:tcW w:w="1322" w:type="dxa"/>
            <w:shd w:val="clear" w:color="auto" w:fill="auto"/>
            <w:noWrap w:val="0"/>
            <w:vAlign w:val="center"/>
          </w:tcPr>
          <w:p w14:paraId="365DF6F7">
            <w:pPr>
              <w:pStyle w:val="34"/>
              <w:bidi w:val="0"/>
              <w:ind w:firstLine="0" w:firstLineChars="0"/>
              <w:rPr>
                <w:rFonts w:hint="default" w:ascii="Times New Roman" w:hAnsi="Times New Roman"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w:t>
            </w:r>
            <w:r>
              <w:rPr>
                <w:rFonts w:hint="default"/>
                <w:color w:val="auto"/>
                <w:sz w:val="24"/>
                <w:szCs w:val="24"/>
                <w:highlight w:val="none"/>
                <w:lang w:val="en-US" w:eastAsia="zh-CN"/>
              </w:rPr>
              <w:t>0.00</w:t>
            </w:r>
            <w:r>
              <w:rPr>
                <w:rFonts w:hint="eastAsia"/>
                <w:color w:val="auto"/>
                <w:sz w:val="24"/>
                <w:szCs w:val="24"/>
                <w:highlight w:val="none"/>
                <w:lang w:val="en-US" w:eastAsia="zh-CN"/>
              </w:rPr>
              <w:t>05</w:t>
            </w:r>
          </w:p>
        </w:tc>
      </w:tr>
      <w:tr w14:paraId="611DB2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6" w:type="pct"/>
            <w:vMerge w:val="continue"/>
            <w:noWrap w:val="0"/>
            <w:vAlign w:val="center"/>
          </w:tcPr>
          <w:p w14:paraId="1AD8148B">
            <w:pPr>
              <w:keepNext w:val="0"/>
              <w:keepLines w:val="0"/>
              <w:pageBreakBefore w:val="0"/>
              <w:widowControl w:val="0"/>
              <w:kinsoku/>
              <w:wordWrap w:val="0"/>
              <w:overflowPunct/>
              <w:topLinePunct/>
              <w:autoSpaceDE/>
              <w:autoSpaceDN/>
              <w:bidi w:val="0"/>
              <w:spacing w:line="240" w:lineRule="auto"/>
              <w:ind w:firstLine="0" w:firstLineChars="0"/>
              <w:jc w:val="center"/>
              <w:textAlignment w:val="auto"/>
              <w:rPr>
                <w:rFonts w:hint="default" w:ascii="Times New Roman" w:hAnsi="Times New Roman" w:eastAsia="宋体" w:cs="Times New Roman"/>
                <w:snapToGrid w:val="0"/>
                <w:color w:val="auto"/>
                <w:kern w:val="21"/>
                <w:sz w:val="24"/>
                <w:szCs w:val="24"/>
                <w:highlight w:val="none"/>
              </w:rPr>
            </w:pPr>
          </w:p>
        </w:tc>
        <w:tc>
          <w:tcPr>
            <w:tcW w:w="1365" w:type="dxa"/>
            <w:shd w:val="clear" w:color="auto" w:fill="auto"/>
            <w:noWrap w:val="0"/>
            <w:vAlign w:val="center"/>
          </w:tcPr>
          <w:p w14:paraId="29D96161">
            <w:pPr>
              <w:pStyle w:val="34"/>
              <w:bidi w:val="0"/>
              <w:ind w:firstLine="0" w:firstLineChars="0"/>
              <w:rPr>
                <w:rFonts w:hint="eastAsia" w:cs="Times New Roman"/>
                <w:color w:val="auto"/>
                <w:sz w:val="24"/>
                <w:szCs w:val="24"/>
                <w:highlight w:val="none"/>
                <w:lang w:val="en-US" w:eastAsia="zh-CN"/>
              </w:rPr>
            </w:pPr>
            <w:r>
              <w:rPr>
                <w:rFonts w:hint="eastAsia" w:ascii="Times New Roman" w:hAnsi="Times New Roman" w:eastAsia="宋体" w:cs="宋体"/>
                <w:color w:val="auto"/>
                <w:sz w:val="24"/>
                <w:szCs w:val="24"/>
                <w:highlight w:val="none"/>
                <w:lang w:val="en-US" w:eastAsia="zh-CN"/>
              </w:rPr>
              <w:t>含油抹布及棉纱手套</w:t>
            </w:r>
          </w:p>
        </w:tc>
        <w:tc>
          <w:tcPr>
            <w:tcW w:w="1386" w:type="dxa"/>
            <w:shd w:val="clear" w:color="auto" w:fill="auto"/>
            <w:noWrap w:val="0"/>
            <w:vAlign w:val="center"/>
          </w:tcPr>
          <w:p w14:paraId="1730EAC9">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p>
        </w:tc>
        <w:tc>
          <w:tcPr>
            <w:tcW w:w="1080" w:type="dxa"/>
            <w:shd w:val="clear" w:color="auto" w:fill="auto"/>
            <w:noWrap w:val="0"/>
            <w:vAlign w:val="center"/>
          </w:tcPr>
          <w:p w14:paraId="7CF9A93F">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p>
        </w:tc>
        <w:tc>
          <w:tcPr>
            <w:tcW w:w="1548" w:type="dxa"/>
            <w:shd w:val="clear" w:color="auto" w:fill="auto"/>
            <w:noWrap w:val="0"/>
            <w:vAlign w:val="center"/>
          </w:tcPr>
          <w:p w14:paraId="11BBB202">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p>
        </w:tc>
        <w:tc>
          <w:tcPr>
            <w:tcW w:w="1726" w:type="dxa"/>
            <w:shd w:val="clear" w:color="auto" w:fill="auto"/>
            <w:noWrap w:val="0"/>
            <w:vAlign w:val="center"/>
          </w:tcPr>
          <w:p w14:paraId="2C77D93F">
            <w:pPr>
              <w:pStyle w:val="34"/>
              <w:bidi w:val="0"/>
              <w:ind w:firstLine="0" w:firstLineChars="0"/>
              <w:rPr>
                <w:rFonts w:hint="default" w:ascii="Times New Roman" w:hAnsi="Times New Roman" w:cs="Times New Roman"/>
                <w:snapToGrid w:val="0"/>
                <w:color w:val="auto"/>
                <w:kern w:val="21"/>
                <w:sz w:val="24"/>
                <w:szCs w:val="24"/>
                <w:highlight w:val="none"/>
                <w:lang w:val="en-US" w:eastAsia="zh-CN" w:bidi="ar-SA"/>
              </w:rPr>
            </w:pPr>
            <w:r>
              <w:rPr>
                <w:rFonts w:hint="default"/>
                <w:color w:val="auto"/>
                <w:sz w:val="24"/>
                <w:szCs w:val="24"/>
                <w:highlight w:val="none"/>
                <w:lang w:val="en-US" w:eastAsia="zh-CN"/>
              </w:rPr>
              <w:t>0.00</w:t>
            </w:r>
            <w:r>
              <w:rPr>
                <w:rFonts w:hint="eastAsia"/>
                <w:color w:val="auto"/>
                <w:sz w:val="24"/>
                <w:szCs w:val="24"/>
                <w:highlight w:val="none"/>
                <w:lang w:val="en-US" w:eastAsia="zh-CN"/>
              </w:rPr>
              <w:t>05</w:t>
            </w:r>
          </w:p>
        </w:tc>
        <w:tc>
          <w:tcPr>
            <w:tcW w:w="1561" w:type="dxa"/>
            <w:shd w:val="clear" w:color="auto" w:fill="auto"/>
            <w:noWrap w:val="0"/>
            <w:vAlign w:val="center"/>
          </w:tcPr>
          <w:p w14:paraId="601398ED">
            <w:pPr>
              <w:pStyle w:val="34"/>
              <w:bidi w:val="0"/>
              <w:ind w:firstLine="0" w:firstLineChars="0"/>
              <w:rPr>
                <w:rFonts w:hint="default" w:ascii="Times New Roman" w:hAnsi="Times New Roman" w:eastAsia="宋体" w:cs="Times New Roman"/>
                <w:snapToGrid w:val="0"/>
                <w:color w:val="auto"/>
                <w:kern w:val="21"/>
                <w:sz w:val="24"/>
                <w:szCs w:val="24"/>
                <w:highlight w:val="none"/>
                <w:lang w:val="en-US" w:eastAsia="zh-CN" w:bidi="ar-SA"/>
              </w:rPr>
            </w:pPr>
            <w:r>
              <w:rPr>
                <w:rFonts w:hint="default"/>
                <w:color w:val="auto"/>
                <w:sz w:val="24"/>
                <w:szCs w:val="24"/>
                <w:highlight w:val="none"/>
                <w:lang w:val="en-US" w:eastAsia="zh-CN"/>
              </w:rPr>
              <w:t>/</w:t>
            </w:r>
          </w:p>
        </w:tc>
        <w:tc>
          <w:tcPr>
            <w:tcW w:w="1769" w:type="dxa"/>
            <w:shd w:val="clear" w:color="auto" w:fill="auto"/>
            <w:noWrap w:val="0"/>
            <w:vAlign w:val="center"/>
          </w:tcPr>
          <w:p w14:paraId="45B6754A">
            <w:pPr>
              <w:pStyle w:val="34"/>
              <w:bidi w:val="0"/>
              <w:ind w:firstLine="0" w:firstLineChars="0"/>
              <w:rPr>
                <w:rFonts w:hint="eastAsia" w:ascii="Times New Roman" w:hAnsi="Times New Roman" w:cs="Times New Roman"/>
                <w:snapToGrid w:val="0"/>
                <w:color w:val="auto"/>
                <w:kern w:val="21"/>
                <w:sz w:val="24"/>
                <w:szCs w:val="24"/>
                <w:highlight w:val="none"/>
                <w:lang w:val="en-US" w:eastAsia="zh-CN" w:bidi="ar-SA"/>
              </w:rPr>
            </w:pPr>
            <w:r>
              <w:rPr>
                <w:rFonts w:hint="default"/>
                <w:color w:val="auto"/>
                <w:sz w:val="24"/>
                <w:szCs w:val="24"/>
                <w:highlight w:val="none"/>
                <w:lang w:val="en-US" w:eastAsia="zh-CN"/>
              </w:rPr>
              <w:t>0.00</w:t>
            </w:r>
            <w:r>
              <w:rPr>
                <w:rFonts w:hint="eastAsia"/>
                <w:color w:val="auto"/>
                <w:sz w:val="24"/>
                <w:szCs w:val="24"/>
                <w:highlight w:val="none"/>
                <w:lang w:val="en-US" w:eastAsia="zh-CN"/>
              </w:rPr>
              <w:t>05</w:t>
            </w:r>
          </w:p>
        </w:tc>
        <w:tc>
          <w:tcPr>
            <w:tcW w:w="1322" w:type="dxa"/>
            <w:shd w:val="clear" w:color="auto" w:fill="auto"/>
            <w:noWrap w:val="0"/>
            <w:vAlign w:val="center"/>
          </w:tcPr>
          <w:p w14:paraId="78817C36">
            <w:pPr>
              <w:pStyle w:val="34"/>
              <w:bidi w:val="0"/>
              <w:ind w:firstLine="0" w:firstLineChars="0"/>
              <w:rPr>
                <w:rFonts w:hint="default" w:ascii="Times New Roman" w:hAnsi="Times New Roman" w:cs="Times New Roman"/>
                <w:snapToGrid w:val="0"/>
                <w:color w:val="auto"/>
                <w:kern w:val="21"/>
                <w:sz w:val="24"/>
                <w:szCs w:val="24"/>
                <w:highlight w:val="none"/>
                <w:lang w:val="en-US" w:eastAsia="zh-CN" w:bidi="ar-SA"/>
              </w:rPr>
            </w:pPr>
            <w:r>
              <w:rPr>
                <w:rFonts w:hint="eastAsia"/>
                <w:color w:val="auto"/>
                <w:sz w:val="24"/>
                <w:szCs w:val="24"/>
                <w:highlight w:val="none"/>
                <w:lang w:val="en-US" w:eastAsia="zh-CN"/>
              </w:rPr>
              <w:t>+</w:t>
            </w:r>
            <w:r>
              <w:rPr>
                <w:rFonts w:hint="default"/>
                <w:color w:val="auto"/>
                <w:sz w:val="24"/>
                <w:szCs w:val="24"/>
                <w:highlight w:val="none"/>
                <w:lang w:val="en-US" w:eastAsia="zh-CN"/>
              </w:rPr>
              <w:t>0.00</w:t>
            </w:r>
            <w:r>
              <w:rPr>
                <w:rFonts w:hint="eastAsia"/>
                <w:color w:val="auto"/>
                <w:sz w:val="24"/>
                <w:szCs w:val="24"/>
                <w:highlight w:val="none"/>
                <w:lang w:val="en-US" w:eastAsia="zh-CN"/>
              </w:rPr>
              <w:t>05</w:t>
            </w:r>
          </w:p>
        </w:tc>
      </w:tr>
    </w:tbl>
    <w:p w14:paraId="54467B47">
      <w:pPr>
        <w:spacing w:before="192" w:beforeLines="80" w:after="24"/>
        <w:jc w:val="left"/>
        <w:rPr>
          <w:rFonts w:hint="eastAsia" w:ascii="Times New Roman" w:hAnsi="Times New Roman" w:eastAsia="宋体" w:cs="宋体"/>
          <w:snapToGrid w:val="0"/>
          <w:color w:val="auto"/>
          <w:spacing w:val="-6"/>
          <w:kern w:val="21"/>
          <w:szCs w:val="21"/>
          <w:highlight w:val="none"/>
        </w:rPr>
      </w:pPr>
      <w:r>
        <w:rPr>
          <w:rFonts w:ascii="Times New Roman" w:hAnsi="Times New Roman" w:eastAsia="宋体" w:cs="宋体"/>
          <w:snapToGrid w:val="0"/>
          <w:color w:val="auto"/>
          <w:kern w:val="21"/>
          <w:szCs w:val="21"/>
          <w:highlight w:val="none"/>
        </w:rPr>
        <w:t>注：</w:t>
      </w:r>
      <w:r>
        <w:rPr>
          <w:rFonts w:ascii="Times New Roman" w:hAnsi="Times New Roman" w:eastAsia="宋体" w:cs="宋体"/>
          <w:snapToGrid w:val="0"/>
          <w:color w:val="auto"/>
          <w:spacing w:val="-16"/>
          <w:kern w:val="21"/>
          <w:szCs w:val="21"/>
          <w:highlight w:val="none"/>
        </w:rPr>
        <w:fldChar w:fldCharType="begin"/>
      </w:r>
      <w:r>
        <w:rPr>
          <w:rFonts w:ascii="Times New Roman" w:hAnsi="Times New Roman" w:eastAsia="宋体" w:cs="宋体"/>
          <w:snapToGrid w:val="0"/>
          <w:color w:val="auto"/>
          <w:spacing w:val="-16"/>
          <w:kern w:val="21"/>
          <w:szCs w:val="21"/>
          <w:highlight w:val="none"/>
        </w:rPr>
        <w:instrText xml:space="preserve"> = 6 \* GB3 \* MERGEFORMAT </w:instrText>
      </w:r>
      <w:r>
        <w:rPr>
          <w:rFonts w:ascii="Times New Roman" w:hAnsi="Times New Roman" w:eastAsia="宋体" w:cs="宋体"/>
          <w:snapToGrid w:val="0"/>
          <w:color w:val="auto"/>
          <w:spacing w:val="-16"/>
          <w:kern w:val="21"/>
          <w:szCs w:val="21"/>
          <w:highlight w:val="none"/>
        </w:rPr>
        <w:fldChar w:fldCharType="separate"/>
      </w:r>
      <w:r>
        <w:rPr>
          <w:rFonts w:hint="eastAsia" w:ascii="Times New Roman" w:hAnsi="Times New Roman" w:eastAsia="宋体" w:cs="宋体"/>
          <w:color w:val="auto"/>
          <w:szCs w:val="21"/>
          <w:highlight w:val="none"/>
        </w:rPr>
        <w:t>⑥</w:t>
      </w:r>
      <w:r>
        <w:rPr>
          <w:rFonts w:ascii="Times New Roman" w:hAnsi="Times New Roman" w:eastAsia="宋体" w:cs="宋体"/>
          <w:snapToGrid w:val="0"/>
          <w:color w:val="auto"/>
          <w:spacing w:val="-16"/>
          <w:kern w:val="21"/>
          <w:szCs w:val="21"/>
          <w:highlight w:val="none"/>
        </w:rPr>
        <w:fldChar w:fldCharType="end"/>
      </w:r>
      <w:r>
        <w:rPr>
          <w:rFonts w:ascii="Times New Roman" w:hAnsi="Times New Roman" w:eastAsia="宋体" w:cs="宋体"/>
          <w:snapToGrid w:val="0"/>
          <w:color w:val="auto"/>
          <w:spacing w:val="-16"/>
          <w:kern w:val="21"/>
          <w:szCs w:val="21"/>
          <w:highlight w:val="none"/>
        </w:rPr>
        <w:t>=</w:t>
      </w:r>
      <w:r>
        <w:rPr>
          <w:rFonts w:ascii="Times New Roman" w:hAnsi="Times New Roman" w:eastAsia="宋体" w:cs="宋体"/>
          <w:snapToGrid w:val="0"/>
          <w:color w:val="auto"/>
          <w:spacing w:val="-6"/>
          <w:kern w:val="21"/>
          <w:szCs w:val="21"/>
          <w:highlight w:val="none"/>
        </w:rPr>
        <w:fldChar w:fldCharType="begin"/>
      </w:r>
      <w:r>
        <w:rPr>
          <w:rFonts w:ascii="Times New Roman" w:hAnsi="Times New Roman" w:eastAsia="宋体" w:cs="宋体"/>
          <w:snapToGrid w:val="0"/>
          <w:color w:val="auto"/>
          <w:spacing w:val="-6"/>
          <w:kern w:val="21"/>
          <w:szCs w:val="21"/>
          <w:highlight w:val="none"/>
        </w:rPr>
        <w:instrText xml:space="preserve"> = 1 \* GB3 \* MERGEFORMAT </w:instrText>
      </w:r>
      <w:r>
        <w:rPr>
          <w:rFonts w:ascii="Times New Roman" w:hAnsi="Times New Roman" w:eastAsia="宋体" w:cs="宋体"/>
          <w:snapToGrid w:val="0"/>
          <w:color w:val="auto"/>
          <w:spacing w:val="-6"/>
          <w:kern w:val="21"/>
          <w:szCs w:val="21"/>
          <w:highlight w:val="none"/>
        </w:rPr>
        <w:fldChar w:fldCharType="separate"/>
      </w:r>
      <w:r>
        <w:rPr>
          <w:rFonts w:hint="eastAsia" w:ascii="Times New Roman" w:hAnsi="Times New Roman" w:eastAsia="宋体" w:cs="宋体"/>
          <w:color w:val="auto"/>
          <w:szCs w:val="21"/>
          <w:highlight w:val="none"/>
        </w:rPr>
        <w:t>①</w:t>
      </w:r>
      <w:r>
        <w:rPr>
          <w:rFonts w:ascii="Times New Roman" w:hAnsi="Times New Roman" w:eastAsia="宋体" w:cs="宋体"/>
          <w:snapToGrid w:val="0"/>
          <w:color w:val="auto"/>
          <w:spacing w:val="-6"/>
          <w:kern w:val="21"/>
          <w:szCs w:val="21"/>
          <w:highlight w:val="none"/>
        </w:rPr>
        <w:fldChar w:fldCharType="end"/>
      </w:r>
      <w:r>
        <w:rPr>
          <w:rFonts w:ascii="Times New Roman" w:hAnsi="Times New Roman" w:eastAsia="宋体" w:cs="宋体"/>
          <w:snapToGrid w:val="0"/>
          <w:color w:val="auto"/>
          <w:spacing w:val="-6"/>
          <w:kern w:val="21"/>
          <w:szCs w:val="21"/>
          <w:highlight w:val="none"/>
        </w:rPr>
        <w:t>+</w:t>
      </w:r>
      <w:r>
        <w:rPr>
          <w:rFonts w:ascii="Times New Roman" w:hAnsi="Times New Roman" w:eastAsia="宋体" w:cs="宋体"/>
          <w:snapToGrid w:val="0"/>
          <w:color w:val="auto"/>
          <w:spacing w:val="-6"/>
          <w:kern w:val="21"/>
          <w:szCs w:val="21"/>
          <w:highlight w:val="none"/>
        </w:rPr>
        <w:fldChar w:fldCharType="begin"/>
      </w:r>
      <w:r>
        <w:rPr>
          <w:rFonts w:ascii="Times New Roman" w:hAnsi="Times New Roman" w:eastAsia="宋体" w:cs="宋体"/>
          <w:snapToGrid w:val="0"/>
          <w:color w:val="auto"/>
          <w:spacing w:val="-6"/>
          <w:kern w:val="21"/>
          <w:szCs w:val="21"/>
          <w:highlight w:val="none"/>
        </w:rPr>
        <w:instrText xml:space="preserve"> = 3 \* GB3 \* MERGEFORMAT </w:instrText>
      </w:r>
      <w:r>
        <w:rPr>
          <w:rFonts w:ascii="Times New Roman" w:hAnsi="Times New Roman" w:eastAsia="宋体" w:cs="宋体"/>
          <w:snapToGrid w:val="0"/>
          <w:color w:val="auto"/>
          <w:spacing w:val="-6"/>
          <w:kern w:val="21"/>
          <w:szCs w:val="21"/>
          <w:highlight w:val="none"/>
        </w:rPr>
        <w:fldChar w:fldCharType="separate"/>
      </w:r>
      <w:r>
        <w:rPr>
          <w:rFonts w:hint="eastAsia" w:ascii="Times New Roman" w:hAnsi="Times New Roman" w:eastAsia="宋体" w:cs="宋体"/>
          <w:color w:val="auto"/>
          <w:szCs w:val="21"/>
          <w:highlight w:val="none"/>
        </w:rPr>
        <w:t>③</w:t>
      </w:r>
      <w:r>
        <w:rPr>
          <w:rFonts w:ascii="Times New Roman" w:hAnsi="Times New Roman" w:eastAsia="宋体" w:cs="宋体"/>
          <w:snapToGrid w:val="0"/>
          <w:color w:val="auto"/>
          <w:spacing w:val="-6"/>
          <w:kern w:val="21"/>
          <w:szCs w:val="21"/>
          <w:highlight w:val="none"/>
        </w:rPr>
        <w:fldChar w:fldCharType="end"/>
      </w:r>
      <w:r>
        <w:rPr>
          <w:rFonts w:ascii="Times New Roman" w:hAnsi="Times New Roman" w:eastAsia="宋体" w:cs="宋体"/>
          <w:snapToGrid w:val="0"/>
          <w:color w:val="auto"/>
          <w:spacing w:val="-6"/>
          <w:kern w:val="21"/>
          <w:szCs w:val="21"/>
          <w:highlight w:val="none"/>
        </w:rPr>
        <w:t>+</w:t>
      </w:r>
      <w:r>
        <w:rPr>
          <w:rFonts w:ascii="Times New Roman" w:hAnsi="Times New Roman" w:eastAsia="宋体" w:cs="宋体"/>
          <w:snapToGrid w:val="0"/>
          <w:color w:val="auto"/>
          <w:spacing w:val="-6"/>
          <w:kern w:val="21"/>
          <w:szCs w:val="21"/>
          <w:highlight w:val="none"/>
        </w:rPr>
        <w:fldChar w:fldCharType="begin"/>
      </w:r>
      <w:r>
        <w:rPr>
          <w:rFonts w:ascii="Times New Roman" w:hAnsi="Times New Roman" w:eastAsia="宋体" w:cs="宋体"/>
          <w:snapToGrid w:val="0"/>
          <w:color w:val="auto"/>
          <w:spacing w:val="-6"/>
          <w:kern w:val="21"/>
          <w:szCs w:val="21"/>
          <w:highlight w:val="none"/>
        </w:rPr>
        <w:instrText xml:space="preserve"> = 4 \* GB3 \* MERGEFORMAT </w:instrText>
      </w:r>
      <w:r>
        <w:rPr>
          <w:rFonts w:ascii="Times New Roman" w:hAnsi="Times New Roman" w:eastAsia="宋体" w:cs="宋体"/>
          <w:snapToGrid w:val="0"/>
          <w:color w:val="auto"/>
          <w:spacing w:val="-6"/>
          <w:kern w:val="21"/>
          <w:szCs w:val="21"/>
          <w:highlight w:val="none"/>
        </w:rPr>
        <w:fldChar w:fldCharType="separate"/>
      </w:r>
      <w:r>
        <w:rPr>
          <w:rFonts w:hint="eastAsia" w:ascii="Times New Roman" w:hAnsi="Times New Roman" w:eastAsia="宋体" w:cs="宋体"/>
          <w:color w:val="auto"/>
          <w:szCs w:val="21"/>
          <w:highlight w:val="none"/>
        </w:rPr>
        <w:t>④</w:t>
      </w:r>
      <w:r>
        <w:rPr>
          <w:rFonts w:ascii="Times New Roman" w:hAnsi="Times New Roman" w:eastAsia="宋体" w:cs="宋体"/>
          <w:snapToGrid w:val="0"/>
          <w:color w:val="auto"/>
          <w:spacing w:val="-6"/>
          <w:kern w:val="21"/>
          <w:szCs w:val="21"/>
          <w:highlight w:val="none"/>
        </w:rPr>
        <w:fldChar w:fldCharType="end"/>
      </w:r>
      <w:r>
        <w:rPr>
          <w:rFonts w:ascii="Times New Roman" w:hAnsi="Times New Roman" w:eastAsia="宋体" w:cs="宋体"/>
          <w:snapToGrid w:val="0"/>
          <w:color w:val="auto"/>
          <w:spacing w:val="-6"/>
          <w:kern w:val="21"/>
          <w:szCs w:val="21"/>
          <w:highlight w:val="none"/>
        </w:rPr>
        <w:t>-</w:t>
      </w:r>
      <w:r>
        <w:rPr>
          <w:rFonts w:ascii="Times New Roman" w:hAnsi="Times New Roman" w:eastAsia="宋体" w:cs="宋体"/>
          <w:snapToGrid w:val="0"/>
          <w:color w:val="auto"/>
          <w:spacing w:val="-16"/>
          <w:kern w:val="21"/>
          <w:szCs w:val="21"/>
          <w:highlight w:val="none"/>
        </w:rPr>
        <w:fldChar w:fldCharType="begin"/>
      </w:r>
      <w:r>
        <w:rPr>
          <w:rFonts w:ascii="Times New Roman" w:hAnsi="Times New Roman" w:eastAsia="宋体" w:cs="宋体"/>
          <w:snapToGrid w:val="0"/>
          <w:color w:val="auto"/>
          <w:spacing w:val="-16"/>
          <w:kern w:val="21"/>
          <w:szCs w:val="21"/>
          <w:highlight w:val="none"/>
        </w:rPr>
        <w:instrText xml:space="preserve"> = 5 \* GB3 \* MERGEFORMAT </w:instrText>
      </w:r>
      <w:r>
        <w:rPr>
          <w:rFonts w:ascii="Times New Roman" w:hAnsi="Times New Roman" w:eastAsia="宋体" w:cs="宋体"/>
          <w:snapToGrid w:val="0"/>
          <w:color w:val="auto"/>
          <w:spacing w:val="-16"/>
          <w:kern w:val="21"/>
          <w:szCs w:val="21"/>
          <w:highlight w:val="none"/>
        </w:rPr>
        <w:fldChar w:fldCharType="separate"/>
      </w:r>
      <w:r>
        <w:rPr>
          <w:rFonts w:hint="eastAsia" w:ascii="Times New Roman" w:hAnsi="Times New Roman" w:eastAsia="宋体" w:cs="宋体"/>
          <w:color w:val="auto"/>
          <w:szCs w:val="21"/>
          <w:highlight w:val="none"/>
        </w:rPr>
        <w:t>⑤</w:t>
      </w:r>
      <w:r>
        <w:rPr>
          <w:rFonts w:ascii="Times New Roman" w:hAnsi="Times New Roman" w:eastAsia="宋体" w:cs="宋体"/>
          <w:snapToGrid w:val="0"/>
          <w:color w:val="auto"/>
          <w:spacing w:val="-16"/>
          <w:kern w:val="21"/>
          <w:szCs w:val="21"/>
          <w:highlight w:val="none"/>
        </w:rPr>
        <w:fldChar w:fldCharType="end"/>
      </w:r>
      <w:r>
        <w:rPr>
          <w:rFonts w:ascii="Times New Roman" w:hAnsi="Times New Roman" w:eastAsia="宋体" w:cs="宋体"/>
          <w:snapToGrid w:val="0"/>
          <w:color w:val="auto"/>
          <w:spacing w:val="-16"/>
          <w:kern w:val="21"/>
          <w:szCs w:val="21"/>
          <w:highlight w:val="none"/>
        </w:rPr>
        <w:t>；</w:t>
      </w:r>
      <w:r>
        <w:rPr>
          <w:rFonts w:ascii="Times New Roman" w:hAnsi="Times New Roman" w:eastAsia="宋体" w:cs="宋体"/>
          <w:snapToGrid w:val="0"/>
          <w:color w:val="auto"/>
          <w:spacing w:val="-6"/>
          <w:kern w:val="21"/>
          <w:szCs w:val="21"/>
          <w:highlight w:val="none"/>
        </w:rPr>
        <w:fldChar w:fldCharType="begin"/>
      </w:r>
      <w:r>
        <w:rPr>
          <w:rFonts w:ascii="Times New Roman" w:hAnsi="Times New Roman" w:eastAsia="宋体" w:cs="宋体"/>
          <w:snapToGrid w:val="0"/>
          <w:color w:val="auto"/>
          <w:spacing w:val="-6"/>
          <w:kern w:val="21"/>
          <w:szCs w:val="21"/>
          <w:highlight w:val="none"/>
        </w:rPr>
        <w:instrText xml:space="preserve"> = 7 \* GB3 \* MERGEFORMAT </w:instrText>
      </w:r>
      <w:r>
        <w:rPr>
          <w:rFonts w:ascii="Times New Roman" w:hAnsi="Times New Roman" w:eastAsia="宋体" w:cs="宋体"/>
          <w:snapToGrid w:val="0"/>
          <w:color w:val="auto"/>
          <w:spacing w:val="-6"/>
          <w:kern w:val="21"/>
          <w:szCs w:val="21"/>
          <w:highlight w:val="none"/>
        </w:rPr>
        <w:fldChar w:fldCharType="separate"/>
      </w:r>
      <w:r>
        <w:rPr>
          <w:rFonts w:hint="eastAsia" w:ascii="Times New Roman" w:hAnsi="Times New Roman" w:eastAsia="宋体" w:cs="宋体"/>
          <w:color w:val="auto"/>
          <w:szCs w:val="21"/>
          <w:highlight w:val="none"/>
        </w:rPr>
        <w:t>⑦</w:t>
      </w:r>
      <w:r>
        <w:rPr>
          <w:rFonts w:ascii="Times New Roman" w:hAnsi="Times New Roman" w:eastAsia="宋体" w:cs="宋体"/>
          <w:snapToGrid w:val="0"/>
          <w:color w:val="auto"/>
          <w:spacing w:val="-6"/>
          <w:kern w:val="21"/>
          <w:szCs w:val="21"/>
          <w:highlight w:val="none"/>
        </w:rPr>
        <w:fldChar w:fldCharType="end"/>
      </w:r>
      <w:r>
        <w:rPr>
          <w:rFonts w:ascii="Times New Roman" w:hAnsi="Times New Roman" w:eastAsia="宋体" w:cs="宋体"/>
          <w:snapToGrid w:val="0"/>
          <w:color w:val="auto"/>
          <w:spacing w:val="-6"/>
          <w:kern w:val="21"/>
          <w:szCs w:val="21"/>
          <w:highlight w:val="none"/>
        </w:rPr>
        <w:t>=</w:t>
      </w:r>
      <w:r>
        <w:rPr>
          <w:rFonts w:ascii="Times New Roman" w:hAnsi="Times New Roman" w:eastAsia="宋体" w:cs="宋体"/>
          <w:snapToGrid w:val="0"/>
          <w:color w:val="auto"/>
          <w:spacing w:val="-16"/>
          <w:kern w:val="21"/>
          <w:szCs w:val="21"/>
          <w:highlight w:val="none"/>
        </w:rPr>
        <w:fldChar w:fldCharType="begin"/>
      </w:r>
      <w:r>
        <w:rPr>
          <w:rFonts w:ascii="Times New Roman" w:hAnsi="Times New Roman" w:eastAsia="宋体" w:cs="宋体"/>
          <w:snapToGrid w:val="0"/>
          <w:color w:val="auto"/>
          <w:spacing w:val="-16"/>
          <w:kern w:val="21"/>
          <w:szCs w:val="21"/>
          <w:highlight w:val="none"/>
        </w:rPr>
        <w:instrText xml:space="preserve"> = 6 \* GB3 \* MERGEFORMAT </w:instrText>
      </w:r>
      <w:r>
        <w:rPr>
          <w:rFonts w:ascii="Times New Roman" w:hAnsi="Times New Roman" w:eastAsia="宋体" w:cs="宋体"/>
          <w:snapToGrid w:val="0"/>
          <w:color w:val="auto"/>
          <w:spacing w:val="-16"/>
          <w:kern w:val="21"/>
          <w:szCs w:val="21"/>
          <w:highlight w:val="none"/>
        </w:rPr>
        <w:fldChar w:fldCharType="separate"/>
      </w:r>
      <w:r>
        <w:rPr>
          <w:rFonts w:hint="eastAsia" w:ascii="Times New Roman" w:hAnsi="Times New Roman" w:eastAsia="宋体" w:cs="宋体"/>
          <w:color w:val="auto"/>
          <w:szCs w:val="21"/>
          <w:highlight w:val="none"/>
        </w:rPr>
        <w:t>⑥</w:t>
      </w:r>
      <w:r>
        <w:rPr>
          <w:rFonts w:ascii="Times New Roman" w:hAnsi="Times New Roman" w:eastAsia="宋体" w:cs="宋体"/>
          <w:snapToGrid w:val="0"/>
          <w:color w:val="auto"/>
          <w:spacing w:val="-16"/>
          <w:kern w:val="21"/>
          <w:szCs w:val="21"/>
          <w:highlight w:val="none"/>
        </w:rPr>
        <w:fldChar w:fldCharType="end"/>
      </w:r>
      <w:r>
        <w:rPr>
          <w:rFonts w:ascii="Times New Roman" w:hAnsi="Times New Roman" w:eastAsia="宋体" w:cs="宋体"/>
          <w:snapToGrid w:val="0"/>
          <w:color w:val="auto"/>
          <w:spacing w:val="-16"/>
          <w:kern w:val="21"/>
          <w:szCs w:val="21"/>
          <w:highlight w:val="none"/>
        </w:rPr>
        <w:t>-</w:t>
      </w:r>
      <w:r>
        <w:rPr>
          <w:rFonts w:ascii="Times New Roman" w:hAnsi="Times New Roman" w:eastAsia="宋体" w:cs="宋体"/>
          <w:snapToGrid w:val="0"/>
          <w:color w:val="auto"/>
          <w:spacing w:val="-6"/>
          <w:kern w:val="21"/>
          <w:szCs w:val="21"/>
          <w:highlight w:val="none"/>
        </w:rPr>
        <w:fldChar w:fldCharType="begin"/>
      </w:r>
      <w:r>
        <w:rPr>
          <w:rFonts w:ascii="Times New Roman" w:hAnsi="Times New Roman" w:eastAsia="宋体" w:cs="宋体"/>
          <w:snapToGrid w:val="0"/>
          <w:color w:val="auto"/>
          <w:spacing w:val="-6"/>
          <w:kern w:val="21"/>
          <w:szCs w:val="21"/>
          <w:highlight w:val="none"/>
        </w:rPr>
        <w:instrText xml:space="preserve"> = 1 \* GB3 \* MERGEFORMAT </w:instrText>
      </w:r>
      <w:r>
        <w:rPr>
          <w:rFonts w:ascii="Times New Roman" w:hAnsi="Times New Roman" w:eastAsia="宋体" w:cs="宋体"/>
          <w:snapToGrid w:val="0"/>
          <w:color w:val="auto"/>
          <w:spacing w:val="-6"/>
          <w:kern w:val="21"/>
          <w:szCs w:val="21"/>
          <w:highlight w:val="none"/>
        </w:rPr>
        <w:fldChar w:fldCharType="separate"/>
      </w:r>
      <w:r>
        <w:rPr>
          <w:rFonts w:hint="eastAsia" w:ascii="Times New Roman" w:hAnsi="Times New Roman" w:eastAsia="宋体" w:cs="宋体"/>
          <w:color w:val="auto"/>
          <w:szCs w:val="21"/>
          <w:highlight w:val="none"/>
        </w:rPr>
        <w:t>①</w:t>
      </w:r>
      <w:r>
        <w:rPr>
          <w:rFonts w:ascii="Times New Roman" w:hAnsi="Times New Roman" w:eastAsia="宋体" w:cs="宋体"/>
          <w:snapToGrid w:val="0"/>
          <w:color w:val="auto"/>
          <w:spacing w:val="-6"/>
          <w:kern w:val="21"/>
          <w:szCs w:val="21"/>
          <w:highlight w:val="none"/>
        </w:rPr>
        <w:fldChar w:fldCharType="end"/>
      </w:r>
    </w:p>
    <w:p w14:paraId="3E0F85CB">
      <w:pPr>
        <w:rPr>
          <w:rFonts w:hint="eastAsia" w:ascii="Times New Roman" w:hAnsi="Times New Roman" w:eastAsia="宋体" w:cs="宋体"/>
          <w:color w:val="auto"/>
          <w:highlight w:val="none"/>
        </w:rPr>
      </w:pPr>
    </w:p>
    <w:p w14:paraId="6390A5E3">
      <w:pPr>
        <w:rPr>
          <w:rFonts w:hint="eastAsia" w:ascii="Times New Roman" w:hAnsi="Times New Roman" w:eastAsia="宋体" w:cs="宋体"/>
          <w:color w:val="auto"/>
          <w:highlight w:val="none"/>
        </w:rPr>
        <w:sectPr>
          <w:footerReference r:id="rId9" w:type="default"/>
          <w:pgSz w:w="16838" w:h="11906" w:orient="landscape"/>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335BF810">
      <w:pPr>
        <w:pStyle w:val="32"/>
        <w:bidi w:val="0"/>
        <w:jc w:val="left"/>
        <w:rPr>
          <w:rFonts w:hint="eastAsia"/>
          <w:color w:val="auto"/>
          <w:highlight w:val="none"/>
        </w:rPr>
      </w:pPr>
      <w:bookmarkStart w:id="15" w:name="_Toc21726"/>
      <w:r>
        <w:rPr>
          <w:rFonts w:hint="eastAsia"/>
          <w:color w:val="auto"/>
          <w:highlight w:val="none"/>
        </w:rPr>
        <w:t>附图</w:t>
      </w:r>
      <w:r>
        <w:rPr>
          <w:rFonts w:hint="eastAsia"/>
          <w:color w:val="auto"/>
          <w:highlight w:val="none"/>
          <w:lang w:val="en-US" w:eastAsia="zh-CN"/>
        </w:rPr>
        <w:t xml:space="preserve">1 </w:t>
      </w:r>
      <w:r>
        <w:rPr>
          <w:rFonts w:hint="eastAsia"/>
          <w:color w:val="auto"/>
          <w:highlight w:val="none"/>
        </w:rPr>
        <w:t>项目地理位置图</w:t>
      </w:r>
      <w:bookmarkEnd w:id="15"/>
    </w:p>
    <w:p w14:paraId="5EA92B8B">
      <w:pPr>
        <w:outlineLvl w:val="9"/>
        <w:rPr>
          <w:rFonts w:hint="eastAsia" w:ascii="Times New Roman" w:hAnsi="Times New Roman" w:eastAsia="宋体" w:cs="宋体"/>
          <w:color w:val="auto"/>
          <w:highlight w:val="none"/>
        </w:rPr>
        <w:sectPr>
          <w:footerReference r:id="rId10" w:type="default"/>
          <w:pgSz w:w="11906" w:h="16838"/>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anchor distT="0" distB="0" distL="114300" distR="114300" simplePos="0" relativeHeight="251667456" behindDoc="0" locked="0" layoutInCell="1" allowOverlap="1">
            <wp:simplePos x="0" y="0"/>
            <wp:positionH relativeFrom="column">
              <wp:posOffset>4671695</wp:posOffset>
            </wp:positionH>
            <wp:positionV relativeFrom="paragraph">
              <wp:posOffset>20320</wp:posOffset>
            </wp:positionV>
            <wp:extent cx="1037590" cy="808990"/>
            <wp:effectExtent l="0" t="0" r="10160" b="10160"/>
            <wp:wrapNone/>
            <wp:docPr id="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0"/>
                    <pic:cNvPicPr>
                      <a:picLocks noChangeAspect="1"/>
                    </pic:cNvPicPr>
                  </pic:nvPicPr>
                  <pic:blipFill>
                    <a:blip r:embed="rId31"/>
                    <a:srcRect l="7535" t="12062" r="28831" b="8557"/>
                    <a:stretch>
                      <a:fillRect/>
                    </a:stretch>
                  </pic:blipFill>
                  <pic:spPr>
                    <a:xfrm>
                      <a:off x="0" y="0"/>
                      <a:ext cx="1037590" cy="808990"/>
                    </a:xfrm>
                    <a:prstGeom prst="rect">
                      <a:avLst/>
                    </a:prstGeom>
                    <a:noFill/>
                    <a:ln>
                      <a:noFill/>
                    </a:ln>
                  </pic:spPr>
                </pic:pic>
              </a:graphicData>
            </a:graphic>
          </wp:anchor>
        </w:drawing>
      </w:r>
      <w:r>
        <w:rPr>
          <w:color w:val="auto"/>
          <w:highlight w:val="none"/>
        </w:rPr>
        <w:drawing>
          <wp:anchor distT="0" distB="0" distL="114300" distR="114300" simplePos="0" relativeHeight="251672576" behindDoc="1" locked="0" layoutInCell="1" allowOverlap="1">
            <wp:simplePos x="0" y="0"/>
            <wp:positionH relativeFrom="column">
              <wp:posOffset>24765</wp:posOffset>
            </wp:positionH>
            <wp:positionV relativeFrom="paragraph">
              <wp:posOffset>0</wp:posOffset>
            </wp:positionV>
            <wp:extent cx="5681980" cy="7534910"/>
            <wp:effectExtent l="0" t="0" r="13970" b="8890"/>
            <wp:wrapNone/>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32"/>
                    <a:stretch>
                      <a:fillRect/>
                    </a:stretch>
                  </pic:blipFill>
                  <pic:spPr>
                    <a:xfrm>
                      <a:off x="0" y="0"/>
                      <a:ext cx="5681980" cy="7534910"/>
                    </a:xfrm>
                    <a:prstGeom prst="rect">
                      <a:avLst/>
                    </a:prstGeom>
                    <a:noFill/>
                    <a:ln>
                      <a:noFill/>
                    </a:ln>
                  </pic:spPr>
                </pic:pic>
              </a:graphicData>
            </a:graphic>
          </wp:anchor>
        </w:drawing>
      </w:r>
    </w:p>
    <w:p w14:paraId="394DD962">
      <w:pPr>
        <w:outlineLvl w:val="9"/>
        <w:rPr>
          <w:rStyle w:val="56"/>
          <w:rFonts w:hint="eastAsia"/>
          <w:color w:val="auto"/>
          <w:highlight w:val="none"/>
        </w:rPr>
        <w:sectPr>
          <w:pgSz w:w="16838" w:h="11906" w:orient="landscape"/>
          <w:pgMar w:top="1440" w:right="1800" w:bottom="1440" w:left="1800" w:header="851" w:footer="850" w:gutter="0"/>
          <w:pgBorders>
            <w:top w:val="none" w:sz="0" w:space="0"/>
            <w:left w:val="none" w:sz="0" w:space="0"/>
            <w:bottom w:val="none" w:sz="0" w:space="0"/>
            <w:right w:val="none" w:sz="0" w:space="0"/>
          </w:pgBorders>
          <w:cols w:space="720" w:num="1"/>
          <w:docGrid w:linePitch="312" w:charSpace="0"/>
        </w:sectPr>
      </w:pPr>
      <w:r>
        <w:rPr>
          <w:color w:val="auto"/>
          <w:sz w:val="21"/>
          <w:highlight w:val="none"/>
        </w:rPr>
        <mc:AlternateContent>
          <mc:Choice Requires="wps">
            <w:drawing>
              <wp:anchor distT="0" distB="0" distL="114300" distR="114300" simplePos="0" relativeHeight="251675648" behindDoc="0" locked="0" layoutInCell="1" allowOverlap="1">
                <wp:simplePos x="0" y="0"/>
                <wp:positionH relativeFrom="column">
                  <wp:posOffset>6486525</wp:posOffset>
                </wp:positionH>
                <wp:positionV relativeFrom="paragraph">
                  <wp:posOffset>5523230</wp:posOffset>
                </wp:positionV>
                <wp:extent cx="419100" cy="133350"/>
                <wp:effectExtent l="9525" t="9525" r="9525" b="9525"/>
                <wp:wrapNone/>
                <wp:docPr id="50" name="矩形 50"/>
                <wp:cNvGraphicFramePr/>
                <a:graphic xmlns:a="http://schemas.openxmlformats.org/drawingml/2006/main">
                  <a:graphicData uri="http://schemas.microsoft.com/office/word/2010/wordprocessingShape">
                    <wps:wsp>
                      <wps:cNvSpPr/>
                      <wps:spPr>
                        <a:xfrm>
                          <a:off x="0" y="0"/>
                          <a:ext cx="419100" cy="1333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0.75pt;margin-top:434.9pt;height:10.5pt;width:33pt;z-index:251675648;v-text-anchor:middle;mso-width-relative:page;mso-height-relative:page;" filled="f" stroked="t" coordsize="21600,21600" o:gfxdata="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xA2Uj9kAAAANAQAADwAAAAAAAAABACAAAAAiAAAAZHJzL2Rvd25yZXYueG1s&#10;UEsBAhQAFAAAAAgAh07iQAt+xjppAgAAzAQAAA4AAAAAAAAAAQAgAAAAKAEAAGRycy9lMm9Eb2Mu&#10;eG1sUEsFBgAAAAAGAAYAWQEAAAMGAAAAAA==&#10;">
                <v:fill on="f" focussize="0,0"/>
                <v:stroke weight="1.5pt" color="#FF0000 [3204]" miterlimit="8" joinstyle="miter"/>
                <v:imagedata o:title=""/>
                <o:lock v:ext="edit" aspectratio="f"/>
              </v:rect>
            </w:pict>
          </mc:Fallback>
        </mc:AlternateContent>
      </w:r>
      <w:r>
        <w:rPr>
          <w:color w:val="auto"/>
          <w:sz w:val="21"/>
          <w:highlight w:val="none"/>
        </w:rPr>
        <mc:AlternateContent>
          <mc:Choice Requires="wps">
            <w:drawing>
              <wp:anchor distT="0" distB="0" distL="114300" distR="114300" simplePos="0" relativeHeight="251674624" behindDoc="0" locked="0" layoutInCell="1" allowOverlap="1">
                <wp:simplePos x="0" y="0"/>
                <wp:positionH relativeFrom="column">
                  <wp:posOffset>5747385</wp:posOffset>
                </wp:positionH>
                <wp:positionV relativeFrom="paragraph">
                  <wp:posOffset>5165090</wp:posOffset>
                </wp:positionV>
                <wp:extent cx="1238885" cy="590550"/>
                <wp:effectExtent l="4445" t="4445" r="13970" b="14605"/>
                <wp:wrapNone/>
                <wp:docPr id="49" name="文本框 49"/>
                <wp:cNvGraphicFramePr/>
                <a:graphic xmlns:a="http://schemas.openxmlformats.org/drawingml/2006/main">
                  <a:graphicData uri="http://schemas.microsoft.com/office/word/2010/wordprocessingShape">
                    <wps:wsp>
                      <wps:cNvSpPr txBox="1"/>
                      <wps:spPr>
                        <a:xfrm>
                          <a:off x="0" y="0"/>
                          <a:ext cx="1238885" cy="590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7DCD27D">
                            <w:pPr>
                              <w:keepNext w:val="0"/>
                              <w:keepLines w:val="0"/>
                              <w:pageBreakBefore w:val="0"/>
                              <w:widowControl w:val="0"/>
                              <w:kinsoku/>
                              <w:overflowPunct/>
                              <w:autoSpaceDE/>
                              <w:autoSpaceDN/>
                              <w:bidi w:val="0"/>
                              <w:adjustRightInd/>
                              <w:snapToGrid/>
                              <w:spacing w:line="360" w:lineRule="auto"/>
                              <w:jc w:val="center"/>
                              <w:textAlignment w:val="auto"/>
                              <w:rPr>
                                <w:rFonts w:hint="eastAsia"/>
                                <w:b/>
                                <w:bCs/>
                                <w:sz w:val="24"/>
                                <w:szCs w:val="32"/>
                                <w:lang w:val="en-US" w:eastAsia="zh-CN"/>
                              </w:rPr>
                            </w:pPr>
                            <w:r>
                              <w:rPr>
                                <w:rFonts w:hint="eastAsia"/>
                                <w:b/>
                                <w:bCs/>
                                <w:sz w:val="24"/>
                                <w:szCs w:val="32"/>
                                <w:lang w:val="en-US" w:eastAsia="zh-CN"/>
                              </w:rPr>
                              <w:t>图  例</w:t>
                            </w:r>
                          </w:p>
                          <w:p w14:paraId="0D3C04E6">
                            <w:pPr>
                              <w:pStyle w:val="35"/>
                              <w:keepNext w:val="0"/>
                              <w:keepLines w:val="0"/>
                              <w:pageBreakBefore w:val="0"/>
                              <w:widowControl w:val="0"/>
                              <w:kinsoku/>
                              <w:wordWrap w:val="0"/>
                              <w:overflowPunct/>
                              <w:topLinePunct w:val="0"/>
                              <w:bidi w:val="0"/>
                              <w:adjustRightInd/>
                              <w:snapToGrid/>
                              <w:spacing w:line="360" w:lineRule="auto"/>
                              <w:ind w:firstLine="0" w:firstLineChars="0"/>
                              <w:textAlignment w:val="auto"/>
                              <w:rPr>
                                <w:rFonts w:hint="default"/>
                                <w:sz w:val="22"/>
                                <w:szCs w:val="22"/>
                                <w:lang w:val="en-US" w:eastAsia="zh-CN"/>
                              </w:rPr>
                            </w:pPr>
                            <w:r>
                              <w:rPr>
                                <w:rFonts w:hint="eastAsia"/>
                                <w:sz w:val="22"/>
                                <w:szCs w:val="22"/>
                                <w:lang w:val="en-US" w:eastAsia="zh-CN"/>
                              </w:rPr>
                              <w:t>厂界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2.55pt;margin-top:406.7pt;height:46.5pt;width:97.55pt;z-index:251674624;mso-width-relative:page;mso-height-relative:page;" fillcolor="#FFFFFF [3201]" filled="t" stroked="t" coordsize="21600,21600" o:gfxdata="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VXLbDX&#10;AAAADAEAAA8AAAAAAAAAAQAgAAAAIgAAAGRycy9kb3ducmV2LnhtbFBLAQIUABQAAAAIAIdO4kAu&#10;I7VqWgIAALkEAAAOAAAAAAAAAAEAIAAAACYBAABkcnMvZTJvRG9jLnhtbFBLBQYAAAAABgAGAFkB&#10;AADyBQAAAAA=&#10;">
                <v:fill on="t" focussize="0,0"/>
                <v:stroke weight="0.5pt" color="#000000 [3204]" joinstyle="round"/>
                <v:imagedata o:title=""/>
                <o:lock v:ext="edit" aspectratio="f"/>
                <v:textbox>
                  <w:txbxContent>
                    <w:p w14:paraId="77DCD27D">
                      <w:pPr>
                        <w:keepNext w:val="0"/>
                        <w:keepLines w:val="0"/>
                        <w:pageBreakBefore w:val="0"/>
                        <w:widowControl w:val="0"/>
                        <w:kinsoku/>
                        <w:overflowPunct/>
                        <w:autoSpaceDE/>
                        <w:autoSpaceDN/>
                        <w:bidi w:val="0"/>
                        <w:adjustRightInd/>
                        <w:snapToGrid/>
                        <w:spacing w:line="360" w:lineRule="auto"/>
                        <w:jc w:val="center"/>
                        <w:textAlignment w:val="auto"/>
                        <w:rPr>
                          <w:rFonts w:hint="eastAsia"/>
                          <w:b/>
                          <w:bCs/>
                          <w:sz w:val="24"/>
                          <w:szCs w:val="32"/>
                          <w:lang w:val="en-US" w:eastAsia="zh-CN"/>
                        </w:rPr>
                      </w:pPr>
                      <w:r>
                        <w:rPr>
                          <w:rFonts w:hint="eastAsia"/>
                          <w:b/>
                          <w:bCs/>
                          <w:sz w:val="24"/>
                          <w:szCs w:val="32"/>
                          <w:lang w:val="en-US" w:eastAsia="zh-CN"/>
                        </w:rPr>
                        <w:t>图  例</w:t>
                      </w:r>
                    </w:p>
                    <w:p w14:paraId="0D3C04E6">
                      <w:pPr>
                        <w:pStyle w:val="35"/>
                        <w:keepNext w:val="0"/>
                        <w:keepLines w:val="0"/>
                        <w:pageBreakBefore w:val="0"/>
                        <w:widowControl w:val="0"/>
                        <w:kinsoku/>
                        <w:wordWrap w:val="0"/>
                        <w:overflowPunct/>
                        <w:topLinePunct w:val="0"/>
                        <w:bidi w:val="0"/>
                        <w:adjustRightInd/>
                        <w:snapToGrid/>
                        <w:spacing w:line="360" w:lineRule="auto"/>
                        <w:ind w:firstLine="0" w:firstLineChars="0"/>
                        <w:textAlignment w:val="auto"/>
                        <w:rPr>
                          <w:rFonts w:hint="default"/>
                          <w:sz w:val="22"/>
                          <w:szCs w:val="22"/>
                          <w:lang w:val="en-US" w:eastAsia="zh-CN"/>
                        </w:rPr>
                      </w:pPr>
                      <w:r>
                        <w:rPr>
                          <w:rFonts w:hint="eastAsia"/>
                          <w:sz w:val="22"/>
                          <w:szCs w:val="22"/>
                          <w:lang w:val="en-US" w:eastAsia="zh-CN"/>
                        </w:rPr>
                        <w:t>厂界</w:t>
                      </w:r>
                    </w:p>
                  </w:txbxContent>
                </v:textbox>
              </v:shape>
            </w:pict>
          </mc:Fallback>
        </mc:AlternateContent>
      </w:r>
      <w:r>
        <w:rPr>
          <w:color w:val="auto"/>
          <w:highlight w:val="none"/>
        </w:rPr>
        <w:drawing>
          <wp:anchor distT="0" distB="0" distL="114300" distR="114300" simplePos="0" relativeHeight="251673600" behindDoc="0" locked="0" layoutInCell="1" allowOverlap="1">
            <wp:simplePos x="0" y="0"/>
            <wp:positionH relativeFrom="column">
              <wp:posOffset>5909945</wp:posOffset>
            </wp:positionH>
            <wp:positionV relativeFrom="paragraph">
              <wp:posOffset>19050</wp:posOffset>
            </wp:positionV>
            <wp:extent cx="1037590" cy="808990"/>
            <wp:effectExtent l="0" t="0" r="10160" b="10160"/>
            <wp:wrapNone/>
            <wp:docPr id="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0"/>
                    <pic:cNvPicPr>
                      <a:picLocks noChangeAspect="1"/>
                    </pic:cNvPicPr>
                  </pic:nvPicPr>
                  <pic:blipFill>
                    <a:blip r:embed="rId31"/>
                    <a:srcRect l="7535" t="12062" r="28831" b="8557"/>
                    <a:stretch>
                      <a:fillRect/>
                    </a:stretch>
                  </pic:blipFill>
                  <pic:spPr>
                    <a:xfrm>
                      <a:off x="0" y="0"/>
                      <a:ext cx="1037590" cy="808990"/>
                    </a:xfrm>
                    <a:prstGeom prst="rect">
                      <a:avLst/>
                    </a:prstGeom>
                    <a:noFill/>
                    <a:ln>
                      <a:noFill/>
                    </a:ln>
                  </pic:spPr>
                </pic:pic>
              </a:graphicData>
            </a:graphic>
          </wp:anchor>
        </w:drawing>
      </w:r>
      <w:r>
        <w:rPr>
          <w:color w:val="auto"/>
          <w:highlight w:val="none"/>
        </w:rPr>
        <w:drawing>
          <wp:anchor distT="0" distB="0" distL="114300" distR="114300" simplePos="0" relativeHeight="251672576" behindDoc="1" locked="0" layoutInCell="1" allowOverlap="1">
            <wp:simplePos x="0" y="0"/>
            <wp:positionH relativeFrom="column">
              <wp:posOffset>1412875</wp:posOffset>
            </wp:positionH>
            <wp:positionV relativeFrom="paragraph">
              <wp:posOffset>0</wp:posOffset>
            </wp:positionV>
            <wp:extent cx="5580380" cy="5780405"/>
            <wp:effectExtent l="0" t="0" r="1270" b="10795"/>
            <wp:wrapNone/>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33"/>
                    <a:stretch>
                      <a:fillRect/>
                    </a:stretch>
                  </pic:blipFill>
                  <pic:spPr>
                    <a:xfrm>
                      <a:off x="0" y="0"/>
                      <a:ext cx="5580380" cy="5780405"/>
                    </a:xfrm>
                    <a:prstGeom prst="rect">
                      <a:avLst/>
                    </a:prstGeom>
                    <a:noFill/>
                    <a:ln>
                      <a:noFill/>
                    </a:ln>
                  </pic:spPr>
                </pic:pic>
              </a:graphicData>
            </a:graphic>
          </wp:anchor>
        </w:drawing>
      </w:r>
      <w:bookmarkStart w:id="16" w:name="_Toc2537"/>
      <w:bookmarkStart w:id="17" w:name="_Toc29661"/>
      <w:bookmarkStart w:id="18" w:name="_Toc2600"/>
    </w:p>
    <w:bookmarkEnd w:id="16"/>
    <w:bookmarkEnd w:id="17"/>
    <w:bookmarkEnd w:id="18"/>
    <w:p w14:paraId="62BEDFCF">
      <w:pPr>
        <w:outlineLvl w:val="9"/>
        <w:rPr>
          <w:rStyle w:val="56"/>
          <w:rFonts w:hint="eastAsia"/>
          <w:color w:val="auto"/>
          <w:highlight w:val="none"/>
        </w:rPr>
      </w:pPr>
      <w:bookmarkStart w:id="19" w:name="_Toc21422"/>
      <w:r>
        <w:rPr>
          <w:rStyle w:val="56"/>
          <w:rFonts w:hint="eastAsia"/>
          <w:color w:val="auto"/>
          <w:highlight w:val="none"/>
        </w:rPr>
        <w:t>附图</w:t>
      </w:r>
      <w:r>
        <w:rPr>
          <w:rStyle w:val="56"/>
          <w:rFonts w:hint="eastAsia"/>
          <w:color w:val="auto"/>
          <w:highlight w:val="none"/>
          <w:lang w:val="en-US" w:eastAsia="zh-CN"/>
        </w:rPr>
        <w:t xml:space="preserve">2 </w:t>
      </w:r>
      <w:r>
        <w:rPr>
          <w:rStyle w:val="56"/>
          <w:rFonts w:hint="eastAsia"/>
          <w:color w:val="auto"/>
          <w:highlight w:val="none"/>
        </w:rPr>
        <w:t>环境保护目标</w:t>
      </w:r>
      <w:r>
        <w:rPr>
          <w:rStyle w:val="56"/>
          <w:rFonts w:hint="eastAsia"/>
          <w:color w:val="auto"/>
          <w:highlight w:val="none"/>
          <w:lang w:val="en-US" w:eastAsia="zh-CN"/>
        </w:rPr>
        <w:t>关系</w:t>
      </w:r>
      <w:r>
        <w:rPr>
          <w:rStyle w:val="56"/>
          <w:rFonts w:hint="eastAsia"/>
          <w:color w:val="auto"/>
          <w:highlight w:val="none"/>
        </w:rPr>
        <w:t>图</w:t>
      </w:r>
    </w:p>
    <w:bookmarkEnd w:id="19"/>
    <w:p w14:paraId="183BA08F">
      <w:pPr>
        <w:outlineLvl w:val="9"/>
        <w:rPr>
          <w:rFonts w:hint="eastAsia" w:ascii="Times New Roman" w:hAnsi="Times New Roman" w:eastAsia="宋体" w:cs="宋体"/>
          <w:color w:val="auto"/>
          <w:highlight w:val="none"/>
          <w:lang w:eastAsia="zh-CN"/>
        </w:rPr>
      </w:pPr>
      <w:r>
        <w:rPr>
          <w:color w:val="auto"/>
          <w:sz w:val="21"/>
          <w:highlight w:val="none"/>
        </w:rPr>
        <mc:AlternateContent>
          <mc:Choice Requires="wpg">
            <w:drawing>
              <wp:anchor distT="0" distB="0" distL="114300" distR="114300" simplePos="0" relativeHeight="251678720" behindDoc="0" locked="0" layoutInCell="1" allowOverlap="1">
                <wp:simplePos x="0" y="0"/>
                <wp:positionH relativeFrom="column">
                  <wp:posOffset>3566795</wp:posOffset>
                </wp:positionH>
                <wp:positionV relativeFrom="paragraph">
                  <wp:posOffset>5652135</wp:posOffset>
                </wp:positionV>
                <wp:extent cx="1962150" cy="1418590"/>
                <wp:effectExtent l="4445" t="4445" r="14605" b="5715"/>
                <wp:wrapNone/>
                <wp:docPr id="32" name="组合 32"/>
                <wp:cNvGraphicFramePr/>
                <a:graphic xmlns:a="http://schemas.openxmlformats.org/drawingml/2006/main">
                  <a:graphicData uri="http://schemas.microsoft.com/office/word/2010/wordprocessingGroup">
                    <wpg:wgp>
                      <wpg:cNvGrpSpPr/>
                      <wpg:grpSpPr>
                        <a:xfrm>
                          <a:off x="0" y="0"/>
                          <a:ext cx="1962150" cy="1418590"/>
                          <a:chOff x="19906" y="950097"/>
                          <a:chExt cx="3090" cy="2234"/>
                        </a:xfrm>
                      </wpg:grpSpPr>
                      <wps:wsp>
                        <wps:cNvPr id="52" name="文本框 52"/>
                        <wps:cNvSpPr txBox="1"/>
                        <wps:spPr>
                          <a:xfrm>
                            <a:off x="19906" y="950097"/>
                            <a:ext cx="3090" cy="22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7D3EC91">
                              <w:pPr>
                                <w:keepNext w:val="0"/>
                                <w:keepLines w:val="0"/>
                                <w:pageBreakBefore w:val="0"/>
                                <w:widowControl w:val="0"/>
                                <w:kinsoku/>
                                <w:overflowPunct/>
                                <w:autoSpaceDE/>
                                <w:autoSpaceDN/>
                                <w:bidi w:val="0"/>
                                <w:adjustRightInd/>
                                <w:snapToGrid/>
                                <w:spacing w:line="360" w:lineRule="auto"/>
                                <w:jc w:val="center"/>
                                <w:textAlignment w:val="auto"/>
                                <w:rPr>
                                  <w:rFonts w:hint="eastAsia"/>
                                  <w:b/>
                                  <w:bCs/>
                                  <w:sz w:val="24"/>
                                  <w:szCs w:val="32"/>
                                  <w:lang w:val="en-US" w:eastAsia="zh-CN"/>
                                </w:rPr>
                              </w:pPr>
                              <w:r>
                                <w:rPr>
                                  <w:rFonts w:hint="eastAsia"/>
                                  <w:b/>
                                  <w:bCs/>
                                  <w:sz w:val="24"/>
                                  <w:szCs w:val="32"/>
                                  <w:lang w:val="en-US" w:eastAsia="zh-CN"/>
                                </w:rPr>
                                <w:t>图  例</w:t>
                              </w:r>
                            </w:p>
                            <w:p w14:paraId="5CD03E9F">
                              <w:pPr>
                                <w:pStyle w:val="35"/>
                                <w:keepNext w:val="0"/>
                                <w:keepLines w:val="0"/>
                                <w:pageBreakBefore w:val="0"/>
                                <w:widowControl w:val="0"/>
                                <w:kinsoku/>
                                <w:wordWrap w:val="0"/>
                                <w:overflowPunct/>
                                <w:topLinePunct w:val="0"/>
                                <w:bidi w:val="0"/>
                                <w:adjustRightInd/>
                                <w:snapToGrid/>
                                <w:spacing w:line="360" w:lineRule="auto"/>
                                <w:ind w:firstLine="0" w:firstLineChars="0"/>
                                <w:textAlignment w:val="auto"/>
                                <w:rPr>
                                  <w:rFonts w:hint="default"/>
                                  <w:sz w:val="22"/>
                                  <w:szCs w:val="22"/>
                                  <w:lang w:val="en-US" w:eastAsia="zh-CN"/>
                                </w:rPr>
                              </w:pPr>
                              <w:r>
                                <w:rPr>
                                  <w:rFonts w:hint="eastAsia"/>
                                  <w:sz w:val="22"/>
                                  <w:szCs w:val="22"/>
                                  <w:lang w:val="en-US" w:eastAsia="zh-CN"/>
                                </w:rPr>
                                <w:t>厂界</w:t>
                              </w:r>
                            </w:p>
                            <w:p w14:paraId="62F6E054">
                              <w:pPr>
                                <w:pStyle w:val="35"/>
                                <w:keepNext w:val="0"/>
                                <w:keepLines w:val="0"/>
                                <w:pageBreakBefore w:val="0"/>
                                <w:widowControl w:val="0"/>
                                <w:kinsoku/>
                                <w:wordWrap w:val="0"/>
                                <w:overflowPunct/>
                                <w:topLinePunct w:val="0"/>
                                <w:bidi w:val="0"/>
                                <w:adjustRightInd/>
                                <w:snapToGrid/>
                                <w:spacing w:line="360" w:lineRule="auto"/>
                                <w:ind w:firstLine="0" w:firstLineChars="0"/>
                                <w:textAlignment w:val="auto"/>
                                <w:rPr>
                                  <w:rFonts w:hint="eastAsia"/>
                                  <w:sz w:val="22"/>
                                  <w:szCs w:val="22"/>
                                  <w:lang w:val="en-US" w:eastAsia="zh-CN"/>
                                </w:rPr>
                              </w:pPr>
                              <w:r>
                                <w:rPr>
                                  <w:rFonts w:hint="eastAsia"/>
                                  <w:sz w:val="22"/>
                                  <w:szCs w:val="22"/>
                                  <w:lang w:val="en-US" w:eastAsia="zh-CN"/>
                                </w:rPr>
                                <w:t>噪声评价范围</w:t>
                              </w:r>
                            </w:p>
                            <w:p w14:paraId="44CDE33E">
                              <w:pPr>
                                <w:pStyle w:val="35"/>
                                <w:keepNext w:val="0"/>
                                <w:keepLines w:val="0"/>
                                <w:pageBreakBefore w:val="0"/>
                                <w:widowControl w:val="0"/>
                                <w:kinsoku/>
                                <w:wordWrap w:val="0"/>
                                <w:overflowPunct/>
                                <w:topLinePunct w:val="0"/>
                                <w:bidi w:val="0"/>
                                <w:adjustRightInd/>
                                <w:snapToGrid/>
                                <w:spacing w:line="360" w:lineRule="auto"/>
                                <w:ind w:firstLine="0" w:firstLineChars="0"/>
                                <w:textAlignment w:val="auto"/>
                                <w:rPr>
                                  <w:rFonts w:hint="default"/>
                                  <w:sz w:val="22"/>
                                  <w:szCs w:val="22"/>
                                  <w:lang w:val="en-US" w:eastAsia="zh-CN"/>
                                </w:rPr>
                              </w:pPr>
                              <w:r>
                                <w:rPr>
                                  <w:rFonts w:hint="eastAsia"/>
                                  <w:sz w:val="22"/>
                                  <w:szCs w:val="22"/>
                                  <w:lang w:val="en-US" w:eastAsia="zh-CN"/>
                                </w:rPr>
                                <w:t>大气评价范围</w:t>
                              </w:r>
                            </w:p>
                            <w:p w14:paraId="0F13776C">
                              <w:pPr>
                                <w:pStyle w:val="35"/>
                                <w:keepNext w:val="0"/>
                                <w:keepLines w:val="0"/>
                                <w:pageBreakBefore w:val="0"/>
                                <w:widowControl w:val="0"/>
                                <w:kinsoku/>
                                <w:wordWrap w:val="0"/>
                                <w:overflowPunct/>
                                <w:topLinePunct w:val="0"/>
                                <w:bidi w:val="0"/>
                                <w:adjustRightInd/>
                                <w:snapToGrid/>
                                <w:spacing w:line="360" w:lineRule="auto"/>
                                <w:ind w:firstLine="0" w:firstLineChars="0"/>
                                <w:textAlignment w:val="auto"/>
                                <w:rPr>
                                  <w:rFonts w:hint="default"/>
                                  <w:sz w:val="22"/>
                                  <w:szCs w:val="22"/>
                                  <w:lang w:val="en-US" w:eastAsia="zh-CN"/>
                                </w:rPr>
                              </w:pPr>
                              <w:r>
                                <w:rPr>
                                  <w:rFonts w:hint="eastAsia"/>
                                  <w:sz w:val="22"/>
                                  <w:szCs w:val="22"/>
                                  <w:lang w:val="en-US" w:eastAsia="zh-CN"/>
                                </w:rPr>
                                <w:t>大气敏感目标</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 name="矩形 55"/>
                        <wps:cNvSpPr/>
                        <wps:spPr>
                          <a:xfrm>
                            <a:off x="22014" y="950676"/>
                            <a:ext cx="660" cy="21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2" name="矩形 42"/>
                        <wps:cNvSpPr/>
                        <wps:spPr>
                          <a:xfrm>
                            <a:off x="22014" y="951106"/>
                            <a:ext cx="660" cy="210"/>
                          </a:xfrm>
                          <a:prstGeom prst="rect">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3" name="矩形 43"/>
                        <wps:cNvSpPr/>
                        <wps:spPr>
                          <a:xfrm>
                            <a:off x="22014" y="951536"/>
                            <a:ext cx="660" cy="210"/>
                          </a:xfrm>
                          <a:prstGeom prst="rect">
                            <a:avLst/>
                          </a:prstGeom>
                          <a:noFill/>
                          <a:ln w="19050">
                            <a:solidFill>
                              <a:srgbClr val="0202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4" name="矩形 44"/>
                        <wps:cNvSpPr/>
                        <wps:spPr>
                          <a:xfrm>
                            <a:off x="22014" y="951966"/>
                            <a:ext cx="660" cy="210"/>
                          </a:xfrm>
                          <a:prstGeom prst="rect">
                            <a:avLst/>
                          </a:prstGeom>
                          <a:solidFill>
                            <a:srgbClr val="19359C"/>
                          </a:solidFill>
                          <a:ln w="19050">
                            <a:solidFill>
                              <a:srgbClr val="0202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80.85pt;margin-top:445.05pt;height:111.7pt;width:154.5pt;z-index:251678720;mso-width-relative:page;mso-height-relative:page;" coordorigin="19906,950097" coordsize="3090,2234" o:gfxdata="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">
                <o:lock v:ext="edit" aspectratio="f"/>
                <v:shape id="_x0000_s1026" o:spid="_x0000_s1026" o:spt="202" type="#_x0000_t202" style="position:absolute;left:19906;top:950097;height:2235;width:3090;" fillcolor="#FFFFFF [3201]" filled="t" stroked="t" coordsize="21600,21600" o:gfxdata="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1AAAK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67D3EC91">
                        <w:pPr>
                          <w:keepNext w:val="0"/>
                          <w:keepLines w:val="0"/>
                          <w:pageBreakBefore w:val="0"/>
                          <w:widowControl w:val="0"/>
                          <w:kinsoku/>
                          <w:overflowPunct/>
                          <w:autoSpaceDE/>
                          <w:autoSpaceDN/>
                          <w:bidi w:val="0"/>
                          <w:adjustRightInd/>
                          <w:snapToGrid/>
                          <w:spacing w:line="360" w:lineRule="auto"/>
                          <w:jc w:val="center"/>
                          <w:textAlignment w:val="auto"/>
                          <w:rPr>
                            <w:rFonts w:hint="eastAsia"/>
                            <w:b/>
                            <w:bCs/>
                            <w:sz w:val="24"/>
                            <w:szCs w:val="32"/>
                            <w:lang w:val="en-US" w:eastAsia="zh-CN"/>
                          </w:rPr>
                        </w:pPr>
                        <w:r>
                          <w:rPr>
                            <w:rFonts w:hint="eastAsia"/>
                            <w:b/>
                            <w:bCs/>
                            <w:sz w:val="24"/>
                            <w:szCs w:val="32"/>
                            <w:lang w:val="en-US" w:eastAsia="zh-CN"/>
                          </w:rPr>
                          <w:t>图  例</w:t>
                        </w:r>
                      </w:p>
                      <w:p w14:paraId="5CD03E9F">
                        <w:pPr>
                          <w:pStyle w:val="35"/>
                          <w:keepNext w:val="0"/>
                          <w:keepLines w:val="0"/>
                          <w:pageBreakBefore w:val="0"/>
                          <w:widowControl w:val="0"/>
                          <w:kinsoku/>
                          <w:wordWrap w:val="0"/>
                          <w:overflowPunct/>
                          <w:topLinePunct w:val="0"/>
                          <w:bidi w:val="0"/>
                          <w:adjustRightInd/>
                          <w:snapToGrid/>
                          <w:spacing w:line="360" w:lineRule="auto"/>
                          <w:ind w:firstLine="0" w:firstLineChars="0"/>
                          <w:textAlignment w:val="auto"/>
                          <w:rPr>
                            <w:rFonts w:hint="default"/>
                            <w:sz w:val="22"/>
                            <w:szCs w:val="22"/>
                            <w:lang w:val="en-US" w:eastAsia="zh-CN"/>
                          </w:rPr>
                        </w:pPr>
                        <w:r>
                          <w:rPr>
                            <w:rFonts w:hint="eastAsia"/>
                            <w:sz w:val="22"/>
                            <w:szCs w:val="22"/>
                            <w:lang w:val="en-US" w:eastAsia="zh-CN"/>
                          </w:rPr>
                          <w:t>厂界</w:t>
                        </w:r>
                      </w:p>
                      <w:p w14:paraId="62F6E054">
                        <w:pPr>
                          <w:pStyle w:val="35"/>
                          <w:keepNext w:val="0"/>
                          <w:keepLines w:val="0"/>
                          <w:pageBreakBefore w:val="0"/>
                          <w:widowControl w:val="0"/>
                          <w:kinsoku/>
                          <w:wordWrap w:val="0"/>
                          <w:overflowPunct/>
                          <w:topLinePunct w:val="0"/>
                          <w:bidi w:val="0"/>
                          <w:adjustRightInd/>
                          <w:snapToGrid/>
                          <w:spacing w:line="360" w:lineRule="auto"/>
                          <w:ind w:firstLine="0" w:firstLineChars="0"/>
                          <w:textAlignment w:val="auto"/>
                          <w:rPr>
                            <w:rFonts w:hint="eastAsia"/>
                            <w:sz w:val="22"/>
                            <w:szCs w:val="22"/>
                            <w:lang w:val="en-US" w:eastAsia="zh-CN"/>
                          </w:rPr>
                        </w:pPr>
                        <w:r>
                          <w:rPr>
                            <w:rFonts w:hint="eastAsia"/>
                            <w:sz w:val="22"/>
                            <w:szCs w:val="22"/>
                            <w:lang w:val="en-US" w:eastAsia="zh-CN"/>
                          </w:rPr>
                          <w:t>噪声评价范围</w:t>
                        </w:r>
                      </w:p>
                      <w:p w14:paraId="44CDE33E">
                        <w:pPr>
                          <w:pStyle w:val="35"/>
                          <w:keepNext w:val="0"/>
                          <w:keepLines w:val="0"/>
                          <w:pageBreakBefore w:val="0"/>
                          <w:widowControl w:val="0"/>
                          <w:kinsoku/>
                          <w:wordWrap w:val="0"/>
                          <w:overflowPunct/>
                          <w:topLinePunct w:val="0"/>
                          <w:bidi w:val="0"/>
                          <w:adjustRightInd/>
                          <w:snapToGrid/>
                          <w:spacing w:line="360" w:lineRule="auto"/>
                          <w:ind w:firstLine="0" w:firstLineChars="0"/>
                          <w:textAlignment w:val="auto"/>
                          <w:rPr>
                            <w:rFonts w:hint="default"/>
                            <w:sz w:val="22"/>
                            <w:szCs w:val="22"/>
                            <w:lang w:val="en-US" w:eastAsia="zh-CN"/>
                          </w:rPr>
                        </w:pPr>
                        <w:r>
                          <w:rPr>
                            <w:rFonts w:hint="eastAsia"/>
                            <w:sz w:val="22"/>
                            <w:szCs w:val="22"/>
                            <w:lang w:val="en-US" w:eastAsia="zh-CN"/>
                          </w:rPr>
                          <w:t>大气评价范围</w:t>
                        </w:r>
                      </w:p>
                      <w:p w14:paraId="0F13776C">
                        <w:pPr>
                          <w:pStyle w:val="35"/>
                          <w:keepNext w:val="0"/>
                          <w:keepLines w:val="0"/>
                          <w:pageBreakBefore w:val="0"/>
                          <w:widowControl w:val="0"/>
                          <w:kinsoku/>
                          <w:wordWrap w:val="0"/>
                          <w:overflowPunct/>
                          <w:topLinePunct w:val="0"/>
                          <w:bidi w:val="0"/>
                          <w:adjustRightInd/>
                          <w:snapToGrid/>
                          <w:spacing w:line="360" w:lineRule="auto"/>
                          <w:ind w:firstLine="0" w:firstLineChars="0"/>
                          <w:textAlignment w:val="auto"/>
                          <w:rPr>
                            <w:rFonts w:hint="default"/>
                            <w:sz w:val="22"/>
                            <w:szCs w:val="22"/>
                            <w:lang w:val="en-US" w:eastAsia="zh-CN"/>
                          </w:rPr>
                        </w:pPr>
                        <w:r>
                          <w:rPr>
                            <w:rFonts w:hint="eastAsia"/>
                            <w:sz w:val="22"/>
                            <w:szCs w:val="22"/>
                            <w:lang w:val="en-US" w:eastAsia="zh-CN"/>
                          </w:rPr>
                          <w:t>大气敏感目标</w:t>
                        </w:r>
                      </w:p>
                    </w:txbxContent>
                  </v:textbox>
                </v:shape>
                <v:rect id="_x0000_s1026" o:spid="_x0000_s1026" o:spt="1" style="position:absolute;left:22014;top:950676;height:210;width:660;v-text-anchor:middle;" filled="f" stroked="t" coordsize="21600,21600" o:gfxdata="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IGPe8AAAA&#10;2wAAAA8AAAAAAAAAAQAgAAAAIgAAAGRycy9kb3ducmV2LnhtbFBLAQIUABQAAAAIAIdO4kAzLwWe&#10;OwAAADkAAAAQAAAAAAAAAAEAIAAAAAsBAABkcnMvc2hhcGV4bWwueG1sUEsFBgAAAAAGAAYAWwEA&#10;ALUDAAAAAA==&#10;">
                  <v:fill on="f" focussize="0,0"/>
                  <v:stroke weight="1.5pt" color="#FF0000 [3204]" miterlimit="8" joinstyle="miter"/>
                  <v:imagedata o:title=""/>
                  <o:lock v:ext="edit" aspectratio="f"/>
                </v:rect>
                <v:rect id="_x0000_s1026" o:spid="_x0000_s1026" o:spt="1" style="position:absolute;left:22014;top:951106;height:210;width:660;v-text-anchor:middle;" filled="f" stroked="t" coordsize="21600,21600" o:gfxdata="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YUxY1twAAANsAAAAP&#10;AAAAAAAAAAEAIAAAACIAAABkcnMvZG93bnJldi54bWxQSwECFAAUAAAACACHTuJAMy8FnjsAAAA5&#10;AAAAEAAAAAAAAAABACAAAAAGAQAAZHJzL3NoYXBleG1sLnhtbFBLBQYAAAAABgAGAFsBAACwAwAA&#10;AAA=&#10;">
                  <v:fill on="f" focussize="0,0"/>
                  <v:stroke weight="1.5pt" color="#FFFF00 [3204]" miterlimit="8" joinstyle="miter"/>
                  <v:imagedata o:title=""/>
                  <o:lock v:ext="edit" aspectratio="f"/>
                </v:rect>
                <v:rect id="_x0000_s1026" o:spid="_x0000_s1026" o:spt="1" style="position:absolute;left:22014;top:951536;height:210;width:660;v-text-anchor:middle;" filled="f" stroked="t" coordsize="21600,21600" o:gfxdata="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2y2c68AAAA&#10;2wAAAA8AAAAAAAAAAQAgAAAAIgAAAGRycy9kb3ducmV2LnhtbFBLAQIUABQAAAAIAIdO4kAzLwWe&#10;OwAAADkAAAAQAAAAAAAAAAEAIAAAAAsBAABkcnMvc2hhcGV4bWwueG1sUEsFBgAAAAAGAAYAWwEA&#10;ALUDAAAAAA==&#10;">
                  <v:fill on="f" focussize="0,0"/>
                  <v:stroke weight="1.5pt" color="#0202F9 [3204]" miterlimit="8" joinstyle="miter"/>
                  <v:imagedata o:title=""/>
                  <o:lock v:ext="edit" aspectratio="f"/>
                </v:rect>
                <v:rect id="_x0000_s1026" o:spid="_x0000_s1026" o:spt="1" style="position:absolute;left:22014;top:951966;height:210;width:660;v-text-anchor:middle;" fillcolor="#19359C" filled="t" stroked="t" coordsize="21600,21600" o:gfxdata="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AI/IbgAAADbAAAA&#10;DwAAAAAAAAABACAAAAAiAAAAZHJzL2Rvd25yZXYueG1sUEsBAhQAFAAAAAgAh07iQDMvBZ47AAAA&#10;OQAAABAAAAAAAAAAAQAgAAAABwEAAGRycy9zaGFwZXhtbC54bWxQSwUGAAAAAAYABgBbAQAAsQMA&#10;AAAA&#10;">
                  <v:fill on="t" focussize="0,0"/>
                  <v:stroke weight="1.5pt" color="#0202F9 [3204]" miterlimit="8" joinstyle="miter"/>
                  <v:imagedata o:title=""/>
                  <o:lock v:ext="edit" aspectratio="f"/>
                </v:rect>
              </v:group>
            </w:pict>
          </mc:Fallback>
        </mc:AlternateContent>
      </w:r>
      <w:r>
        <w:rPr>
          <w:color w:val="auto"/>
          <w:highlight w:val="none"/>
        </w:rPr>
        <w:drawing>
          <wp:anchor distT="0" distB="0" distL="114300" distR="114300" simplePos="0" relativeHeight="251671552" behindDoc="0" locked="0" layoutInCell="1" allowOverlap="1">
            <wp:simplePos x="0" y="0"/>
            <wp:positionH relativeFrom="column">
              <wp:posOffset>4490720</wp:posOffset>
            </wp:positionH>
            <wp:positionV relativeFrom="paragraph">
              <wp:posOffset>1270</wp:posOffset>
            </wp:positionV>
            <wp:extent cx="1037590" cy="808990"/>
            <wp:effectExtent l="0" t="0" r="10160" b="10160"/>
            <wp:wrapNone/>
            <wp:docPr id="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0"/>
                    <pic:cNvPicPr>
                      <a:picLocks noChangeAspect="1"/>
                    </pic:cNvPicPr>
                  </pic:nvPicPr>
                  <pic:blipFill>
                    <a:blip r:embed="rId31"/>
                    <a:srcRect l="7535" t="12062" r="28831" b="8557"/>
                    <a:stretch>
                      <a:fillRect/>
                    </a:stretch>
                  </pic:blipFill>
                  <pic:spPr>
                    <a:xfrm>
                      <a:off x="0" y="0"/>
                      <a:ext cx="1037590" cy="808990"/>
                    </a:xfrm>
                    <a:prstGeom prst="rect">
                      <a:avLst/>
                    </a:prstGeom>
                    <a:noFill/>
                    <a:ln>
                      <a:noFill/>
                    </a:ln>
                  </pic:spPr>
                </pic:pic>
              </a:graphicData>
            </a:graphic>
          </wp:anchor>
        </w:drawing>
      </w:r>
      <w:r>
        <w:rPr>
          <w:color w:val="auto"/>
          <w:highlight w:val="none"/>
        </w:rPr>
        <w:drawing>
          <wp:anchor distT="0" distB="0" distL="114300" distR="114300" simplePos="0" relativeHeight="251679744" behindDoc="1" locked="0" layoutInCell="1" allowOverlap="1">
            <wp:simplePos x="0" y="0"/>
            <wp:positionH relativeFrom="column">
              <wp:posOffset>195580</wp:posOffset>
            </wp:positionH>
            <wp:positionV relativeFrom="paragraph">
              <wp:posOffset>0</wp:posOffset>
            </wp:positionV>
            <wp:extent cx="5340350" cy="5655310"/>
            <wp:effectExtent l="0" t="0" r="12700" b="2540"/>
            <wp:wrapNone/>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34"/>
                    <a:stretch>
                      <a:fillRect/>
                    </a:stretch>
                  </pic:blipFill>
                  <pic:spPr>
                    <a:xfrm>
                      <a:off x="0" y="0"/>
                      <a:ext cx="5340350" cy="5655310"/>
                    </a:xfrm>
                    <a:prstGeom prst="rect">
                      <a:avLst/>
                    </a:prstGeom>
                    <a:noFill/>
                    <a:ln>
                      <a:noFill/>
                    </a:ln>
                  </pic:spPr>
                </pic:pic>
              </a:graphicData>
            </a:graphic>
          </wp:anchor>
        </w:drawing>
      </w:r>
      <w:r>
        <w:rPr>
          <w:rFonts w:hint="eastAsia" w:ascii="Times New Roman" w:hAnsi="Times New Roman" w:eastAsia="宋体" w:cs="宋体"/>
          <w:color w:val="auto"/>
          <w:highlight w:val="none"/>
        </w:rPr>
        <w:br w:type="page"/>
      </w:r>
    </w:p>
    <w:p w14:paraId="3874864C">
      <w:pPr>
        <w:pStyle w:val="32"/>
        <w:bidi w:val="0"/>
        <w:jc w:val="left"/>
        <w:rPr>
          <w:rFonts w:hint="eastAsia"/>
          <w:color w:val="auto"/>
          <w:highlight w:val="none"/>
          <w:lang w:val="en-US" w:eastAsia="zh-CN"/>
        </w:rPr>
      </w:pPr>
      <w:bookmarkStart w:id="20" w:name="_Toc28571"/>
      <w:r>
        <w:rPr>
          <w:rFonts w:hint="eastAsia"/>
          <w:color w:val="auto"/>
          <w:highlight w:val="none"/>
        </w:rPr>
        <w:t>附图</w:t>
      </w:r>
      <w:r>
        <w:rPr>
          <w:rFonts w:hint="eastAsia"/>
          <w:color w:val="auto"/>
          <w:highlight w:val="none"/>
          <w:lang w:val="en-US" w:eastAsia="zh-CN"/>
        </w:rPr>
        <w:t xml:space="preserve">3 </w:t>
      </w:r>
      <w:r>
        <w:rPr>
          <w:rFonts w:hint="eastAsia"/>
          <w:color w:val="auto"/>
          <w:highlight w:val="none"/>
        </w:rPr>
        <w:t>项目平面布置</w:t>
      </w:r>
      <w:r>
        <w:rPr>
          <w:rFonts w:hint="eastAsia"/>
          <w:color w:val="auto"/>
          <w:highlight w:val="none"/>
          <w:lang w:val="en-US" w:eastAsia="zh-CN"/>
        </w:rPr>
        <w:t>及防渗图</w:t>
      </w:r>
      <w:bookmarkEnd w:id="20"/>
    </w:p>
    <w:p w14:paraId="58537087">
      <w:pPr>
        <w:pStyle w:val="33"/>
        <w:rPr>
          <w:rFonts w:hint="default"/>
          <w:color w:val="auto"/>
          <w:highlight w:val="none"/>
          <w:lang w:val="en-US" w:eastAsia="zh-CN"/>
        </w:rPr>
      </w:pPr>
      <w:r>
        <w:rPr>
          <w:color w:val="auto"/>
          <w:sz w:val="28"/>
          <w:highlight w:val="none"/>
        </w:rPr>
        <mc:AlternateContent>
          <mc:Choice Requires="wps">
            <w:drawing>
              <wp:anchor distT="0" distB="0" distL="114300" distR="114300" simplePos="0" relativeHeight="251662336" behindDoc="0" locked="0" layoutInCell="1" allowOverlap="1">
                <wp:simplePos x="0" y="0"/>
                <wp:positionH relativeFrom="column">
                  <wp:posOffset>903605</wp:posOffset>
                </wp:positionH>
                <wp:positionV relativeFrom="paragraph">
                  <wp:posOffset>4919980</wp:posOffset>
                </wp:positionV>
                <wp:extent cx="1043305" cy="347980"/>
                <wp:effectExtent l="0" t="0" r="0" b="0"/>
                <wp:wrapNone/>
                <wp:docPr id="51" name="文本框 51"/>
                <wp:cNvGraphicFramePr/>
                <a:graphic xmlns:a="http://schemas.openxmlformats.org/drawingml/2006/main">
                  <a:graphicData uri="http://schemas.microsoft.com/office/word/2010/wordprocessingShape">
                    <wps:wsp>
                      <wps:cNvSpPr txBox="1"/>
                      <wps:spPr>
                        <a:xfrm>
                          <a:off x="2484755" y="6857365"/>
                          <a:ext cx="1043305" cy="3479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89701F">
                            <w:pPr>
                              <w:rPr>
                                <w:rFonts w:hint="eastAsia" w:eastAsia="宋体"/>
                                <w:color w:val="FF0000"/>
                                <w:sz w:val="21"/>
                                <w:szCs w:val="21"/>
                                <w:lang w:val="en-US" w:eastAsia="zh-CN"/>
                              </w:rPr>
                            </w:pPr>
                            <w:r>
                              <w:rPr>
                                <w:rFonts w:hint="eastAsia"/>
                                <w:color w:val="FF0000"/>
                                <w:sz w:val="21"/>
                                <w:szCs w:val="21"/>
                                <w:lang w:val="en-US" w:eastAsia="zh-CN"/>
                              </w:rPr>
                              <w:t>危废贮存点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15pt;margin-top:387.4pt;height:27.4pt;width:82.15pt;z-index:251662336;mso-width-relative:page;mso-height-relative:page;" filled="f" stroked="f" coordsize="21600,21600" o:gfxdata="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K44Zy3AAAAAsBAAAPAAAA&#10;AAAAAAEAIAAAACIAAABkcnMvZG93bnJldi54bWxQSwECFAAUAAAACACHTuJAplx/skoCAAB0BAAA&#10;DgAAAAAAAAABACAAAAArAQAAZHJzL2Uyb0RvYy54bWxQSwUGAAAAAAYABgBZAQAA5wUAAAAA&#10;">
                <v:fill on="f" focussize="0,0"/>
                <v:stroke on="f" weight="0.5pt"/>
                <v:imagedata o:title=""/>
                <o:lock v:ext="edit" aspectratio="f"/>
                <v:textbox>
                  <w:txbxContent>
                    <w:p w14:paraId="2889701F">
                      <w:pPr>
                        <w:rPr>
                          <w:rFonts w:hint="eastAsia" w:eastAsia="宋体"/>
                          <w:color w:val="FF0000"/>
                          <w:sz w:val="21"/>
                          <w:szCs w:val="21"/>
                          <w:lang w:val="en-US" w:eastAsia="zh-CN"/>
                        </w:rPr>
                      </w:pPr>
                      <w:r>
                        <w:rPr>
                          <w:rFonts w:hint="eastAsia"/>
                          <w:color w:val="FF0000"/>
                          <w:sz w:val="21"/>
                          <w:szCs w:val="21"/>
                          <w:lang w:val="en-US" w:eastAsia="zh-CN"/>
                        </w:rPr>
                        <w:t>危废贮存点</w:t>
                      </w:r>
                    </w:p>
                  </w:txbxContent>
                </v:textbox>
              </v:shape>
            </w:pict>
          </mc:Fallback>
        </mc:AlternateContent>
      </w:r>
      <w:r>
        <w:rPr>
          <w:color w:val="auto"/>
          <w:highlight w:val="none"/>
        </w:rPr>
        <w:drawing>
          <wp:anchor distT="0" distB="0" distL="114300" distR="114300" simplePos="0" relativeHeight="251677696" behindDoc="0" locked="0" layoutInCell="1" allowOverlap="1">
            <wp:simplePos x="0" y="0"/>
            <wp:positionH relativeFrom="column">
              <wp:posOffset>4671695</wp:posOffset>
            </wp:positionH>
            <wp:positionV relativeFrom="paragraph">
              <wp:posOffset>134620</wp:posOffset>
            </wp:positionV>
            <wp:extent cx="1037590" cy="808990"/>
            <wp:effectExtent l="0" t="0" r="10160" b="10160"/>
            <wp:wrapNone/>
            <wp:docPr id="5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0"/>
                    <pic:cNvPicPr>
                      <a:picLocks noChangeAspect="1"/>
                    </pic:cNvPicPr>
                  </pic:nvPicPr>
                  <pic:blipFill>
                    <a:blip r:embed="rId31"/>
                    <a:srcRect l="7535" t="12062" r="28831" b="8557"/>
                    <a:stretch>
                      <a:fillRect/>
                    </a:stretch>
                  </pic:blipFill>
                  <pic:spPr>
                    <a:xfrm>
                      <a:off x="0" y="0"/>
                      <a:ext cx="1037590" cy="808990"/>
                    </a:xfrm>
                    <a:prstGeom prst="rect">
                      <a:avLst/>
                    </a:prstGeom>
                    <a:noFill/>
                    <a:ln>
                      <a:noFill/>
                    </a:ln>
                  </pic:spPr>
                </pic:pic>
              </a:graphicData>
            </a:graphic>
          </wp:anchor>
        </w:drawing>
      </w:r>
      <w:r>
        <w:rPr>
          <w:color w:val="auto"/>
          <w:highlight w:val="none"/>
        </w:rPr>
        <w:drawing>
          <wp:anchor distT="0" distB="0" distL="114300" distR="114300" simplePos="0" relativeHeight="251676672" behindDoc="1" locked="0" layoutInCell="1" allowOverlap="1">
            <wp:simplePos x="0" y="0"/>
            <wp:positionH relativeFrom="column">
              <wp:posOffset>355600</wp:posOffset>
            </wp:positionH>
            <wp:positionV relativeFrom="paragraph">
              <wp:posOffset>0</wp:posOffset>
            </wp:positionV>
            <wp:extent cx="5723255" cy="6152515"/>
            <wp:effectExtent l="0" t="0" r="10795" b="635"/>
            <wp:wrapNone/>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35"/>
                    <a:stretch>
                      <a:fillRect/>
                    </a:stretch>
                  </pic:blipFill>
                  <pic:spPr>
                    <a:xfrm>
                      <a:off x="0" y="0"/>
                      <a:ext cx="5723255" cy="6152515"/>
                    </a:xfrm>
                    <a:prstGeom prst="rect">
                      <a:avLst/>
                    </a:prstGeom>
                    <a:noFill/>
                    <a:ln>
                      <a:noFill/>
                    </a:ln>
                  </pic:spPr>
                </pic:pic>
              </a:graphicData>
            </a:graphic>
          </wp:anchor>
        </w:drawing>
      </w:r>
    </w:p>
    <w:p w14:paraId="6D52D41E">
      <w:pPr>
        <w:pStyle w:val="36"/>
        <w:bidi w:val="0"/>
        <w:rPr>
          <w:rFonts w:hint="default"/>
          <w:color w:val="auto"/>
          <w:sz w:val="28"/>
          <w:szCs w:val="28"/>
          <w:highlight w:val="none"/>
          <w:lang w:val="en-US" w:eastAsia="zh-CN"/>
        </w:rPr>
        <w:sectPr>
          <w:pgSz w:w="11906" w:h="16838"/>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2476500</wp:posOffset>
                </wp:positionH>
                <wp:positionV relativeFrom="paragraph">
                  <wp:posOffset>4685665</wp:posOffset>
                </wp:positionV>
                <wp:extent cx="914400" cy="257175"/>
                <wp:effectExtent l="0" t="0" r="0" b="0"/>
                <wp:wrapNone/>
                <wp:docPr id="48" name="文本框 48"/>
                <wp:cNvGraphicFramePr/>
                <a:graphic xmlns:a="http://schemas.openxmlformats.org/drawingml/2006/main">
                  <a:graphicData uri="http://schemas.microsoft.com/office/word/2010/wordprocessingShape">
                    <wps:wsp>
                      <wps:cNvSpPr txBox="1"/>
                      <wps:spPr>
                        <a:xfrm>
                          <a:off x="3771900" y="6242685"/>
                          <a:ext cx="91440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6F084C">
                            <w:pPr>
                              <w:rPr>
                                <w:rFonts w:hint="default" w:eastAsia="宋体"/>
                                <w:color w:val="68A3D8"/>
                                <w:sz w:val="18"/>
                                <w:szCs w:val="18"/>
                                <w:lang w:val="en-US" w:eastAsia="zh-CN"/>
                              </w:rPr>
                            </w:pPr>
                            <w:r>
                              <w:rPr>
                                <w:rFonts w:hint="eastAsia"/>
                                <w:color w:val="68A3D8"/>
                                <w:sz w:val="18"/>
                                <w:szCs w:val="18"/>
                                <w:lang w:val="en-US" w:eastAsia="zh-CN"/>
                              </w:rPr>
                              <w:t>雨水流向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pt;margin-top:368.95pt;height:20.25pt;width:72pt;z-index:251683840;mso-width-relative:page;mso-height-relative:page;" filled="f" stroked="f" coordsize="21600,21600" o:gfxdata="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oSALV3AAAAAsBAAAPAAAAAAAA&#10;AAEAIAAAACIAAABkcnMvZG93bnJldi54bWxQSwECFAAUAAAACACHTuJAnzDpG0cCAABzBAAADgAA&#10;AAAAAAABACAAAAArAQAAZHJzL2Uyb0RvYy54bWxQSwUGAAAAAAYABgBZAQAA5AUAAAAA&#10;">
                <v:fill on="f" focussize="0,0"/>
                <v:stroke on="f" weight="0.5pt"/>
                <v:imagedata o:title=""/>
                <o:lock v:ext="edit" aspectratio="f"/>
                <v:textbox>
                  <w:txbxContent>
                    <w:p w14:paraId="7E6F084C">
                      <w:pPr>
                        <w:rPr>
                          <w:rFonts w:hint="default" w:eastAsia="宋体"/>
                          <w:color w:val="68A3D8"/>
                          <w:sz w:val="18"/>
                          <w:szCs w:val="18"/>
                          <w:lang w:val="en-US" w:eastAsia="zh-CN"/>
                        </w:rPr>
                      </w:pPr>
                      <w:r>
                        <w:rPr>
                          <w:rFonts w:hint="eastAsia"/>
                          <w:color w:val="68A3D8"/>
                          <w:sz w:val="18"/>
                          <w:szCs w:val="18"/>
                          <w:lang w:val="en-US" w:eastAsia="zh-CN"/>
                        </w:rPr>
                        <w:t>雨水流向</w:t>
                      </w:r>
                    </w:p>
                  </w:txbxContent>
                </v:textbox>
              </v:shape>
            </w:pict>
          </mc:Fallback>
        </mc:AlternateContent>
      </w:r>
      <w:r>
        <w:rPr>
          <w:color w:val="auto"/>
          <w:sz w:val="24"/>
          <w:highlight w:val="none"/>
        </w:rPr>
        <mc:AlternateContent>
          <mc:Choice Requires="wps">
            <w:drawing>
              <wp:anchor distT="0" distB="0" distL="114300" distR="114300" simplePos="0" relativeHeight="251692032" behindDoc="0" locked="0" layoutInCell="1" allowOverlap="1">
                <wp:simplePos x="0" y="0"/>
                <wp:positionH relativeFrom="column">
                  <wp:posOffset>3409950</wp:posOffset>
                </wp:positionH>
                <wp:positionV relativeFrom="paragraph">
                  <wp:posOffset>4352290</wp:posOffset>
                </wp:positionV>
                <wp:extent cx="914400" cy="257175"/>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91440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E87846">
                            <w:pPr>
                              <w:rPr>
                                <w:rFonts w:hint="default" w:eastAsia="宋体"/>
                                <w:color w:val="0000FF"/>
                                <w:sz w:val="18"/>
                                <w:szCs w:val="18"/>
                                <w:lang w:val="en-US" w:eastAsia="zh-CN"/>
                              </w:rPr>
                            </w:pPr>
                            <w:r>
                              <w:rPr>
                                <w:rFonts w:hint="eastAsia"/>
                                <w:color w:val="0000FF"/>
                                <w:sz w:val="18"/>
                                <w:szCs w:val="18"/>
                                <w:lang w:val="en-US" w:eastAsia="zh-CN"/>
                              </w:rPr>
                              <w:t>洗车平台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5pt;margin-top:342.7pt;height:20.25pt;width:72pt;z-index:251692032;mso-width-relative:page;mso-height-relative:page;" filled="f" stroked="f" coordsize="21600,21600" o:gfxdata="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dJHQjcAAAACwEAAA8AAAAAAAAAAQAgAAAAIgAAAGRy&#10;cy9kb3ducmV2LnhtbFBLAQIUABQAAAAIAIdO4kDhQyJnOgIAAGcEAAAOAAAAAAAAAAEAIAAAACsB&#10;AABkcnMvZTJvRG9jLnhtbFBLBQYAAAAABgAGAFkBAADXBQAAAAA=&#10;">
                <v:fill on="f" focussize="0,0"/>
                <v:stroke on="f" weight="0.5pt"/>
                <v:imagedata o:title=""/>
                <o:lock v:ext="edit" aspectratio="f"/>
                <v:textbox>
                  <w:txbxContent>
                    <w:p w14:paraId="6EE87846">
                      <w:pPr>
                        <w:rPr>
                          <w:rFonts w:hint="default" w:eastAsia="宋体"/>
                          <w:color w:val="0000FF"/>
                          <w:sz w:val="18"/>
                          <w:szCs w:val="18"/>
                          <w:lang w:val="en-US" w:eastAsia="zh-CN"/>
                        </w:rPr>
                      </w:pPr>
                      <w:r>
                        <w:rPr>
                          <w:rFonts w:hint="eastAsia"/>
                          <w:color w:val="0000FF"/>
                          <w:sz w:val="18"/>
                          <w:szCs w:val="18"/>
                          <w:lang w:val="en-US" w:eastAsia="zh-CN"/>
                        </w:rPr>
                        <w:t>洗车平台</w:t>
                      </w:r>
                    </w:p>
                  </w:txbxContent>
                </v:textbox>
              </v:shape>
            </w:pict>
          </mc:Fallback>
        </mc:AlternateContent>
      </w:r>
      <w:r>
        <w:rPr>
          <w:color w:val="auto"/>
          <w:sz w:val="24"/>
          <w:highlight w:val="none"/>
        </w:rPr>
        <mc:AlternateContent>
          <mc:Choice Requires="wps">
            <w:drawing>
              <wp:anchor distT="0" distB="0" distL="114300" distR="114300" simplePos="0" relativeHeight="251691008" behindDoc="0" locked="0" layoutInCell="1" allowOverlap="1">
                <wp:simplePos x="0" y="0"/>
                <wp:positionH relativeFrom="column">
                  <wp:posOffset>3729355</wp:posOffset>
                </wp:positionH>
                <wp:positionV relativeFrom="paragraph">
                  <wp:posOffset>4587240</wp:posOffset>
                </wp:positionV>
                <wp:extent cx="133985" cy="238125"/>
                <wp:effectExtent l="9525" t="9525" r="27940" b="19050"/>
                <wp:wrapNone/>
                <wp:docPr id="93" name="矩形 93"/>
                <wp:cNvGraphicFramePr/>
                <a:graphic xmlns:a="http://schemas.openxmlformats.org/drawingml/2006/main">
                  <a:graphicData uri="http://schemas.microsoft.com/office/word/2010/wordprocessingShape">
                    <wps:wsp>
                      <wps:cNvSpPr/>
                      <wps:spPr>
                        <a:xfrm>
                          <a:off x="4500880" y="6353810"/>
                          <a:ext cx="133985" cy="238125"/>
                        </a:xfrm>
                        <a:prstGeom prst="rect">
                          <a:avLst/>
                        </a:prstGeom>
                        <a:noFill/>
                        <a:ln w="19050">
                          <a:solidFill>
                            <a:srgbClr val="5D5D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65pt;margin-top:361.2pt;height:18.75pt;width:10.55pt;z-index:251691008;v-text-anchor:middle;mso-width-relative:page;mso-height-relative:page;" filled="f" stroked="t" coordsize="21600,21600" o:gfxdata="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LQxI52QAAAAsBAAAPAAAAAAAAAAEAIAAAACIA&#10;AABkcnMvZG93bnJldi54bWxQSwECFAAUAAAACACHTuJAtN58XnoCAADYBAAADgAAAAAAAAABACAA&#10;AAAoAQAAZHJzL2Uyb0RvYy54bWxQSwUGAAAAAAYABgBZAQAAFAYAAAAA&#10;">
                <v:fill on="f" focussize="0,0"/>
                <v:stroke weight="1.5pt" color="#5D5DFF [2404]"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689984" behindDoc="0" locked="0" layoutInCell="1" allowOverlap="1">
                <wp:simplePos x="0" y="0"/>
                <wp:positionH relativeFrom="column">
                  <wp:posOffset>2657475</wp:posOffset>
                </wp:positionH>
                <wp:positionV relativeFrom="paragraph">
                  <wp:posOffset>5438140</wp:posOffset>
                </wp:positionV>
                <wp:extent cx="914400" cy="257175"/>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91440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BDF384">
                            <w:pPr>
                              <w:rPr>
                                <w:rFonts w:hint="default" w:eastAsia="宋体"/>
                                <w:color w:val="68A3D8"/>
                                <w:sz w:val="18"/>
                                <w:szCs w:val="18"/>
                                <w:lang w:val="en-US" w:eastAsia="zh-CN"/>
                              </w:rPr>
                            </w:pPr>
                            <w:r>
                              <w:rPr>
                                <w:rFonts w:hint="eastAsia"/>
                                <w:color w:val="68A3D8"/>
                                <w:sz w:val="18"/>
                                <w:szCs w:val="18"/>
                                <w:lang w:val="en-US" w:eastAsia="zh-CN"/>
                              </w:rPr>
                              <w:t>大门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25pt;margin-top:428.2pt;height:20.25pt;width:72pt;z-index:251689984;mso-width-relative:page;mso-height-relative:page;" filled="f" stroked="f" coordsize="21600,21600" o:gfxdata="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WjAZtsAAAALAQAADwAAAAAAAAABACAAAAAiAAAAZHJz&#10;L2Rvd25yZXYueG1sUEsBAhQAFAAAAAgAh07iQP5KOng6AgAAZwQAAA4AAAAAAAAAAQAgAAAAKgEA&#10;AGRycy9lMm9Eb2MueG1sUEsFBgAAAAAGAAYAWQEAANYFAAAAAA==&#10;">
                <v:fill on="f" focussize="0,0"/>
                <v:stroke on="f" weight="0.5pt"/>
                <v:imagedata o:title=""/>
                <o:lock v:ext="edit" aspectratio="f"/>
                <v:textbox>
                  <w:txbxContent>
                    <w:p w14:paraId="78BDF384">
                      <w:pPr>
                        <w:rPr>
                          <w:rFonts w:hint="default" w:eastAsia="宋体"/>
                          <w:color w:val="68A3D8"/>
                          <w:sz w:val="18"/>
                          <w:szCs w:val="18"/>
                          <w:lang w:val="en-US" w:eastAsia="zh-CN"/>
                        </w:rPr>
                      </w:pPr>
                      <w:r>
                        <w:rPr>
                          <w:rFonts w:hint="eastAsia"/>
                          <w:color w:val="68A3D8"/>
                          <w:sz w:val="18"/>
                          <w:szCs w:val="18"/>
                          <w:lang w:val="en-US" w:eastAsia="zh-CN"/>
                        </w:rPr>
                        <w:t>大门</w:t>
                      </w:r>
                    </w:p>
                  </w:txbxContent>
                </v:textbox>
              </v:shape>
            </w:pict>
          </mc:Fallback>
        </mc:AlternateContent>
      </w:r>
      <w:r>
        <w:rPr>
          <w:color w:val="auto"/>
          <w:sz w:val="24"/>
          <w:highlight w:val="none"/>
        </w:rPr>
        <mc:AlternateContent>
          <mc:Choice Requires="wps">
            <w:drawing>
              <wp:anchor distT="0" distB="0" distL="114300" distR="114300" simplePos="0" relativeHeight="251688960" behindDoc="0" locked="0" layoutInCell="1" allowOverlap="1">
                <wp:simplePos x="0" y="0"/>
                <wp:positionH relativeFrom="column">
                  <wp:posOffset>2319655</wp:posOffset>
                </wp:positionH>
                <wp:positionV relativeFrom="paragraph">
                  <wp:posOffset>5407025</wp:posOffset>
                </wp:positionV>
                <wp:extent cx="1295400" cy="75565"/>
                <wp:effectExtent l="5080" t="107950" r="13970" b="121285"/>
                <wp:wrapNone/>
                <wp:docPr id="91" name="矩形 91"/>
                <wp:cNvGraphicFramePr/>
                <a:graphic xmlns:a="http://schemas.openxmlformats.org/drawingml/2006/main">
                  <a:graphicData uri="http://schemas.microsoft.com/office/word/2010/wordprocessingShape">
                    <wps:wsp>
                      <wps:cNvSpPr/>
                      <wps:spPr>
                        <a:xfrm rot="21060000">
                          <a:off x="3234055" y="7078345"/>
                          <a:ext cx="1295400" cy="7556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2.65pt;margin-top:425.75pt;height:5.95pt;width:102pt;rotation:-589824f;z-index:251688960;v-text-anchor:middle;mso-width-relative:page;mso-height-relative:page;" fillcolor="#5B9BD5 [3204]" filled="t" stroked="t" coordsize="21600,21600" o:gfxdata="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JvBH3DZAAAACwEAAA8AAAAAAAAAAQAgAAAAIgAAAGRycy9kb3ducmV2LnhtbFBLAQIU&#10;ABQAAAAIAIdO4kCRpqqWnQIAADIFAAAOAAAAAAAAAAEAIAAAACgBAABkcnMvZTJvRG9jLnhtbFBL&#10;BQYAAAAABgAGAFkBAAA3BgAAAAA=&#10;">
                <v:fill on="t" focussize="0,0"/>
                <v:stroke weight="1pt" color="#2E75B6 [2404]"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682816" behindDoc="0" locked="0" layoutInCell="1" allowOverlap="1">
                <wp:simplePos x="0" y="0"/>
                <wp:positionH relativeFrom="column">
                  <wp:posOffset>1962150</wp:posOffset>
                </wp:positionH>
                <wp:positionV relativeFrom="paragraph">
                  <wp:posOffset>4883785</wp:posOffset>
                </wp:positionV>
                <wp:extent cx="2038350" cy="66675"/>
                <wp:effectExtent l="0" t="47625" r="0" b="19050"/>
                <wp:wrapNone/>
                <wp:docPr id="41" name="直接箭头连接符 41"/>
                <wp:cNvGraphicFramePr/>
                <a:graphic xmlns:a="http://schemas.openxmlformats.org/drawingml/2006/main">
                  <a:graphicData uri="http://schemas.microsoft.com/office/word/2010/wordprocessingShape">
                    <wps:wsp>
                      <wps:cNvCnPr/>
                      <wps:spPr>
                        <a:xfrm flipV="1">
                          <a:off x="0" y="0"/>
                          <a:ext cx="2038350" cy="6667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54.5pt;margin-top:384.55pt;height:5.25pt;width:160.5pt;z-index:251682816;mso-width-relative:page;mso-height-relative:page;" filled="f" stroked="t" coordsize="21600,21600" o:gfxdata="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Nr0/F2QAAAAsBAAAPAAAA&#10;AAAAAAEAIAAAACIAAABkcnMvZG93bnJldi54bWxQSwECFAAUAAAACACHTuJAtiIpyxQCAADvAwAA&#10;DgAAAAAAAAABACAAAAAoAQAAZHJzL2Uyb0RvYy54bWxQSwUGAAAAAAYABgBZAQAArgUAAAAA&#10;">
                <v:fill on="f" focussize="0,0"/>
                <v:stroke weight="1pt" color="#5B9BD5 [3204]" miterlimit="8" joinstyle="miter"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681792" behindDoc="0" locked="0" layoutInCell="1" allowOverlap="1">
                <wp:simplePos x="0" y="0"/>
                <wp:positionH relativeFrom="column">
                  <wp:posOffset>1162050</wp:posOffset>
                </wp:positionH>
                <wp:positionV relativeFrom="paragraph">
                  <wp:posOffset>1005205</wp:posOffset>
                </wp:positionV>
                <wp:extent cx="723900" cy="3438525"/>
                <wp:effectExtent l="6350" t="1270" r="31750" b="8255"/>
                <wp:wrapNone/>
                <wp:docPr id="39" name="直接箭头连接符 39"/>
                <wp:cNvGraphicFramePr/>
                <a:graphic xmlns:a="http://schemas.openxmlformats.org/drawingml/2006/main">
                  <a:graphicData uri="http://schemas.microsoft.com/office/word/2010/wordprocessingShape">
                    <wps:wsp>
                      <wps:cNvCnPr/>
                      <wps:spPr>
                        <a:xfrm>
                          <a:off x="0" y="0"/>
                          <a:ext cx="723900" cy="343852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1.5pt;margin-top:79.15pt;height:270.75pt;width:57pt;z-index:251681792;mso-width-relative:page;mso-height-relative:page;" filled="f" stroked="t" coordsize="21600,21600" o:gfxdata="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9yPuXbAAAACwEAAA8AAAAAAAAA&#10;AQAgAAAAIgAAAGRycy9kb3ducmV2LnhtbFBLAQIUABQAAAAIAIdO4kA2bxPLDgIAAOYDAAAOAAAA&#10;AAAAAAEAIAAAACoBAABkcnMvZTJvRG9jLnhtbFBLBQYAAAAABgAGAFkBAACqBQAAAAA=&#10;">
                <v:fill on="f" focussize="0,0"/>
                <v:stroke weight="1pt" color="#5B9BD5 [3204]" miterlimit="8" joinstyle="miter"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680768" behindDoc="0" locked="0" layoutInCell="1" allowOverlap="1">
                <wp:simplePos x="0" y="0"/>
                <wp:positionH relativeFrom="column">
                  <wp:posOffset>2514600</wp:posOffset>
                </wp:positionH>
                <wp:positionV relativeFrom="paragraph">
                  <wp:posOffset>852805</wp:posOffset>
                </wp:positionV>
                <wp:extent cx="685800" cy="3449955"/>
                <wp:effectExtent l="6350" t="1270" r="50800" b="15875"/>
                <wp:wrapNone/>
                <wp:docPr id="36" name="直接箭头连接符 36"/>
                <wp:cNvGraphicFramePr/>
                <a:graphic xmlns:a="http://schemas.openxmlformats.org/drawingml/2006/main">
                  <a:graphicData uri="http://schemas.microsoft.com/office/word/2010/wordprocessingShape">
                    <wps:wsp>
                      <wps:cNvCnPr/>
                      <wps:spPr>
                        <a:xfrm>
                          <a:off x="0" y="0"/>
                          <a:ext cx="685800" cy="344995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98pt;margin-top:67.15pt;height:271.65pt;width:54pt;z-index:251680768;mso-width-relative:page;mso-height-relative:page;" filled="f" stroked="t" coordsize="21600,21600" o:gfxdata="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2D103bAAAACwEAAA8AAAAAAAAA&#10;AQAgAAAAIgAAAGRycy9kb3ducmV2LnhtbFBLAQIUABQAAAAIAIdO4kBxgK4BDgIAAOYDAAAOAAAA&#10;AAAAAAEAIAAAACoBAABkcnMvZTJvRG9jLnhtbFBLBQYAAAAABgAGAFkBAACqBQAAAAA=&#10;">
                <v:fill on="f" focussize="0,0"/>
                <v:stroke weight="1pt" color="#5B9BD5 [3204]" miterlimit="8" joinstyle="miter"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679744" behindDoc="0" locked="0" layoutInCell="1" allowOverlap="1">
                <wp:simplePos x="0" y="0"/>
                <wp:positionH relativeFrom="column">
                  <wp:posOffset>3724275</wp:posOffset>
                </wp:positionH>
                <wp:positionV relativeFrom="paragraph">
                  <wp:posOffset>805180</wp:posOffset>
                </wp:positionV>
                <wp:extent cx="790575" cy="3419475"/>
                <wp:effectExtent l="6350" t="1270" r="41275" b="8255"/>
                <wp:wrapNone/>
                <wp:docPr id="35" name="直接箭头连接符 35"/>
                <wp:cNvGraphicFramePr/>
                <a:graphic xmlns:a="http://schemas.openxmlformats.org/drawingml/2006/main">
                  <a:graphicData uri="http://schemas.microsoft.com/office/word/2010/wordprocessingShape">
                    <wps:wsp>
                      <wps:cNvCnPr/>
                      <wps:spPr>
                        <a:xfrm>
                          <a:off x="4343400" y="2486025"/>
                          <a:ext cx="790575" cy="341947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93.25pt;margin-top:63.4pt;height:269.25pt;width:62.25pt;z-index:251679744;mso-width-relative:page;mso-height-relative:page;" filled="f" stroked="t" coordsize="21600,21600" o:gfxdata="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S57zI2gAA&#10;AAsBAAAPAAAAAAAAAAEAIAAAACIAAABkcnMvZG93bnJldi54bWxQSwECFAAUAAAACACHTuJAvDbI&#10;ABwCAADyAwAADgAAAAAAAAABACAAAAApAQAAZHJzL2Uyb0RvYy54bWxQSwUGAAAAAAYABgBZAQAA&#10;twUAAAAA&#10;">
                <v:fill on="f" focussize="0,0"/>
                <v:stroke weight="1pt" color="#5B9BD5 [3204]" miterlimit="8" joinstyle="miter" endarrow="open"/>
                <v:imagedata o:title=""/>
                <o:lock v:ext="edit" aspectratio="f"/>
              </v:shape>
            </w:pict>
          </mc:Fallback>
        </mc:AlternateContent>
      </w:r>
      <w:r>
        <w:rPr>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5318125</wp:posOffset>
                </wp:positionH>
                <wp:positionV relativeFrom="paragraph">
                  <wp:posOffset>6921500</wp:posOffset>
                </wp:positionV>
                <wp:extent cx="419100" cy="133350"/>
                <wp:effectExtent l="17145" t="17145" r="20955" b="20955"/>
                <wp:wrapNone/>
                <wp:docPr id="16" name="矩形 16"/>
                <wp:cNvGraphicFramePr/>
                <a:graphic xmlns:a="http://schemas.openxmlformats.org/drawingml/2006/main">
                  <a:graphicData uri="http://schemas.microsoft.com/office/word/2010/wordprocessingShape">
                    <wps:wsp>
                      <wps:cNvSpPr/>
                      <wps:spPr>
                        <a:xfrm>
                          <a:off x="0" y="0"/>
                          <a:ext cx="419100" cy="133350"/>
                        </a:xfrm>
                        <a:prstGeom prst="rect">
                          <a:avLst/>
                        </a:prstGeom>
                        <a:solidFill>
                          <a:srgbClr val="CDCDFF"/>
                        </a:solidFill>
                        <a:ln w="34925">
                          <a:solidFill>
                            <a:srgbClr val="CDCDFF"/>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_x0000_s1026" o:spid="_x0000_s1026" o:spt="1" style="position:absolute;left:0pt;margin-left:418.75pt;margin-top:545pt;height:10.5pt;width:33pt;z-index:251666432;mso-width-relative:page;mso-height-relative:page;" fillcolor="#CDCDFF" filled="t" stroked="t" coordsize="21600,21600" o:gfxdata="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SrJR7WAAAADQEA&#10;AA8AAAAAAAAAAQAgAAAAIgAAAGRycy9kb3ducmV2LnhtbFBLAQIUABQAAAAIAIdO4kChjBNK4wEA&#10;ANgDAAAOAAAAAAAAAAEAIAAAACUBAABkcnMvZTJvRG9jLnhtbFBLBQYAAAAABgAGAFkBAAB6BQAA&#10;AAA=&#10;">
                <v:fill on="t" focussize="0,0"/>
                <v:stroke weight="2.75pt" color="#CDCDFF [3204]" miterlimit="8" joinstyle="miter"/>
                <v:imagedata o:title=""/>
                <o:lock v:ext="edit" aspectratio="f"/>
              </v:rect>
            </w:pict>
          </mc:Fallback>
        </mc:AlternateContent>
      </w:r>
      <w:r>
        <w:rPr>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5311775</wp:posOffset>
                </wp:positionH>
                <wp:positionV relativeFrom="paragraph">
                  <wp:posOffset>6622415</wp:posOffset>
                </wp:positionV>
                <wp:extent cx="419100" cy="133350"/>
                <wp:effectExtent l="17145" t="17145" r="20955" b="20955"/>
                <wp:wrapNone/>
                <wp:docPr id="68" name="矩形 68"/>
                <wp:cNvGraphicFramePr/>
                <a:graphic xmlns:a="http://schemas.openxmlformats.org/drawingml/2006/main">
                  <a:graphicData uri="http://schemas.microsoft.com/office/word/2010/wordprocessingShape">
                    <wps:wsp>
                      <wps:cNvSpPr/>
                      <wps:spPr>
                        <a:xfrm>
                          <a:off x="0" y="0"/>
                          <a:ext cx="419100" cy="133350"/>
                        </a:xfrm>
                        <a:prstGeom prst="rect">
                          <a:avLst/>
                        </a:prstGeom>
                        <a:solidFill>
                          <a:srgbClr val="FF0000"/>
                        </a:solid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_x0000_s1026" o:spid="_x0000_s1026" o:spt="1" style="position:absolute;left:0pt;margin-left:418.25pt;margin-top:521.45pt;height:10.5pt;width:33pt;z-index:251665408;mso-width-relative:page;mso-height-relative:page;" fillcolor="#FF0000" filled="t" stroked="t" coordsize="21600,21600" o:gfxdata="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MxrgX3bAAAA&#10;DQEAAA8AAAAAAAAAAQAgAAAAIgAAAGRycy9kb3ducmV2LnhtbFBLAQIUABQAAAAIAIdO4kBOBc7v&#10;4QEAANgDAAAOAAAAAAAAAAEAIAAAACoBAABkcnMvZTJvRG9jLnhtbFBLBQYAAAAABgAGAFkBAAB9&#10;BQAAAAA=&#10;">
                <v:fill on="t" focussize="0,0"/>
                <v:stroke weight="2.75pt" color="#FF0000 [3204]" miterlimit="8" joinstyle="miter"/>
                <v:imagedata o:title=""/>
                <o:lock v:ext="edit" aspectratio="f"/>
              </v:rect>
            </w:pict>
          </mc:Fallback>
        </mc:AlternateContent>
      </w:r>
      <w:r>
        <w:rPr>
          <w:color w:val="auto"/>
          <w:sz w:val="21"/>
          <w:highlight w:val="none"/>
        </w:rPr>
        <mc:AlternateContent>
          <mc:Choice Requires="wps">
            <w:drawing>
              <wp:anchor distT="0" distB="0" distL="114300" distR="114300" simplePos="0" relativeHeight="251664384" behindDoc="0" locked="0" layoutInCell="1" allowOverlap="1">
                <wp:simplePos x="0" y="0"/>
                <wp:positionH relativeFrom="column">
                  <wp:posOffset>4006850</wp:posOffset>
                </wp:positionH>
                <wp:positionV relativeFrom="paragraph">
                  <wp:posOffset>6280785</wp:posOffset>
                </wp:positionV>
                <wp:extent cx="1962150" cy="926465"/>
                <wp:effectExtent l="4445" t="4445" r="14605" b="21590"/>
                <wp:wrapNone/>
                <wp:docPr id="64" name="文本框 64"/>
                <wp:cNvGraphicFramePr/>
                <a:graphic xmlns:a="http://schemas.openxmlformats.org/drawingml/2006/main">
                  <a:graphicData uri="http://schemas.microsoft.com/office/word/2010/wordprocessingShape">
                    <wps:wsp>
                      <wps:cNvSpPr txBox="1"/>
                      <wps:spPr>
                        <a:xfrm>
                          <a:off x="0" y="0"/>
                          <a:ext cx="1962150" cy="9264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F2AF17D">
                            <w:pPr>
                              <w:keepNext w:val="0"/>
                              <w:keepLines w:val="0"/>
                              <w:pageBreakBefore w:val="0"/>
                              <w:widowControl w:val="0"/>
                              <w:kinsoku/>
                              <w:overflowPunct/>
                              <w:autoSpaceDE/>
                              <w:autoSpaceDN/>
                              <w:bidi w:val="0"/>
                              <w:adjustRightInd/>
                              <w:snapToGrid/>
                              <w:spacing w:line="360" w:lineRule="auto"/>
                              <w:jc w:val="center"/>
                              <w:textAlignment w:val="auto"/>
                              <w:rPr>
                                <w:rFonts w:hint="eastAsia"/>
                                <w:b/>
                                <w:bCs/>
                                <w:sz w:val="24"/>
                                <w:szCs w:val="32"/>
                                <w:lang w:val="en-US" w:eastAsia="zh-CN"/>
                              </w:rPr>
                            </w:pPr>
                            <w:r>
                              <w:rPr>
                                <w:rFonts w:hint="eastAsia"/>
                                <w:b/>
                                <w:bCs/>
                                <w:sz w:val="24"/>
                                <w:szCs w:val="32"/>
                                <w:lang w:val="en-US" w:eastAsia="zh-CN"/>
                              </w:rPr>
                              <w:t>图  例</w:t>
                            </w:r>
                          </w:p>
                          <w:p w14:paraId="2B91C245">
                            <w:pPr>
                              <w:pStyle w:val="46"/>
                              <w:keepNext w:val="0"/>
                              <w:keepLines w:val="0"/>
                              <w:pageBreakBefore w:val="0"/>
                              <w:widowControl w:val="0"/>
                              <w:kinsoku/>
                              <w:wordWrap w:val="0"/>
                              <w:overflowPunct/>
                              <w:topLinePunct/>
                              <w:autoSpaceDE/>
                              <w:autoSpaceDN/>
                              <w:bidi w:val="0"/>
                              <w:adjustRightInd/>
                              <w:snapToGrid/>
                              <w:spacing w:line="360" w:lineRule="auto"/>
                              <w:jc w:val="both"/>
                              <w:textAlignment w:val="auto"/>
                              <w:rPr>
                                <w:rFonts w:hint="eastAsia"/>
                                <w:lang w:val="en-US" w:eastAsia="zh-CN"/>
                              </w:rPr>
                            </w:pPr>
                            <w:r>
                              <w:rPr>
                                <w:rFonts w:hint="eastAsia"/>
                                <w:lang w:val="en-US" w:eastAsia="zh-CN"/>
                              </w:rPr>
                              <w:t>重点防渗区</w:t>
                            </w:r>
                          </w:p>
                          <w:p w14:paraId="79CA5574">
                            <w:pPr>
                              <w:pStyle w:val="46"/>
                              <w:keepNext w:val="0"/>
                              <w:keepLines w:val="0"/>
                              <w:pageBreakBefore w:val="0"/>
                              <w:widowControl w:val="0"/>
                              <w:kinsoku/>
                              <w:wordWrap w:val="0"/>
                              <w:overflowPunct/>
                              <w:topLinePunct/>
                              <w:autoSpaceDE/>
                              <w:autoSpaceDN/>
                              <w:bidi w:val="0"/>
                              <w:adjustRightInd/>
                              <w:snapToGrid/>
                              <w:spacing w:line="360" w:lineRule="auto"/>
                              <w:jc w:val="both"/>
                              <w:textAlignment w:val="auto"/>
                              <w:rPr>
                                <w:rFonts w:hint="default"/>
                                <w:lang w:val="en-US" w:eastAsia="zh-CN"/>
                              </w:rPr>
                            </w:pPr>
                            <w:r>
                              <w:rPr>
                                <w:rFonts w:hint="eastAsia"/>
                                <w:lang w:val="en-US" w:eastAsia="zh-CN"/>
                              </w:rPr>
                              <w:t>一般防渗区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5pt;margin-top:494.55pt;height:72.95pt;width:154.5pt;z-index:251664384;mso-width-relative:page;mso-height-relative:page;" fillcolor="#FFFFFF [3201]" filled="t" stroked="t" coordsize="21600,21600" o:gfxdata="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fiK912AAA&#10;AAwBAAAPAAAAAAAAAAEAIAAAACIAAABkcnMvZG93bnJldi54bWxQSwECFAAUAAAACACHTuJAatz4&#10;BVcCAAC5BAAADgAAAAAAAAABACAAAAAnAQAAZHJzL2Uyb0RvYy54bWxQSwUGAAAAAAYABgBZAQAA&#10;8AUAAAAA&#10;">
                <v:fill on="t" focussize="0,0"/>
                <v:stroke weight="0.5pt" color="#000000 [3204]" joinstyle="round"/>
                <v:imagedata o:title=""/>
                <o:lock v:ext="edit" aspectratio="f"/>
                <v:textbox>
                  <w:txbxContent>
                    <w:p w14:paraId="7F2AF17D">
                      <w:pPr>
                        <w:keepNext w:val="0"/>
                        <w:keepLines w:val="0"/>
                        <w:pageBreakBefore w:val="0"/>
                        <w:widowControl w:val="0"/>
                        <w:kinsoku/>
                        <w:overflowPunct/>
                        <w:autoSpaceDE/>
                        <w:autoSpaceDN/>
                        <w:bidi w:val="0"/>
                        <w:adjustRightInd/>
                        <w:snapToGrid/>
                        <w:spacing w:line="360" w:lineRule="auto"/>
                        <w:jc w:val="center"/>
                        <w:textAlignment w:val="auto"/>
                        <w:rPr>
                          <w:rFonts w:hint="eastAsia"/>
                          <w:b/>
                          <w:bCs/>
                          <w:sz w:val="24"/>
                          <w:szCs w:val="32"/>
                          <w:lang w:val="en-US" w:eastAsia="zh-CN"/>
                        </w:rPr>
                      </w:pPr>
                      <w:r>
                        <w:rPr>
                          <w:rFonts w:hint="eastAsia"/>
                          <w:b/>
                          <w:bCs/>
                          <w:sz w:val="24"/>
                          <w:szCs w:val="32"/>
                          <w:lang w:val="en-US" w:eastAsia="zh-CN"/>
                        </w:rPr>
                        <w:t>图  例</w:t>
                      </w:r>
                    </w:p>
                    <w:p w14:paraId="2B91C245">
                      <w:pPr>
                        <w:pStyle w:val="46"/>
                        <w:keepNext w:val="0"/>
                        <w:keepLines w:val="0"/>
                        <w:pageBreakBefore w:val="0"/>
                        <w:widowControl w:val="0"/>
                        <w:kinsoku/>
                        <w:wordWrap w:val="0"/>
                        <w:overflowPunct/>
                        <w:topLinePunct/>
                        <w:autoSpaceDE/>
                        <w:autoSpaceDN/>
                        <w:bidi w:val="0"/>
                        <w:adjustRightInd/>
                        <w:snapToGrid/>
                        <w:spacing w:line="360" w:lineRule="auto"/>
                        <w:jc w:val="both"/>
                        <w:textAlignment w:val="auto"/>
                        <w:rPr>
                          <w:rFonts w:hint="eastAsia"/>
                          <w:lang w:val="en-US" w:eastAsia="zh-CN"/>
                        </w:rPr>
                      </w:pPr>
                      <w:r>
                        <w:rPr>
                          <w:rFonts w:hint="eastAsia"/>
                          <w:lang w:val="en-US" w:eastAsia="zh-CN"/>
                        </w:rPr>
                        <w:t>重点防渗区</w:t>
                      </w:r>
                    </w:p>
                    <w:p w14:paraId="79CA5574">
                      <w:pPr>
                        <w:pStyle w:val="46"/>
                        <w:keepNext w:val="0"/>
                        <w:keepLines w:val="0"/>
                        <w:pageBreakBefore w:val="0"/>
                        <w:widowControl w:val="0"/>
                        <w:kinsoku/>
                        <w:wordWrap w:val="0"/>
                        <w:overflowPunct/>
                        <w:topLinePunct/>
                        <w:autoSpaceDE/>
                        <w:autoSpaceDN/>
                        <w:bidi w:val="0"/>
                        <w:adjustRightInd/>
                        <w:snapToGrid/>
                        <w:spacing w:line="360" w:lineRule="auto"/>
                        <w:jc w:val="both"/>
                        <w:textAlignment w:val="auto"/>
                        <w:rPr>
                          <w:rFonts w:hint="default"/>
                          <w:lang w:val="en-US" w:eastAsia="zh-CN"/>
                        </w:rPr>
                      </w:pPr>
                      <w:r>
                        <w:rPr>
                          <w:rFonts w:hint="eastAsia"/>
                          <w:lang w:val="en-US" w:eastAsia="zh-CN"/>
                        </w:rPr>
                        <w:t>一般防渗区</w:t>
                      </w:r>
                    </w:p>
                  </w:txbxContent>
                </v:textbox>
              </v:shape>
            </w:pict>
          </mc:Fallback>
        </mc:AlternateContent>
      </w:r>
    </w:p>
    <w:p w14:paraId="5E16169B">
      <w:pPr>
        <w:pStyle w:val="32"/>
        <w:bidi w:val="0"/>
        <w:jc w:val="left"/>
        <w:rPr>
          <w:color w:val="auto"/>
          <w:highlight w:val="none"/>
          <w:lang w:val="en-US" w:eastAsia="zh-CN"/>
        </w:rPr>
      </w:pPr>
      <w:bookmarkStart w:id="21" w:name="_Toc21573"/>
      <w:r>
        <w:rPr>
          <w:rFonts w:hint="eastAsia"/>
          <w:color w:val="auto"/>
          <w:highlight w:val="none"/>
          <w:lang w:val="en-US" w:eastAsia="zh-CN"/>
        </w:rPr>
        <w:t xml:space="preserve">附图4 </w:t>
      </w:r>
      <w:r>
        <w:rPr>
          <w:color w:val="auto"/>
          <w:highlight w:val="none"/>
          <w:lang w:val="en-US" w:eastAsia="zh-CN"/>
        </w:rPr>
        <w:t>项目周边环境</w:t>
      </w:r>
      <w:r>
        <w:rPr>
          <w:rFonts w:hint="eastAsia"/>
          <w:color w:val="auto"/>
          <w:highlight w:val="none"/>
          <w:lang w:val="en-US" w:eastAsia="zh-CN"/>
        </w:rPr>
        <w:t>及现场</w:t>
      </w:r>
      <w:r>
        <w:rPr>
          <w:color w:val="auto"/>
          <w:highlight w:val="none"/>
          <w:lang w:val="en-US" w:eastAsia="zh-CN"/>
        </w:rPr>
        <w:t>照片</w:t>
      </w:r>
      <w:bookmarkEnd w:id="21"/>
    </w:p>
    <w:tbl>
      <w:tblPr>
        <w:tblStyle w:val="24"/>
        <w:tblW w:w="4999"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727"/>
        <w:gridCol w:w="6727"/>
      </w:tblGrid>
      <w:tr w14:paraId="79CFD0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8" w:hRule="atLeast"/>
          <w:jc w:val="center"/>
        </w:trPr>
        <w:tc>
          <w:tcPr>
            <w:tcW w:w="2508" w:type="pct"/>
            <w:tcBorders>
              <w:tl2br w:val="nil"/>
              <w:tr2bl w:val="nil"/>
            </w:tcBorders>
            <w:vAlign w:val="center"/>
          </w:tcPr>
          <w:p w14:paraId="30030800">
            <w:pPr>
              <w:pStyle w:val="46"/>
              <w:keepNext w:val="0"/>
              <w:keepLines w:val="0"/>
              <w:pageBreakBefore w:val="0"/>
              <w:widowControl w:val="0"/>
              <w:kinsoku/>
              <w:wordWrap w:val="0"/>
              <w:overflowPunct/>
              <w:topLinePunct/>
              <w:autoSpaceDE/>
              <w:autoSpaceDN/>
              <w:bidi w:val="0"/>
              <w:textAlignment w:val="center"/>
              <w:rPr>
                <w:b/>
                <w:bCs/>
                <w:color w:val="auto"/>
                <w:sz w:val="24"/>
                <w:szCs w:val="24"/>
                <w:highlight w:val="none"/>
                <w:lang w:val="en-US" w:eastAsia="zh-CN"/>
              </w:rPr>
            </w:pPr>
            <w:r>
              <w:rPr>
                <w:b/>
                <w:bCs/>
                <w:color w:val="auto"/>
                <w:sz w:val="24"/>
                <w:szCs w:val="24"/>
                <w:highlight w:val="none"/>
                <w:lang w:val="en-US" w:eastAsia="zh-CN"/>
              </w:rPr>
              <w:drawing>
                <wp:inline distT="0" distB="0" distL="114300" distR="114300">
                  <wp:extent cx="4093210" cy="1896110"/>
                  <wp:effectExtent l="0" t="0" r="2540" b="8890"/>
                  <wp:docPr id="10" name="图片 10" descr="东侧农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东侧农田"/>
                          <pic:cNvPicPr>
                            <a:picLocks noChangeAspect="1"/>
                          </pic:cNvPicPr>
                        </pic:nvPicPr>
                        <pic:blipFill>
                          <a:blip r:embed="rId36"/>
                          <a:stretch>
                            <a:fillRect/>
                          </a:stretch>
                        </pic:blipFill>
                        <pic:spPr>
                          <a:xfrm>
                            <a:off x="0" y="0"/>
                            <a:ext cx="4093210" cy="1896110"/>
                          </a:xfrm>
                          <a:prstGeom prst="rect">
                            <a:avLst/>
                          </a:prstGeom>
                        </pic:spPr>
                      </pic:pic>
                    </a:graphicData>
                  </a:graphic>
                </wp:inline>
              </w:drawing>
            </w:r>
          </w:p>
        </w:tc>
        <w:tc>
          <w:tcPr>
            <w:tcW w:w="2491" w:type="pct"/>
            <w:tcBorders>
              <w:tl2br w:val="nil"/>
              <w:tr2bl w:val="nil"/>
            </w:tcBorders>
            <w:vAlign w:val="center"/>
          </w:tcPr>
          <w:p w14:paraId="63A9B6FD">
            <w:pPr>
              <w:pStyle w:val="46"/>
              <w:keepNext w:val="0"/>
              <w:keepLines w:val="0"/>
              <w:pageBreakBefore w:val="0"/>
              <w:widowControl w:val="0"/>
              <w:kinsoku/>
              <w:wordWrap w:val="0"/>
              <w:overflowPunct/>
              <w:topLinePunct/>
              <w:autoSpaceDE/>
              <w:autoSpaceDN/>
              <w:bidi w:val="0"/>
              <w:textAlignment w:val="center"/>
              <w:rPr>
                <w:b/>
                <w:bCs/>
                <w:color w:val="auto"/>
                <w:sz w:val="24"/>
                <w:szCs w:val="24"/>
                <w:highlight w:val="none"/>
                <w:lang w:val="en-US" w:eastAsia="zh-CN"/>
              </w:rPr>
            </w:pPr>
            <w:r>
              <w:rPr>
                <w:b/>
                <w:bCs/>
                <w:color w:val="auto"/>
                <w:sz w:val="24"/>
                <w:szCs w:val="24"/>
                <w:highlight w:val="none"/>
                <w:lang w:val="en-US" w:eastAsia="zh-CN"/>
              </w:rPr>
              <w:drawing>
                <wp:inline distT="0" distB="0" distL="114300" distR="114300">
                  <wp:extent cx="4145280" cy="1920240"/>
                  <wp:effectExtent l="0" t="0" r="7620" b="3810"/>
                  <wp:docPr id="12" name="图片 12" descr="西侧农资仓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西侧农资仓库"/>
                          <pic:cNvPicPr>
                            <a:picLocks noChangeAspect="1"/>
                          </pic:cNvPicPr>
                        </pic:nvPicPr>
                        <pic:blipFill>
                          <a:blip r:embed="rId37"/>
                          <a:stretch>
                            <a:fillRect/>
                          </a:stretch>
                        </pic:blipFill>
                        <pic:spPr>
                          <a:xfrm>
                            <a:off x="0" y="0"/>
                            <a:ext cx="4145280" cy="1920240"/>
                          </a:xfrm>
                          <a:prstGeom prst="rect">
                            <a:avLst/>
                          </a:prstGeom>
                        </pic:spPr>
                      </pic:pic>
                    </a:graphicData>
                  </a:graphic>
                </wp:inline>
              </w:drawing>
            </w:r>
          </w:p>
        </w:tc>
      </w:tr>
      <w:tr w14:paraId="02B518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7" w:hRule="atLeast"/>
          <w:jc w:val="center"/>
        </w:trPr>
        <w:tc>
          <w:tcPr>
            <w:tcW w:w="2508" w:type="pct"/>
            <w:tcBorders>
              <w:tl2br w:val="nil"/>
              <w:tr2bl w:val="nil"/>
            </w:tcBorders>
            <w:vAlign w:val="center"/>
          </w:tcPr>
          <w:p w14:paraId="51341E86">
            <w:pPr>
              <w:pStyle w:val="46"/>
              <w:keepNext w:val="0"/>
              <w:keepLines w:val="0"/>
              <w:pageBreakBefore w:val="0"/>
              <w:widowControl w:val="0"/>
              <w:kinsoku/>
              <w:wordWrap w:val="0"/>
              <w:overflowPunct/>
              <w:topLinePunct/>
              <w:autoSpaceDE/>
              <w:autoSpaceDN/>
              <w:bidi w:val="0"/>
              <w:textAlignment w:val="center"/>
              <w:rPr>
                <w:rFonts w:hint="default"/>
                <w:b/>
                <w:bCs/>
                <w:color w:val="auto"/>
                <w:sz w:val="24"/>
                <w:szCs w:val="24"/>
                <w:highlight w:val="none"/>
                <w:lang w:val="en-US" w:eastAsia="zh-CN"/>
              </w:rPr>
            </w:pPr>
            <w:r>
              <w:rPr>
                <w:rFonts w:hint="eastAsia"/>
                <w:b/>
                <w:bCs/>
                <w:color w:val="auto"/>
                <w:sz w:val="24"/>
                <w:szCs w:val="24"/>
                <w:highlight w:val="none"/>
                <w:lang w:val="en-US" w:eastAsia="zh-CN"/>
              </w:rPr>
              <w:t>东侧（农田）</w:t>
            </w:r>
          </w:p>
        </w:tc>
        <w:tc>
          <w:tcPr>
            <w:tcW w:w="2491" w:type="pct"/>
            <w:tcBorders>
              <w:tl2br w:val="nil"/>
              <w:tr2bl w:val="nil"/>
            </w:tcBorders>
            <w:vAlign w:val="center"/>
          </w:tcPr>
          <w:p w14:paraId="43184DE7">
            <w:pPr>
              <w:pStyle w:val="46"/>
              <w:keepNext w:val="0"/>
              <w:keepLines w:val="0"/>
              <w:pageBreakBefore w:val="0"/>
              <w:widowControl w:val="0"/>
              <w:kinsoku/>
              <w:wordWrap w:val="0"/>
              <w:overflowPunct/>
              <w:topLinePunct/>
              <w:autoSpaceDE/>
              <w:autoSpaceDN/>
              <w:bidi w:val="0"/>
              <w:textAlignment w:val="center"/>
              <w:rPr>
                <w:rFonts w:hint="default"/>
                <w:b/>
                <w:bCs/>
                <w:color w:val="auto"/>
                <w:sz w:val="24"/>
                <w:szCs w:val="24"/>
                <w:highlight w:val="none"/>
                <w:lang w:val="en-US" w:eastAsia="zh-CN"/>
              </w:rPr>
            </w:pPr>
            <w:r>
              <w:rPr>
                <w:rFonts w:hint="eastAsia"/>
                <w:b/>
                <w:bCs/>
                <w:color w:val="auto"/>
                <w:sz w:val="24"/>
                <w:szCs w:val="24"/>
                <w:highlight w:val="none"/>
                <w:lang w:val="en-US" w:eastAsia="zh-CN"/>
              </w:rPr>
              <w:t>西侧（农资仓库）</w:t>
            </w:r>
          </w:p>
        </w:tc>
      </w:tr>
      <w:tr w14:paraId="234F57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57" w:hRule="atLeast"/>
          <w:jc w:val="center"/>
        </w:trPr>
        <w:tc>
          <w:tcPr>
            <w:tcW w:w="2508" w:type="pct"/>
            <w:tcBorders>
              <w:tl2br w:val="nil"/>
              <w:tr2bl w:val="nil"/>
            </w:tcBorders>
            <w:vAlign w:val="center"/>
          </w:tcPr>
          <w:p w14:paraId="60C1E1CF">
            <w:pPr>
              <w:pStyle w:val="46"/>
              <w:keepNext w:val="0"/>
              <w:keepLines w:val="0"/>
              <w:pageBreakBefore w:val="0"/>
              <w:widowControl w:val="0"/>
              <w:kinsoku/>
              <w:wordWrap w:val="0"/>
              <w:overflowPunct/>
              <w:topLinePunct/>
              <w:autoSpaceDE/>
              <w:autoSpaceDN/>
              <w:bidi w:val="0"/>
              <w:textAlignment w:val="center"/>
              <w:rPr>
                <w:b/>
                <w:bCs/>
                <w:color w:val="auto"/>
                <w:sz w:val="24"/>
                <w:szCs w:val="24"/>
                <w:highlight w:val="none"/>
                <w:lang w:val="en-US" w:eastAsia="zh-CN"/>
              </w:rPr>
            </w:pPr>
            <w:r>
              <w:rPr>
                <w:b/>
                <w:bCs/>
                <w:color w:val="auto"/>
                <w:sz w:val="24"/>
                <w:szCs w:val="24"/>
                <w:highlight w:val="none"/>
                <w:lang w:val="en-US" w:eastAsia="zh-CN"/>
              </w:rPr>
              <w:drawing>
                <wp:inline distT="0" distB="0" distL="114300" distR="114300">
                  <wp:extent cx="4145280" cy="1920240"/>
                  <wp:effectExtent l="0" t="0" r="7620" b="3810"/>
                  <wp:docPr id="11" name="图片 11" descr="南侧空地及办公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南侧空地及办公室"/>
                          <pic:cNvPicPr>
                            <a:picLocks noChangeAspect="1"/>
                          </pic:cNvPicPr>
                        </pic:nvPicPr>
                        <pic:blipFill>
                          <a:blip r:embed="rId38"/>
                          <a:stretch>
                            <a:fillRect/>
                          </a:stretch>
                        </pic:blipFill>
                        <pic:spPr>
                          <a:xfrm>
                            <a:off x="0" y="0"/>
                            <a:ext cx="4145280" cy="1920240"/>
                          </a:xfrm>
                          <a:prstGeom prst="rect">
                            <a:avLst/>
                          </a:prstGeom>
                        </pic:spPr>
                      </pic:pic>
                    </a:graphicData>
                  </a:graphic>
                </wp:inline>
              </w:drawing>
            </w:r>
          </w:p>
        </w:tc>
        <w:tc>
          <w:tcPr>
            <w:tcW w:w="2491" w:type="pct"/>
            <w:tcBorders>
              <w:tl2br w:val="nil"/>
              <w:tr2bl w:val="nil"/>
            </w:tcBorders>
            <w:vAlign w:val="center"/>
          </w:tcPr>
          <w:p w14:paraId="0092A4F8">
            <w:pPr>
              <w:pStyle w:val="46"/>
              <w:keepNext w:val="0"/>
              <w:keepLines w:val="0"/>
              <w:pageBreakBefore w:val="0"/>
              <w:widowControl w:val="0"/>
              <w:kinsoku/>
              <w:wordWrap w:val="0"/>
              <w:overflowPunct/>
              <w:topLinePunct/>
              <w:autoSpaceDE/>
              <w:autoSpaceDN/>
              <w:bidi w:val="0"/>
              <w:textAlignment w:val="center"/>
              <w:rPr>
                <w:b/>
                <w:bCs/>
                <w:color w:val="auto"/>
                <w:sz w:val="24"/>
                <w:szCs w:val="24"/>
                <w:highlight w:val="none"/>
                <w:lang w:val="en-US" w:eastAsia="zh-CN"/>
              </w:rPr>
            </w:pPr>
            <w:r>
              <w:rPr>
                <w:b/>
                <w:bCs/>
                <w:color w:val="auto"/>
                <w:sz w:val="24"/>
                <w:szCs w:val="24"/>
                <w:highlight w:val="none"/>
                <w:lang w:val="en-US" w:eastAsia="zh-CN"/>
              </w:rPr>
              <w:drawing>
                <wp:inline distT="0" distB="0" distL="114300" distR="114300">
                  <wp:extent cx="4093210" cy="1896110"/>
                  <wp:effectExtent l="0" t="0" r="2540" b="8890"/>
                  <wp:docPr id="6" name="图片 6" descr="北侧农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北侧农田"/>
                          <pic:cNvPicPr>
                            <a:picLocks noChangeAspect="1"/>
                          </pic:cNvPicPr>
                        </pic:nvPicPr>
                        <pic:blipFill>
                          <a:blip r:embed="rId39"/>
                          <a:stretch>
                            <a:fillRect/>
                          </a:stretch>
                        </pic:blipFill>
                        <pic:spPr>
                          <a:xfrm>
                            <a:off x="0" y="0"/>
                            <a:ext cx="4093210" cy="1896110"/>
                          </a:xfrm>
                          <a:prstGeom prst="rect">
                            <a:avLst/>
                          </a:prstGeom>
                        </pic:spPr>
                      </pic:pic>
                    </a:graphicData>
                  </a:graphic>
                </wp:inline>
              </w:drawing>
            </w:r>
          </w:p>
        </w:tc>
      </w:tr>
      <w:tr w14:paraId="435F5A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7" w:hRule="atLeast"/>
          <w:jc w:val="center"/>
        </w:trPr>
        <w:tc>
          <w:tcPr>
            <w:tcW w:w="2508" w:type="pct"/>
            <w:tcBorders>
              <w:tl2br w:val="nil"/>
              <w:tr2bl w:val="nil"/>
            </w:tcBorders>
            <w:vAlign w:val="center"/>
          </w:tcPr>
          <w:p w14:paraId="6C809918">
            <w:pPr>
              <w:pStyle w:val="46"/>
              <w:keepNext w:val="0"/>
              <w:keepLines w:val="0"/>
              <w:pageBreakBefore w:val="0"/>
              <w:widowControl w:val="0"/>
              <w:kinsoku/>
              <w:wordWrap w:val="0"/>
              <w:overflowPunct/>
              <w:topLinePunct/>
              <w:autoSpaceDE/>
              <w:autoSpaceDN/>
              <w:bidi w:val="0"/>
              <w:textAlignment w:val="center"/>
              <w:rPr>
                <w:rFonts w:hint="default"/>
                <w:b/>
                <w:bCs/>
                <w:color w:val="auto"/>
                <w:sz w:val="24"/>
                <w:szCs w:val="24"/>
                <w:highlight w:val="none"/>
                <w:lang w:val="en-US" w:eastAsia="zh-CN"/>
              </w:rPr>
            </w:pPr>
            <w:r>
              <w:rPr>
                <w:rFonts w:hint="eastAsia"/>
                <w:b/>
                <w:bCs/>
                <w:color w:val="auto"/>
                <w:sz w:val="24"/>
                <w:szCs w:val="24"/>
                <w:highlight w:val="none"/>
                <w:lang w:val="en-US" w:eastAsia="zh-CN"/>
              </w:rPr>
              <w:t>南侧（空地与租赁办公室、实验室）</w:t>
            </w:r>
          </w:p>
        </w:tc>
        <w:tc>
          <w:tcPr>
            <w:tcW w:w="2491" w:type="pct"/>
            <w:tcBorders>
              <w:tl2br w:val="nil"/>
              <w:tr2bl w:val="nil"/>
            </w:tcBorders>
            <w:vAlign w:val="center"/>
          </w:tcPr>
          <w:p w14:paraId="6ED15454">
            <w:pPr>
              <w:pStyle w:val="46"/>
              <w:keepNext w:val="0"/>
              <w:keepLines w:val="0"/>
              <w:pageBreakBefore w:val="0"/>
              <w:widowControl w:val="0"/>
              <w:kinsoku/>
              <w:wordWrap w:val="0"/>
              <w:overflowPunct/>
              <w:topLinePunct/>
              <w:autoSpaceDE/>
              <w:autoSpaceDN/>
              <w:bidi w:val="0"/>
              <w:textAlignment w:val="center"/>
              <w:rPr>
                <w:rFonts w:hint="default"/>
                <w:b/>
                <w:bCs/>
                <w:color w:val="auto"/>
                <w:sz w:val="24"/>
                <w:szCs w:val="24"/>
                <w:highlight w:val="none"/>
                <w:lang w:val="en-US" w:eastAsia="zh-CN"/>
              </w:rPr>
            </w:pPr>
            <w:r>
              <w:rPr>
                <w:rFonts w:hint="eastAsia"/>
                <w:b/>
                <w:bCs/>
                <w:color w:val="auto"/>
                <w:sz w:val="24"/>
                <w:szCs w:val="24"/>
                <w:highlight w:val="none"/>
                <w:lang w:val="en-US" w:eastAsia="zh-CN"/>
              </w:rPr>
              <w:t>北侧（农田）</w:t>
            </w:r>
          </w:p>
        </w:tc>
      </w:tr>
    </w:tbl>
    <w:p w14:paraId="356A8874">
      <w:pPr>
        <w:pStyle w:val="33"/>
        <w:rPr>
          <w:color w:val="auto"/>
          <w:highlight w:val="none"/>
          <w:lang w:val="en-US" w:eastAsia="zh-CN"/>
        </w:rPr>
      </w:pPr>
    </w:p>
    <w:p w14:paraId="176B4612">
      <w:pPr>
        <w:pStyle w:val="33"/>
        <w:rPr>
          <w:rFonts w:hint="default"/>
          <w:color w:val="auto"/>
          <w:highlight w:val="none"/>
          <w:lang w:val="en-US" w:eastAsia="zh-CN"/>
        </w:rPr>
        <w:sectPr>
          <w:pgSz w:w="16838" w:h="11906" w:orient="landscape"/>
          <w:pgMar w:top="1440" w:right="1800" w:bottom="1440" w:left="1800" w:header="851" w:footer="850" w:gutter="0"/>
          <w:pgBorders>
            <w:top w:val="none" w:sz="0" w:space="0"/>
            <w:left w:val="none" w:sz="0" w:space="0"/>
            <w:bottom w:val="none" w:sz="0" w:space="0"/>
            <w:right w:val="none" w:sz="0" w:space="0"/>
          </w:pgBorders>
          <w:cols w:space="720" w:num="1"/>
          <w:docGrid w:linePitch="312" w:charSpace="0"/>
        </w:sectPr>
      </w:pPr>
    </w:p>
    <w:tbl>
      <w:tblPr>
        <w:tblStyle w:val="24"/>
        <w:tblW w:w="4999"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748"/>
        <w:gridCol w:w="6703"/>
      </w:tblGrid>
      <w:tr w14:paraId="0E7206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8" w:hRule="atLeast"/>
          <w:jc w:val="center"/>
        </w:trPr>
        <w:tc>
          <w:tcPr>
            <w:tcW w:w="2508" w:type="pct"/>
            <w:tcBorders>
              <w:tl2br w:val="nil"/>
              <w:tr2bl w:val="nil"/>
            </w:tcBorders>
            <w:vAlign w:val="center"/>
          </w:tcPr>
          <w:p w14:paraId="1CA5EB9F">
            <w:pPr>
              <w:pStyle w:val="46"/>
              <w:keepNext w:val="0"/>
              <w:keepLines w:val="0"/>
              <w:pageBreakBefore w:val="0"/>
              <w:widowControl w:val="0"/>
              <w:kinsoku/>
              <w:wordWrap w:val="0"/>
              <w:overflowPunct/>
              <w:topLinePunct/>
              <w:autoSpaceDE/>
              <w:autoSpaceDN/>
              <w:bidi w:val="0"/>
              <w:textAlignment w:val="center"/>
              <w:rPr>
                <w:b/>
                <w:bCs/>
                <w:color w:val="auto"/>
                <w:sz w:val="24"/>
                <w:szCs w:val="24"/>
                <w:highlight w:val="none"/>
                <w:lang w:val="en-US" w:eastAsia="zh-CN"/>
              </w:rPr>
            </w:pPr>
            <w:r>
              <w:rPr>
                <w:b/>
                <w:bCs/>
                <w:color w:val="auto"/>
                <w:sz w:val="24"/>
                <w:szCs w:val="24"/>
                <w:highlight w:val="none"/>
                <w:lang w:val="en-US" w:eastAsia="zh-CN"/>
              </w:rPr>
              <w:drawing>
                <wp:inline distT="0" distB="0" distL="114300" distR="114300">
                  <wp:extent cx="3411855" cy="1918970"/>
                  <wp:effectExtent l="0" t="0" r="17145" b="5080"/>
                  <wp:docPr id="81" name="图片 81" descr="9337bb79bef11e865210a41e8434a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9337bb79bef11e865210a41e8434a019"/>
                          <pic:cNvPicPr>
                            <a:picLocks noChangeAspect="1"/>
                          </pic:cNvPicPr>
                        </pic:nvPicPr>
                        <pic:blipFill>
                          <a:blip r:embed="rId40"/>
                          <a:stretch>
                            <a:fillRect/>
                          </a:stretch>
                        </pic:blipFill>
                        <pic:spPr>
                          <a:xfrm>
                            <a:off x="0" y="0"/>
                            <a:ext cx="3411855" cy="1918970"/>
                          </a:xfrm>
                          <a:prstGeom prst="rect">
                            <a:avLst/>
                          </a:prstGeom>
                        </pic:spPr>
                      </pic:pic>
                    </a:graphicData>
                  </a:graphic>
                </wp:inline>
              </w:drawing>
            </w:r>
          </w:p>
        </w:tc>
        <w:tc>
          <w:tcPr>
            <w:tcW w:w="2491" w:type="pct"/>
            <w:tcBorders>
              <w:tl2br w:val="nil"/>
              <w:tr2bl w:val="nil"/>
            </w:tcBorders>
            <w:vAlign w:val="center"/>
          </w:tcPr>
          <w:p w14:paraId="6A9631B2">
            <w:pPr>
              <w:pStyle w:val="46"/>
              <w:keepNext w:val="0"/>
              <w:keepLines w:val="0"/>
              <w:pageBreakBefore w:val="0"/>
              <w:widowControl w:val="0"/>
              <w:kinsoku/>
              <w:wordWrap w:val="0"/>
              <w:overflowPunct/>
              <w:topLinePunct/>
              <w:autoSpaceDE/>
              <w:autoSpaceDN/>
              <w:bidi w:val="0"/>
              <w:textAlignment w:val="center"/>
              <w:rPr>
                <w:b/>
                <w:bCs/>
                <w:color w:val="auto"/>
                <w:sz w:val="24"/>
                <w:szCs w:val="24"/>
                <w:highlight w:val="none"/>
                <w:lang w:val="en-US" w:eastAsia="zh-CN"/>
              </w:rPr>
            </w:pPr>
            <w:r>
              <w:rPr>
                <w:b/>
                <w:bCs/>
                <w:color w:val="auto"/>
                <w:sz w:val="24"/>
                <w:szCs w:val="24"/>
                <w:highlight w:val="none"/>
                <w:lang w:val="en-US" w:eastAsia="zh-CN"/>
              </w:rPr>
              <w:drawing>
                <wp:inline distT="0" distB="0" distL="114300" distR="114300">
                  <wp:extent cx="3411855" cy="1918970"/>
                  <wp:effectExtent l="0" t="0" r="17145" b="5080"/>
                  <wp:docPr id="82" name="图片 82" descr="8d6c2d3378b66cde26d2e034d3ecd8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8d6c2d3378b66cde26d2e034d3ecd80f"/>
                          <pic:cNvPicPr>
                            <a:picLocks noChangeAspect="1"/>
                          </pic:cNvPicPr>
                        </pic:nvPicPr>
                        <pic:blipFill>
                          <a:blip r:embed="rId41"/>
                          <a:stretch>
                            <a:fillRect/>
                          </a:stretch>
                        </pic:blipFill>
                        <pic:spPr>
                          <a:xfrm>
                            <a:off x="0" y="0"/>
                            <a:ext cx="3411855" cy="1918970"/>
                          </a:xfrm>
                          <a:prstGeom prst="rect">
                            <a:avLst/>
                          </a:prstGeom>
                        </pic:spPr>
                      </pic:pic>
                    </a:graphicData>
                  </a:graphic>
                </wp:inline>
              </w:drawing>
            </w:r>
          </w:p>
        </w:tc>
      </w:tr>
      <w:tr w14:paraId="32D15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7" w:hRule="atLeast"/>
          <w:jc w:val="center"/>
        </w:trPr>
        <w:tc>
          <w:tcPr>
            <w:tcW w:w="2508" w:type="pct"/>
            <w:tcBorders>
              <w:tl2br w:val="nil"/>
              <w:tr2bl w:val="nil"/>
            </w:tcBorders>
            <w:vAlign w:val="center"/>
          </w:tcPr>
          <w:p w14:paraId="1B23C6AC">
            <w:pPr>
              <w:pStyle w:val="46"/>
              <w:keepNext w:val="0"/>
              <w:keepLines w:val="0"/>
              <w:pageBreakBefore w:val="0"/>
              <w:widowControl w:val="0"/>
              <w:kinsoku/>
              <w:wordWrap w:val="0"/>
              <w:overflowPunct/>
              <w:topLinePunct/>
              <w:autoSpaceDE/>
              <w:autoSpaceDN/>
              <w:bidi w:val="0"/>
              <w:textAlignment w:val="center"/>
              <w:rPr>
                <w:rFonts w:hint="default"/>
                <w:b/>
                <w:bCs/>
                <w:color w:val="auto"/>
                <w:sz w:val="24"/>
                <w:szCs w:val="24"/>
                <w:highlight w:val="none"/>
                <w:lang w:val="en-US" w:eastAsia="zh-CN"/>
              </w:rPr>
            </w:pPr>
            <w:r>
              <w:rPr>
                <w:rFonts w:hint="eastAsia"/>
                <w:b/>
                <w:bCs/>
                <w:color w:val="auto"/>
                <w:sz w:val="24"/>
                <w:szCs w:val="24"/>
                <w:highlight w:val="none"/>
                <w:lang w:val="en-US" w:eastAsia="zh-CN"/>
              </w:rPr>
              <w:t>搅拌站</w:t>
            </w:r>
          </w:p>
        </w:tc>
        <w:tc>
          <w:tcPr>
            <w:tcW w:w="2491" w:type="pct"/>
            <w:tcBorders>
              <w:tl2br w:val="nil"/>
              <w:tr2bl w:val="nil"/>
            </w:tcBorders>
            <w:vAlign w:val="center"/>
          </w:tcPr>
          <w:p w14:paraId="6B45CB9F">
            <w:pPr>
              <w:pStyle w:val="46"/>
              <w:keepNext w:val="0"/>
              <w:keepLines w:val="0"/>
              <w:pageBreakBefore w:val="0"/>
              <w:widowControl w:val="0"/>
              <w:kinsoku/>
              <w:wordWrap w:val="0"/>
              <w:overflowPunct/>
              <w:topLinePunct/>
              <w:autoSpaceDE/>
              <w:autoSpaceDN/>
              <w:bidi w:val="0"/>
              <w:textAlignment w:val="center"/>
              <w:rPr>
                <w:rFonts w:hint="default"/>
                <w:b/>
                <w:bCs/>
                <w:color w:val="auto"/>
                <w:sz w:val="24"/>
                <w:szCs w:val="24"/>
                <w:highlight w:val="none"/>
                <w:lang w:val="en-US" w:eastAsia="zh-CN"/>
              </w:rPr>
            </w:pPr>
            <w:r>
              <w:rPr>
                <w:rFonts w:hint="eastAsia"/>
                <w:b/>
                <w:bCs/>
                <w:color w:val="auto"/>
                <w:sz w:val="24"/>
                <w:szCs w:val="24"/>
                <w:highlight w:val="none"/>
                <w:lang w:val="en-US" w:eastAsia="zh-CN"/>
              </w:rPr>
              <w:t>筒仓（水泥筒仓*3+粉煤灰筒仓*1）</w:t>
            </w:r>
          </w:p>
        </w:tc>
      </w:tr>
      <w:tr w14:paraId="66C43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57" w:hRule="atLeast"/>
          <w:jc w:val="center"/>
        </w:trPr>
        <w:tc>
          <w:tcPr>
            <w:tcW w:w="2508" w:type="pct"/>
            <w:tcBorders>
              <w:tl2br w:val="nil"/>
              <w:tr2bl w:val="nil"/>
            </w:tcBorders>
            <w:vAlign w:val="center"/>
          </w:tcPr>
          <w:p w14:paraId="5919BC7C">
            <w:pPr>
              <w:pStyle w:val="46"/>
              <w:keepNext w:val="0"/>
              <w:keepLines w:val="0"/>
              <w:pageBreakBefore w:val="0"/>
              <w:widowControl w:val="0"/>
              <w:kinsoku/>
              <w:wordWrap w:val="0"/>
              <w:overflowPunct/>
              <w:topLinePunct/>
              <w:autoSpaceDE/>
              <w:autoSpaceDN/>
              <w:bidi w:val="0"/>
              <w:textAlignment w:val="center"/>
              <w:rPr>
                <w:b/>
                <w:bCs/>
                <w:color w:val="auto"/>
                <w:sz w:val="24"/>
                <w:szCs w:val="24"/>
                <w:highlight w:val="none"/>
                <w:lang w:val="en-US" w:eastAsia="zh-CN"/>
              </w:rPr>
            </w:pPr>
            <w:r>
              <w:rPr>
                <w:b/>
                <w:bCs/>
                <w:color w:val="auto"/>
                <w:sz w:val="24"/>
                <w:szCs w:val="24"/>
                <w:highlight w:val="none"/>
                <w:lang w:val="en-US" w:eastAsia="zh-CN"/>
              </w:rPr>
              <w:drawing>
                <wp:inline distT="0" distB="0" distL="114300" distR="114300">
                  <wp:extent cx="4114800" cy="2314575"/>
                  <wp:effectExtent l="0" t="0" r="0" b="9525"/>
                  <wp:docPr id="84" name="图片 84" descr="7327e8f8c2ed97bec763f61a29856a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7327e8f8c2ed97bec763f61a29856a33"/>
                          <pic:cNvPicPr>
                            <a:picLocks noChangeAspect="1"/>
                          </pic:cNvPicPr>
                        </pic:nvPicPr>
                        <pic:blipFill>
                          <a:blip r:embed="rId42"/>
                          <a:stretch>
                            <a:fillRect/>
                          </a:stretch>
                        </pic:blipFill>
                        <pic:spPr>
                          <a:xfrm>
                            <a:off x="0" y="0"/>
                            <a:ext cx="4114800" cy="2314575"/>
                          </a:xfrm>
                          <a:prstGeom prst="rect">
                            <a:avLst/>
                          </a:prstGeom>
                        </pic:spPr>
                      </pic:pic>
                    </a:graphicData>
                  </a:graphic>
                </wp:inline>
              </w:drawing>
            </w:r>
          </w:p>
        </w:tc>
        <w:tc>
          <w:tcPr>
            <w:tcW w:w="2491" w:type="pct"/>
            <w:tcBorders>
              <w:tl2br w:val="nil"/>
              <w:tr2bl w:val="nil"/>
            </w:tcBorders>
            <w:vAlign w:val="center"/>
          </w:tcPr>
          <w:p w14:paraId="31D9FD93">
            <w:pPr>
              <w:pStyle w:val="46"/>
              <w:keepNext w:val="0"/>
              <w:keepLines w:val="0"/>
              <w:pageBreakBefore w:val="0"/>
              <w:widowControl w:val="0"/>
              <w:kinsoku/>
              <w:wordWrap w:val="0"/>
              <w:overflowPunct/>
              <w:topLinePunct/>
              <w:autoSpaceDE/>
              <w:autoSpaceDN/>
              <w:bidi w:val="0"/>
              <w:textAlignment w:val="center"/>
              <w:rPr>
                <w:b/>
                <w:bCs/>
                <w:color w:val="auto"/>
                <w:sz w:val="24"/>
                <w:szCs w:val="24"/>
                <w:highlight w:val="none"/>
                <w:lang w:val="en-US" w:eastAsia="zh-CN"/>
              </w:rPr>
            </w:pPr>
          </w:p>
          <w:p w14:paraId="2C6C5012">
            <w:pPr>
              <w:pStyle w:val="46"/>
              <w:keepNext w:val="0"/>
              <w:keepLines w:val="0"/>
              <w:pageBreakBefore w:val="0"/>
              <w:widowControl w:val="0"/>
              <w:kinsoku/>
              <w:wordWrap w:val="0"/>
              <w:overflowPunct/>
              <w:topLinePunct/>
              <w:autoSpaceDE/>
              <w:autoSpaceDN/>
              <w:bidi w:val="0"/>
              <w:textAlignment w:val="center"/>
              <w:rPr>
                <w:b/>
                <w:bCs/>
                <w:color w:val="auto"/>
                <w:sz w:val="24"/>
                <w:szCs w:val="24"/>
                <w:highlight w:val="none"/>
                <w:lang w:val="en-US" w:eastAsia="zh-CN"/>
              </w:rPr>
            </w:pPr>
            <w:r>
              <w:rPr>
                <w:b/>
                <w:bCs/>
                <w:color w:val="auto"/>
                <w:sz w:val="24"/>
                <w:szCs w:val="24"/>
                <w:highlight w:val="none"/>
                <w:lang w:val="en-US" w:eastAsia="zh-CN"/>
              </w:rPr>
              <w:drawing>
                <wp:inline distT="0" distB="0" distL="114300" distR="114300">
                  <wp:extent cx="3810635" cy="1918970"/>
                  <wp:effectExtent l="0" t="0" r="18415" b="5080"/>
                  <wp:docPr id="85" name="图片 85" descr="4284e34e73e34f4520b8168d1ce5c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4284e34e73e34f4520b8168d1ce5c0b0"/>
                          <pic:cNvPicPr>
                            <a:picLocks noChangeAspect="1"/>
                          </pic:cNvPicPr>
                        </pic:nvPicPr>
                        <pic:blipFill>
                          <a:blip r:embed="rId43"/>
                          <a:srcRect r="14352"/>
                          <a:stretch>
                            <a:fillRect/>
                          </a:stretch>
                        </pic:blipFill>
                        <pic:spPr>
                          <a:xfrm>
                            <a:off x="0" y="0"/>
                            <a:ext cx="3810635" cy="1918970"/>
                          </a:xfrm>
                          <a:prstGeom prst="rect">
                            <a:avLst/>
                          </a:prstGeom>
                        </pic:spPr>
                      </pic:pic>
                    </a:graphicData>
                  </a:graphic>
                </wp:inline>
              </w:drawing>
            </w:r>
          </w:p>
        </w:tc>
      </w:tr>
      <w:tr w14:paraId="23F730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7" w:hRule="atLeast"/>
          <w:jc w:val="center"/>
        </w:trPr>
        <w:tc>
          <w:tcPr>
            <w:tcW w:w="2508" w:type="pct"/>
            <w:tcBorders>
              <w:tl2br w:val="nil"/>
              <w:tr2bl w:val="nil"/>
            </w:tcBorders>
            <w:vAlign w:val="center"/>
          </w:tcPr>
          <w:p w14:paraId="259DAA5B">
            <w:pPr>
              <w:pStyle w:val="46"/>
              <w:keepNext w:val="0"/>
              <w:keepLines w:val="0"/>
              <w:pageBreakBefore w:val="0"/>
              <w:widowControl w:val="0"/>
              <w:kinsoku/>
              <w:wordWrap w:val="0"/>
              <w:overflowPunct/>
              <w:topLinePunct/>
              <w:autoSpaceDE/>
              <w:autoSpaceDN/>
              <w:bidi w:val="0"/>
              <w:textAlignment w:val="center"/>
              <w:rPr>
                <w:rFonts w:hint="default"/>
                <w:b/>
                <w:bCs/>
                <w:color w:val="auto"/>
                <w:sz w:val="24"/>
                <w:szCs w:val="24"/>
                <w:highlight w:val="none"/>
                <w:lang w:val="en-US" w:eastAsia="zh-CN"/>
              </w:rPr>
            </w:pPr>
            <w:r>
              <w:rPr>
                <w:rFonts w:hint="eastAsia"/>
                <w:b/>
                <w:bCs/>
                <w:color w:val="auto"/>
                <w:sz w:val="24"/>
                <w:szCs w:val="24"/>
                <w:highlight w:val="none"/>
                <w:lang w:val="en-US" w:eastAsia="zh-CN"/>
              </w:rPr>
              <w:t>堆场</w:t>
            </w:r>
          </w:p>
        </w:tc>
        <w:tc>
          <w:tcPr>
            <w:tcW w:w="2491" w:type="pct"/>
            <w:tcBorders>
              <w:tl2br w:val="nil"/>
              <w:tr2bl w:val="nil"/>
            </w:tcBorders>
            <w:vAlign w:val="center"/>
          </w:tcPr>
          <w:p w14:paraId="182939AB">
            <w:pPr>
              <w:pStyle w:val="46"/>
              <w:keepNext w:val="0"/>
              <w:keepLines w:val="0"/>
              <w:pageBreakBefore w:val="0"/>
              <w:widowControl w:val="0"/>
              <w:kinsoku/>
              <w:wordWrap w:val="0"/>
              <w:overflowPunct/>
              <w:topLinePunct/>
              <w:autoSpaceDE/>
              <w:autoSpaceDN/>
              <w:bidi w:val="0"/>
              <w:textAlignment w:val="center"/>
              <w:rPr>
                <w:rFonts w:hint="default"/>
                <w:b/>
                <w:bCs/>
                <w:color w:val="auto"/>
                <w:sz w:val="24"/>
                <w:szCs w:val="24"/>
                <w:highlight w:val="none"/>
                <w:lang w:val="en-US" w:eastAsia="zh-CN"/>
              </w:rPr>
            </w:pPr>
            <w:r>
              <w:rPr>
                <w:rFonts w:hint="eastAsia"/>
                <w:b/>
                <w:bCs/>
                <w:color w:val="auto"/>
                <w:sz w:val="24"/>
                <w:szCs w:val="24"/>
                <w:highlight w:val="none"/>
                <w:lang w:val="en-US" w:eastAsia="zh-CN"/>
              </w:rPr>
              <w:t>综合室</w:t>
            </w:r>
          </w:p>
        </w:tc>
      </w:tr>
    </w:tbl>
    <w:p w14:paraId="0506F824">
      <w:pPr>
        <w:pStyle w:val="5"/>
        <w:bidi w:val="0"/>
        <w:rPr>
          <w:rFonts w:hint="eastAsia"/>
          <w:color w:val="auto"/>
          <w:highlight w:val="none"/>
        </w:rPr>
        <w:sectPr>
          <w:pgSz w:w="16838" w:h="11906" w:orient="landscape"/>
          <w:pgMar w:top="1440" w:right="1800" w:bottom="1440" w:left="1800" w:header="851" w:footer="850" w:gutter="0"/>
          <w:pgBorders>
            <w:top w:val="none" w:sz="0" w:space="0"/>
            <w:left w:val="none" w:sz="0" w:space="0"/>
            <w:bottom w:val="none" w:sz="0" w:space="0"/>
            <w:right w:val="none" w:sz="0" w:space="0"/>
          </w:pgBorders>
          <w:cols w:space="720" w:num="1"/>
          <w:docGrid w:linePitch="312" w:charSpace="0"/>
        </w:sectPr>
      </w:pPr>
    </w:p>
    <w:p w14:paraId="445DAB7B">
      <w:pPr>
        <w:pStyle w:val="5"/>
        <w:bidi w:val="0"/>
        <w:rPr>
          <w:rFonts w:hint="default" w:eastAsia="宋体"/>
          <w:color w:val="auto"/>
          <w:highlight w:val="none"/>
          <w:lang w:val="en-US" w:eastAsia="zh-CN"/>
        </w:rPr>
      </w:pPr>
      <w:bookmarkStart w:id="22" w:name="_Toc22309"/>
      <w:r>
        <w:rPr>
          <w:rFonts w:hint="eastAsia" w:eastAsia="宋体"/>
          <w:color w:val="auto"/>
          <w:highlight w:val="none"/>
          <w:lang w:val="en-US" w:eastAsia="zh-CN"/>
        </w:rPr>
        <w:drawing>
          <wp:anchor distT="0" distB="0" distL="114300" distR="114300" simplePos="0" relativeHeight="251670528" behindDoc="1" locked="0" layoutInCell="1" allowOverlap="1">
            <wp:simplePos x="0" y="0"/>
            <wp:positionH relativeFrom="column">
              <wp:posOffset>624205</wp:posOffset>
            </wp:positionH>
            <wp:positionV relativeFrom="paragraph">
              <wp:posOffset>410845</wp:posOffset>
            </wp:positionV>
            <wp:extent cx="7157720" cy="5366385"/>
            <wp:effectExtent l="0" t="0" r="5080" b="5715"/>
            <wp:wrapNone/>
            <wp:docPr id="38" name="图片 38" descr="cac93893eb606a65aa902bfec5c65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ac93893eb606a65aa902bfec5c653b"/>
                    <pic:cNvPicPr>
                      <a:picLocks noChangeAspect="1"/>
                    </pic:cNvPicPr>
                  </pic:nvPicPr>
                  <pic:blipFill>
                    <a:blip r:embed="rId44"/>
                    <a:stretch>
                      <a:fillRect/>
                    </a:stretch>
                  </pic:blipFill>
                  <pic:spPr>
                    <a:xfrm>
                      <a:off x="0" y="0"/>
                      <a:ext cx="7157720" cy="5366385"/>
                    </a:xfrm>
                    <a:prstGeom prst="rect">
                      <a:avLst/>
                    </a:prstGeom>
                  </pic:spPr>
                </pic:pic>
              </a:graphicData>
            </a:graphic>
          </wp:anchor>
        </w:drawing>
      </w:r>
      <w:r>
        <w:rPr>
          <w:rFonts w:hint="eastAsia"/>
          <w:color w:val="auto"/>
          <w:highlight w:val="none"/>
        </w:rPr>
        <w:t>附件</w:t>
      </w:r>
      <w:r>
        <w:rPr>
          <w:rFonts w:hint="eastAsia"/>
          <w:color w:val="auto"/>
          <w:highlight w:val="none"/>
          <w:lang w:val="en-US" w:eastAsia="zh-CN"/>
        </w:rPr>
        <w:t>1 营业执照</w:t>
      </w:r>
      <w:bookmarkEnd w:id="22"/>
    </w:p>
    <w:p w14:paraId="36BF6E60">
      <w:pPr>
        <w:pStyle w:val="5"/>
        <w:bidi w:val="0"/>
        <w:rPr>
          <w:rFonts w:hint="eastAsia"/>
          <w:color w:val="auto"/>
          <w:highlight w:val="none"/>
          <w:lang w:eastAsia="zh-CN"/>
        </w:rPr>
        <w:sectPr>
          <w:pgSz w:w="16838" w:h="11906" w:orient="landscape"/>
          <w:pgMar w:top="1440" w:right="1800" w:bottom="1440" w:left="1800" w:header="851" w:footer="850" w:gutter="0"/>
          <w:pgBorders>
            <w:top w:val="none" w:sz="0" w:space="0"/>
            <w:left w:val="none" w:sz="0" w:space="0"/>
            <w:bottom w:val="none" w:sz="0" w:space="0"/>
            <w:right w:val="none" w:sz="0" w:space="0"/>
          </w:pgBorders>
          <w:cols w:space="720" w:num="1"/>
          <w:docGrid w:linePitch="312" w:charSpace="0"/>
        </w:sectPr>
      </w:pPr>
    </w:p>
    <w:p w14:paraId="4A3595E4">
      <w:pPr>
        <w:pStyle w:val="32"/>
        <w:bidi w:val="0"/>
        <w:jc w:val="left"/>
        <w:rPr>
          <w:rFonts w:hint="eastAsia"/>
          <w:color w:val="auto"/>
          <w:highlight w:val="none"/>
        </w:rPr>
      </w:pPr>
      <w:bookmarkStart w:id="23" w:name="_Toc27997"/>
      <w:r>
        <w:rPr>
          <w:rFonts w:hint="eastAsia" w:eastAsia="宋体"/>
          <w:color w:val="auto"/>
          <w:highlight w:val="none"/>
          <w:lang w:eastAsia="zh-CN"/>
        </w:rPr>
        <w:drawing>
          <wp:anchor distT="0" distB="0" distL="114300" distR="114300" simplePos="0" relativeHeight="251669504" behindDoc="0" locked="0" layoutInCell="1" allowOverlap="1">
            <wp:simplePos x="0" y="0"/>
            <wp:positionH relativeFrom="column">
              <wp:posOffset>983615</wp:posOffset>
            </wp:positionH>
            <wp:positionV relativeFrom="paragraph">
              <wp:posOffset>351155</wp:posOffset>
            </wp:positionV>
            <wp:extent cx="6896100" cy="5172710"/>
            <wp:effectExtent l="0" t="0" r="0" b="8890"/>
            <wp:wrapNone/>
            <wp:docPr id="37" name="图片 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3"/>
                    <pic:cNvPicPr>
                      <a:picLocks noChangeAspect="1"/>
                    </pic:cNvPicPr>
                  </pic:nvPicPr>
                  <pic:blipFill>
                    <a:blip r:embed="rId45"/>
                    <a:stretch>
                      <a:fillRect/>
                    </a:stretch>
                  </pic:blipFill>
                  <pic:spPr>
                    <a:xfrm>
                      <a:off x="0" y="0"/>
                      <a:ext cx="6896100" cy="5172710"/>
                    </a:xfrm>
                    <a:prstGeom prst="rect">
                      <a:avLst/>
                    </a:prstGeom>
                  </pic:spPr>
                </pic:pic>
              </a:graphicData>
            </a:graphic>
          </wp:anchor>
        </w:drawing>
      </w:r>
      <w:r>
        <w:rPr>
          <w:rFonts w:hint="eastAsia"/>
          <w:color w:val="auto"/>
          <w:highlight w:val="none"/>
        </w:rPr>
        <w:t>附件</w:t>
      </w:r>
      <w:r>
        <w:rPr>
          <w:rFonts w:hint="eastAsia"/>
          <w:color w:val="auto"/>
          <w:highlight w:val="none"/>
          <w:lang w:val="en-US" w:eastAsia="zh-CN"/>
        </w:rPr>
        <w:t xml:space="preserve">2 </w:t>
      </w:r>
      <w:r>
        <w:rPr>
          <w:rFonts w:hint="eastAsia"/>
          <w:color w:val="auto"/>
          <w:highlight w:val="none"/>
        </w:rPr>
        <w:t>土地证</w:t>
      </w:r>
      <w:bookmarkEnd w:id="23"/>
    </w:p>
    <w:p w14:paraId="64211D71">
      <w:pPr>
        <w:rPr>
          <w:rFonts w:hint="eastAsia" w:eastAsia="宋体"/>
          <w:color w:val="auto"/>
          <w:highlight w:val="none"/>
          <w:lang w:eastAsia="zh-CN"/>
        </w:rPr>
        <w:sectPr>
          <w:headerReference r:id="rId11" w:type="default"/>
          <w:footerReference r:id="rId12" w:type="default"/>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p>
    <w:p w14:paraId="7ED2BEAE">
      <w:pPr>
        <w:pStyle w:val="32"/>
        <w:bidi w:val="0"/>
        <w:jc w:val="left"/>
        <w:rPr>
          <w:rFonts w:hint="eastAsia"/>
          <w:color w:val="auto"/>
          <w:highlight w:val="none"/>
          <w:lang w:val="en-US" w:eastAsia="zh-CN"/>
        </w:rPr>
      </w:pPr>
      <w:bookmarkStart w:id="24" w:name="_Toc31198"/>
      <w:r>
        <w:rPr>
          <w:rFonts w:hint="eastAsia"/>
          <w:color w:val="auto"/>
          <w:highlight w:val="none"/>
          <w:lang w:val="en-US" w:eastAsia="zh-CN"/>
        </w:rPr>
        <w:t>附件3 租赁合同</w:t>
      </w:r>
      <w:bookmarkEnd w:id="24"/>
    </w:p>
    <w:p w14:paraId="0140BFFF">
      <w:pPr>
        <w:pStyle w:val="33"/>
        <w:ind w:left="0" w:leftChars="0" w:firstLine="0" w:firstLineChars="0"/>
        <w:rPr>
          <w:rFonts w:hint="default"/>
          <w:color w:val="auto"/>
          <w:highlight w:val="none"/>
          <w:lang w:val="en-US" w:eastAsia="zh-CN"/>
        </w:rPr>
      </w:pPr>
      <w:r>
        <w:rPr>
          <w:color w:val="auto"/>
          <w:highlight w:val="none"/>
        </w:rPr>
        <w:drawing>
          <wp:inline distT="0" distB="0" distL="114300" distR="114300">
            <wp:extent cx="5273675" cy="7391400"/>
            <wp:effectExtent l="0" t="0" r="14605" b="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46"/>
                    <a:stretch>
                      <a:fillRect/>
                    </a:stretch>
                  </pic:blipFill>
                  <pic:spPr>
                    <a:xfrm>
                      <a:off x="0" y="0"/>
                      <a:ext cx="5273675" cy="7391400"/>
                    </a:xfrm>
                    <a:prstGeom prst="rect">
                      <a:avLst/>
                    </a:prstGeom>
                    <a:noFill/>
                    <a:ln>
                      <a:noFill/>
                    </a:ln>
                  </pic:spPr>
                </pic:pic>
              </a:graphicData>
            </a:graphic>
          </wp:inline>
        </w:drawing>
      </w:r>
    </w:p>
    <w:p w14:paraId="2007C28C">
      <w:pPr>
        <w:pStyle w:val="32"/>
        <w:keepNext w:val="0"/>
        <w:keepLines w:val="0"/>
        <w:pageBreakBefore w:val="0"/>
        <w:widowControl w:val="0"/>
        <w:kinsoku/>
        <w:wordWrap w:val="0"/>
        <w:overflowPunct/>
        <w:topLinePunct/>
        <w:autoSpaceDE/>
        <w:autoSpaceDN/>
        <w:bidi w:val="0"/>
        <w:adjustRightInd/>
        <w:snapToGrid/>
        <w:jc w:val="left"/>
        <w:textAlignment w:val="auto"/>
        <w:outlineLvl w:val="9"/>
        <w:rPr>
          <w:rFonts w:hint="eastAsia"/>
          <w:color w:val="auto"/>
          <w:highlight w:val="none"/>
          <w:lang w:val="en-US" w:eastAsia="zh-CN"/>
        </w:rPr>
        <w:sectPr>
          <w:headerReference r:id="rId13" w:type="default"/>
          <w:footerReference r:id="rId14" w:type="default"/>
          <w:pgSz w:w="11906" w:h="16838"/>
          <w:pgMar w:top="1440" w:right="1800" w:bottom="1440" w:left="1800" w:header="851" w:footer="850" w:gutter="0"/>
          <w:pgBorders>
            <w:top w:val="none" w:sz="0" w:space="0"/>
            <w:left w:val="none" w:sz="0" w:space="0"/>
            <w:bottom w:val="none" w:sz="0" w:space="0"/>
            <w:right w:val="none" w:sz="0" w:space="0"/>
          </w:pgBorders>
          <w:cols w:space="720" w:num="1"/>
          <w:docGrid w:linePitch="312" w:charSpace="0"/>
        </w:sectPr>
      </w:pPr>
    </w:p>
    <w:p w14:paraId="1602C6ED">
      <w:pPr>
        <w:pStyle w:val="32"/>
        <w:bidi w:val="0"/>
        <w:jc w:val="left"/>
        <w:rPr>
          <w:rFonts w:hint="eastAsia"/>
          <w:color w:val="auto"/>
          <w:highlight w:val="none"/>
          <w:lang w:val="en-US" w:eastAsia="zh-CN"/>
        </w:rPr>
      </w:pPr>
      <w:bookmarkStart w:id="25" w:name="_Toc9163"/>
      <w:r>
        <w:rPr>
          <w:rFonts w:hint="eastAsia"/>
          <w:color w:val="auto"/>
          <w:highlight w:val="none"/>
        </w:rPr>
        <w:t>附件</w:t>
      </w:r>
      <w:r>
        <w:rPr>
          <w:rFonts w:hint="eastAsia"/>
          <w:color w:val="auto"/>
          <w:highlight w:val="none"/>
          <w:lang w:val="en-US" w:eastAsia="zh-CN"/>
        </w:rPr>
        <w:t>4 现状检测报告</w:t>
      </w:r>
      <w:bookmarkEnd w:id="25"/>
    </w:p>
    <w:p w14:paraId="74AF1D41">
      <w:pPr>
        <w:pStyle w:val="36"/>
        <w:bidi w:val="0"/>
        <w:rPr>
          <w:rFonts w:hint="eastAsia"/>
          <w:lang w:val="en-US" w:eastAsia="zh-CN"/>
        </w:rPr>
      </w:pPr>
    </w:p>
    <w:p w14:paraId="3AE608F6">
      <w:pPr>
        <w:pStyle w:val="36"/>
        <w:bidi w:val="0"/>
        <w:rPr>
          <w:rFonts w:hint="eastAsia"/>
          <w:lang w:val="en-US" w:eastAsia="zh-CN"/>
        </w:rPr>
      </w:pPr>
    </w:p>
    <w:p w14:paraId="0BB45531">
      <w:pPr>
        <w:pStyle w:val="36"/>
        <w:bidi w:val="0"/>
        <w:rPr>
          <w:rFonts w:hint="eastAsia"/>
          <w:lang w:eastAsia="zh-CN"/>
        </w:rPr>
      </w:pPr>
      <w:r>
        <w:rPr>
          <w:rFonts w:hint="eastAsia"/>
          <w:lang w:eastAsia="zh-CN"/>
        </w:rPr>
        <w:drawing>
          <wp:inline distT="0" distB="0" distL="114300" distR="114300">
            <wp:extent cx="5238750" cy="7404735"/>
            <wp:effectExtent l="0" t="0" r="0" b="5715"/>
            <wp:docPr id="83" name="图片 83" descr="双鸭山集宏商品混凝土(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双鸭山集宏商品混凝土(1)_01"/>
                    <pic:cNvPicPr>
                      <a:picLocks noChangeAspect="1"/>
                    </pic:cNvPicPr>
                  </pic:nvPicPr>
                  <pic:blipFill>
                    <a:blip r:embed="rId47"/>
                    <a:stretch>
                      <a:fillRect/>
                    </a:stretch>
                  </pic:blipFill>
                  <pic:spPr>
                    <a:xfrm>
                      <a:off x="0" y="0"/>
                      <a:ext cx="5238750" cy="7404735"/>
                    </a:xfrm>
                    <a:prstGeom prst="rect">
                      <a:avLst/>
                    </a:prstGeom>
                  </pic:spPr>
                </pic:pic>
              </a:graphicData>
            </a:graphic>
          </wp:inline>
        </w:drawing>
      </w:r>
    </w:p>
    <w:p w14:paraId="0274FC62">
      <w:pPr>
        <w:pStyle w:val="36"/>
        <w:bidi w:val="0"/>
        <w:rPr>
          <w:rFonts w:hint="eastAsia"/>
          <w:lang w:eastAsia="zh-CN"/>
        </w:rPr>
      </w:pPr>
    </w:p>
    <w:p w14:paraId="00AB5CDB">
      <w:pPr>
        <w:pStyle w:val="36"/>
        <w:bidi w:val="0"/>
        <w:rPr>
          <w:rFonts w:hint="eastAsia"/>
          <w:lang w:eastAsia="zh-CN"/>
        </w:rPr>
      </w:pPr>
    </w:p>
    <w:p w14:paraId="2E066BE6">
      <w:pPr>
        <w:pStyle w:val="36"/>
        <w:bidi w:val="0"/>
        <w:rPr>
          <w:rFonts w:hint="eastAsia"/>
          <w:lang w:eastAsia="zh-CN"/>
        </w:rPr>
      </w:pPr>
    </w:p>
    <w:p w14:paraId="7335BEB1">
      <w:pPr>
        <w:pStyle w:val="36"/>
        <w:bidi w:val="0"/>
        <w:rPr>
          <w:rFonts w:hint="eastAsia"/>
          <w:lang w:eastAsia="zh-CN"/>
        </w:rPr>
      </w:pPr>
    </w:p>
    <w:p w14:paraId="3FDD4036">
      <w:pPr>
        <w:pStyle w:val="36"/>
        <w:bidi w:val="0"/>
        <w:rPr>
          <w:rFonts w:hint="eastAsia"/>
          <w:lang w:eastAsia="zh-CN"/>
        </w:rPr>
      </w:pPr>
    </w:p>
    <w:p w14:paraId="173AA3A0">
      <w:pPr>
        <w:pStyle w:val="36"/>
        <w:bidi w:val="0"/>
        <w:rPr>
          <w:rFonts w:hint="eastAsia"/>
          <w:lang w:eastAsia="zh-CN"/>
        </w:rPr>
      </w:pPr>
    </w:p>
    <w:p w14:paraId="19B723A2">
      <w:pPr>
        <w:pStyle w:val="36"/>
        <w:bidi w:val="0"/>
        <w:rPr>
          <w:rFonts w:hint="eastAsia"/>
          <w:lang w:eastAsia="zh-CN"/>
        </w:rPr>
      </w:pPr>
    </w:p>
    <w:p w14:paraId="056D2601">
      <w:pPr>
        <w:pStyle w:val="36"/>
        <w:bidi w:val="0"/>
        <w:rPr>
          <w:rFonts w:hint="eastAsia"/>
          <w:lang w:eastAsia="zh-CN"/>
        </w:rPr>
      </w:pPr>
      <w:r>
        <w:rPr>
          <w:rFonts w:hint="eastAsia"/>
          <w:lang w:eastAsia="zh-CN"/>
        </w:rPr>
        <w:drawing>
          <wp:inline distT="0" distB="0" distL="114300" distR="114300">
            <wp:extent cx="5238750" cy="7404735"/>
            <wp:effectExtent l="0" t="0" r="0" b="5715"/>
            <wp:docPr id="80" name="图片 80" descr="双鸭山集宏商品混凝土(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双鸭山集宏商品混凝土(1)_02"/>
                    <pic:cNvPicPr>
                      <a:picLocks noChangeAspect="1"/>
                    </pic:cNvPicPr>
                  </pic:nvPicPr>
                  <pic:blipFill>
                    <a:blip r:embed="rId48"/>
                    <a:stretch>
                      <a:fillRect/>
                    </a:stretch>
                  </pic:blipFill>
                  <pic:spPr>
                    <a:xfrm>
                      <a:off x="0" y="0"/>
                      <a:ext cx="5238750" cy="7404735"/>
                    </a:xfrm>
                    <a:prstGeom prst="rect">
                      <a:avLst/>
                    </a:prstGeom>
                  </pic:spPr>
                </pic:pic>
              </a:graphicData>
            </a:graphic>
          </wp:inline>
        </w:drawing>
      </w:r>
    </w:p>
    <w:p w14:paraId="6CB5C237">
      <w:pPr>
        <w:pStyle w:val="36"/>
        <w:bidi w:val="0"/>
        <w:rPr>
          <w:rFonts w:hint="eastAsia"/>
          <w:lang w:eastAsia="zh-CN"/>
        </w:rPr>
      </w:pPr>
    </w:p>
    <w:p w14:paraId="32012938">
      <w:pPr>
        <w:pStyle w:val="36"/>
        <w:bidi w:val="0"/>
        <w:rPr>
          <w:rFonts w:hint="eastAsia"/>
          <w:lang w:eastAsia="zh-CN"/>
        </w:rPr>
      </w:pPr>
    </w:p>
    <w:p w14:paraId="5A112FB1">
      <w:pPr>
        <w:pStyle w:val="36"/>
        <w:bidi w:val="0"/>
        <w:rPr>
          <w:rFonts w:hint="eastAsia"/>
          <w:lang w:eastAsia="zh-CN"/>
        </w:rPr>
      </w:pPr>
    </w:p>
    <w:p w14:paraId="57B8DC4D">
      <w:pPr>
        <w:pStyle w:val="36"/>
        <w:bidi w:val="0"/>
        <w:rPr>
          <w:rFonts w:hint="eastAsia"/>
          <w:lang w:eastAsia="zh-CN"/>
        </w:rPr>
      </w:pPr>
    </w:p>
    <w:p w14:paraId="10627E44">
      <w:pPr>
        <w:pStyle w:val="36"/>
        <w:bidi w:val="0"/>
        <w:rPr>
          <w:rFonts w:hint="eastAsia"/>
          <w:lang w:eastAsia="zh-CN"/>
        </w:rPr>
      </w:pPr>
    </w:p>
    <w:p w14:paraId="45BAD36E">
      <w:pPr>
        <w:pStyle w:val="36"/>
        <w:bidi w:val="0"/>
        <w:rPr>
          <w:rFonts w:hint="eastAsia"/>
          <w:lang w:eastAsia="zh-CN"/>
        </w:rPr>
      </w:pPr>
    </w:p>
    <w:p w14:paraId="6DCB9F86">
      <w:pPr>
        <w:pStyle w:val="36"/>
        <w:bidi w:val="0"/>
        <w:rPr>
          <w:rFonts w:hint="eastAsia"/>
          <w:lang w:eastAsia="zh-CN"/>
        </w:rPr>
      </w:pPr>
    </w:p>
    <w:p w14:paraId="2A47E9D7">
      <w:pPr>
        <w:pStyle w:val="36"/>
        <w:bidi w:val="0"/>
        <w:rPr>
          <w:rFonts w:hint="eastAsia"/>
          <w:lang w:eastAsia="zh-CN"/>
        </w:rPr>
      </w:pPr>
    </w:p>
    <w:p w14:paraId="2486F6DC">
      <w:pPr>
        <w:pStyle w:val="36"/>
        <w:bidi w:val="0"/>
        <w:rPr>
          <w:rFonts w:hint="eastAsia"/>
          <w:lang w:eastAsia="zh-CN"/>
        </w:rPr>
      </w:pPr>
      <w:r>
        <w:rPr>
          <w:rFonts w:hint="eastAsia"/>
          <w:lang w:eastAsia="zh-CN"/>
        </w:rPr>
        <w:drawing>
          <wp:inline distT="0" distB="0" distL="114300" distR="114300">
            <wp:extent cx="5238750" cy="7404735"/>
            <wp:effectExtent l="0" t="0" r="0" b="5715"/>
            <wp:docPr id="78" name="图片 78" descr="双鸭山集宏商品混凝土(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双鸭山集宏商品混凝土(1)_03"/>
                    <pic:cNvPicPr>
                      <a:picLocks noChangeAspect="1"/>
                    </pic:cNvPicPr>
                  </pic:nvPicPr>
                  <pic:blipFill>
                    <a:blip r:embed="rId49"/>
                    <a:stretch>
                      <a:fillRect/>
                    </a:stretch>
                  </pic:blipFill>
                  <pic:spPr>
                    <a:xfrm>
                      <a:off x="0" y="0"/>
                      <a:ext cx="5238750" cy="7404735"/>
                    </a:xfrm>
                    <a:prstGeom prst="rect">
                      <a:avLst/>
                    </a:prstGeom>
                  </pic:spPr>
                </pic:pic>
              </a:graphicData>
            </a:graphic>
          </wp:inline>
        </w:drawing>
      </w:r>
    </w:p>
    <w:p w14:paraId="5B7B7D00">
      <w:pPr>
        <w:pStyle w:val="36"/>
        <w:bidi w:val="0"/>
        <w:rPr>
          <w:rFonts w:hint="eastAsia"/>
          <w:lang w:eastAsia="zh-CN"/>
        </w:rPr>
      </w:pPr>
    </w:p>
    <w:p w14:paraId="0BF340C9">
      <w:pPr>
        <w:pStyle w:val="36"/>
        <w:bidi w:val="0"/>
        <w:rPr>
          <w:rFonts w:hint="eastAsia"/>
          <w:lang w:eastAsia="zh-CN"/>
        </w:rPr>
      </w:pPr>
    </w:p>
    <w:p w14:paraId="1EA16A0D">
      <w:pPr>
        <w:pStyle w:val="36"/>
        <w:bidi w:val="0"/>
        <w:rPr>
          <w:rFonts w:hint="eastAsia"/>
          <w:lang w:eastAsia="zh-CN"/>
        </w:rPr>
      </w:pPr>
    </w:p>
    <w:p w14:paraId="499ED0CA">
      <w:pPr>
        <w:pStyle w:val="36"/>
        <w:bidi w:val="0"/>
        <w:rPr>
          <w:rFonts w:hint="eastAsia"/>
          <w:lang w:eastAsia="zh-CN"/>
        </w:rPr>
      </w:pPr>
    </w:p>
    <w:p w14:paraId="6E4E63A7">
      <w:pPr>
        <w:pStyle w:val="36"/>
        <w:bidi w:val="0"/>
        <w:rPr>
          <w:rFonts w:hint="eastAsia"/>
          <w:lang w:eastAsia="zh-CN"/>
        </w:rPr>
      </w:pPr>
    </w:p>
    <w:p w14:paraId="568B1E47">
      <w:pPr>
        <w:pStyle w:val="36"/>
        <w:bidi w:val="0"/>
        <w:rPr>
          <w:rFonts w:hint="eastAsia"/>
          <w:lang w:eastAsia="zh-CN"/>
        </w:rPr>
      </w:pPr>
    </w:p>
    <w:p w14:paraId="17525A88">
      <w:pPr>
        <w:pStyle w:val="36"/>
        <w:bidi w:val="0"/>
        <w:rPr>
          <w:rFonts w:hint="eastAsia"/>
          <w:lang w:eastAsia="zh-CN"/>
        </w:rPr>
      </w:pPr>
    </w:p>
    <w:p w14:paraId="48D06392">
      <w:pPr>
        <w:pStyle w:val="36"/>
        <w:bidi w:val="0"/>
        <w:rPr>
          <w:rFonts w:hint="eastAsia"/>
          <w:lang w:eastAsia="zh-CN"/>
        </w:rPr>
      </w:pPr>
    </w:p>
    <w:p w14:paraId="3734D0AE">
      <w:pPr>
        <w:pStyle w:val="36"/>
        <w:bidi w:val="0"/>
        <w:rPr>
          <w:rFonts w:hint="eastAsia"/>
          <w:lang w:eastAsia="zh-CN"/>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linePitch="312" w:charSpace="0"/>
        </w:sectPr>
      </w:pPr>
      <w:r>
        <w:rPr>
          <w:rFonts w:hint="eastAsia"/>
          <w:lang w:eastAsia="zh-CN"/>
        </w:rPr>
        <w:drawing>
          <wp:inline distT="0" distB="0" distL="114300" distR="114300">
            <wp:extent cx="5238750" cy="7404735"/>
            <wp:effectExtent l="0" t="0" r="0" b="5715"/>
            <wp:docPr id="77" name="图片 77" descr="双鸭山集宏商品混凝土(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双鸭山集宏商品混凝土(1)_04"/>
                    <pic:cNvPicPr>
                      <a:picLocks noChangeAspect="1"/>
                    </pic:cNvPicPr>
                  </pic:nvPicPr>
                  <pic:blipFill>
                    <a:blip r:embed="rId50"/>
                    <a:stretch>
                      <a:fillRect/>
                    </a:stretch>
                  </pic:blipFill>
                  <pic:spPr>
                    <a:xfrm>
                      <a:off x="0" y="0"/>
                      <a:ext cx="5238750" cy="7404735"/>
                    </a:xfrm>
                    <a:prstGeom prst="rect">
                      <a:avLst/>
                    </a:prstGeom>
                  </pic:spPr>
                </pic:pic>
              </a:graphicData>
            </a:graphic>
          </wp:inline>
        </w:drawing>
      </w:r>
    </w:p>
    <w:p w14:paraId="29D9D834">
      <w:pPr>
        <w:pStyle w:val="5"/>
        <w:rPr>
          <w:rFonts w:hint="default" w:eastAsia="宋体"/>
          <w:color w:val="auto"/>
          <w:highlight w:val="none"/>
          <w:lang w:val="en-US" w:eastAsia="zh-CN"/>
        </w:rPr>
      </w:pPr>
      <w:bookmarkStart w:id="26" w:name="_Toc16611"/>
      <w:r>
        <w:rPr>
          <w:rFonts w:hint="eastAsia"/>
          <w:color w:val="auto"/>
          <w:highlight w:val="none"/>
          <w:lang w:val="en-US" w:eastAsia="zh-CN"/>
        </w:rPr>
        <w:t>附件5 项目位置不在经开区说明</w:t>
      </w:r>
      <w:bookmarkEnd w:id="26"/>
    </w:p>
    <w:p w14:paraId="7F0F786D">
      <w:pPr>
        <w:pStyle w:val="5"/>
        <w:rPr>
          <w:rFonts w:hint="eastAsia"/>
          <w:color w:val="auto"/>
          <w:highlight w:val="none"/>
        </w:rPr>
        <w:sectPr>
          <w:headerReference r:id="rId15" w:type="default"/>
          <w:footerReference r:id="rId16" w:type="default"/>
          <w:pgSz w:w="11906" w:h="16838"/>
          <w:pgMar w:top="1440" w:right="1800" w:bottom="1440" w:left="1800"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anchor distT="0" distB="0" distL="114300" distR="114300" simplePos="0" relativeHeight="251668480" behindDoc="0" locked="0" layoutInCell="1" allowOverlap="1">
            <wp:simplePos x="0" y="0"/>
            <wp:positionH relativeFrom="column">
              <wp:posOffset>0</wp:posOffset>
            </wp:positionH>
            <wp:positionV relativeFrom="paragraph">
              <wp:posOffset>247650</wp:posOffset>
            </wp:positionV>
            <wp:extent cx="5273675" cy="7477125"/>
            <wp:effectExtent l="0" t="0" r="3175" b="9525"/>
            <wp:wrapNone/>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51"/>
                    <a:stretch>
                      <a:fillRect/>
                    </a:stretch>
                  </pic:blipFill>
                  <pic:spPr>
                    <a:xfrm>
                      <a:off x="0" y="0"/>
                      <a:ext cx="5273675" cy="7477125"/>
                    </a:xfrm>
                    <a:prstGeom prst="rect">
                      <a:avLst/>
                    </a:prstGeom>
                    <a:noFill/>
                    <a:ln>
                      <a:noFill/>
                    </a:ln>
                  </pic:spPr>
                </pic:pic>
              </a:graphicData>
            </a:graphic>
          </wp:anchor>
        </w:drawing>
      </w:r>
    </w:p>
    <w:p w14:paraId="6086D20C">
      <w:pPr>
        <w:pStyle w:val="5"/>
        <w:rPr>
          <w:rFonts w:hint="eastAsia"/>
          <w:color w:val="auto"/>
          <w:highlight w:val="none"/>
        </w:rPr>
      </w:pPr>
      <w:bookmarkStart w:id="27" w:name="_Toc7925"/>
      <w:r>
        <w:rPr>
          <w:rFonts w:hint="eastAsia"/>
          <w:color w:val="auto"/>
          <w:highlight w:val="none"/>
        </w:rPr>
        <w:t>附件</w:t>
      </w:r>
      <w:r>
        <w:rPr>
          <w:rFonts w:hint="eastAsia"/>
          <w:color w:val="auto"/>
          <w:highlight w:val="none"/>
          <w:lang w:val="en-US" w:eastAsia="zh-CN"/>
        </w:rPr>
        <w:t xml:space="preserve">6 </w:t>
      </w:r>
      <w:r>
        <w:rPr>
          <w:rFonts w:hint="eastAsia"/>
          <w:color w:val="auto"/>
          <w:highlight w:val="none"/>
        </w:rPr>
        <w:t>生态环境分区管控分析报告</w:t>
      </w:r>
      <w:bookmarkEnd w:id="27"/>
    </w:p>
    <w:p w14:paraId="5FA0888A">
      <w:pPr>
        <w:jc w:val="center"/>
        <w:rPr>
          <w:rFonts w:hint="eastAsia"/>
          <w:color w:val="auto"/>
          <w:highlight w:val="none"/>
        </w:rPr>
      </w:pPr>
      <w:r>
        <w:rPr>
          <w:color w:val="auto"/>
          <w:highlight w:val="none"/>
        </w:rPr>
        <w:drawing>
          <wp:inline distT="0" distB="0" distL="114300" distR="114300">
            <wp:extent cx="7458710" cy="4777740"/>
            <wp:effectExtent l="0" t="0" r="8890" b="7620"/>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52"/>
                    <a:stretch>
                      <a:fillRect/>
                    </a:stretch>
                  </pic:blipFill>
                  <pic:spPr>
                    <a:xfrm>
                      <a:off x="0" y="0"/>
                      <a:ext cx="7458710" cy="4777740"/>
                    </a:xfrm>
                    <a:prstGeom prst="rect">
                      <a:avLst/>
                    </a:prstGeom>
                    <a:noFill/>
                    <a:ln>
                      <a:noFill/>
                    </a:ln>
                  </pic:spPr>
                </pic:pic>
              </a:graphicData>
            </a:graphic>
          </wp:inline>
        </w:drawing>
      </w:r>
    </w:p>
    <w:p w14:paraId="7D620B49">
      <w:pPr>
        <w:pStyle w:val="33"/>
        <w:rPr>
          <w:rFonts w:hint="eastAsia"/>
          <w:b w:val="0"/>
          <w:bCs w:val="0"/>
          <w:color w:val="auto"/>
          <w:szCs w:val="21"/>
          <w:highlight w:val="none"/>
          <w:lang w:val="en-US"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p>
    <w:p w14:paraId="7BD1AEA5">
      <w:pPr>
        <w:pStyle w:val="36"/>
        <w:bidi w:val="0"/>
        <w:rPr>
          <w:rFonts w:hint="eastAsia"/>
          <w:color w:val="auto"/>
          <w:highlight w:val="none"/>
          <w:lang w:val="en-US"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lang w:val="en-US" w:eastAsia="zh-CN"/>
        </w:rPr>
        <w:drawing>
          <wp:inline distT="0" distB="0" distL="114300" distR="114300">
            <wp:extent cx="7637145" cy="5400040"/>
            <wp:effectExtent l="0" t="0" r="1905" b="10160"/>
            <wp:docPr id="17" name="图片 17" descr="双鸭山集宏商品混凝土制造有限公司建设_2025年05月30日082506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双鸭山集宏商品混凝土制造有限公司建设_2025年05月30日082506_分析报告_01"/>
                    <pic:cNvPicPr>
                      <a:picLocks noChangeAspect="1"/>
                    </pic:cNvPicPr>
                  </pic:nvPicPr>
                  <pic:blipFill>
                    <a:blip r:embed="rId53"/>
                    <a:stretch>
                      <a:fillRect/>
                    </a:stretch>
                  </pic:blipFill>
                  <pic:spPr>
                    <a:xfrm>
                      <a:off x="0" y="0"/>
                      <a:ext cx="7637145" cy="5400040"/>
                    </a:xfrm>
                    <a:prstGeom prst="rect">
                      <a:avLst/>
                    </a:prstGeom>
                  </pic:spPr>
                </pic:pic>
              </a:graphicData>
            </a:graphic>
          </wp:inline>
        </w:drawing>
      </w:r>
    </w:p>
    <w:p w14:paraId="2C1538A1">
      <w:pPr>
        <w:pStyle w:val="36"/>
        <w:bidi w:val="0"/>
        <w:rPr>
          <w:rFonts w:hint="eastAsia"/>
          <w:color w:val="auto"/>
          <w:highlight w:val="none"/>
          <w:lang w:val="en-US"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lang w:val="en-US" w:eastAsia="zh-CN"/>
        </w:rPr>
        <w:drawing>
          <wp:inline distT="0" distB="0" distL="114300" distR="114300">
            <wp:extent cx="7637145" cy="5400040"/>
            <wp:effectExtent l="0" t="0" r="1905" b="10160"/>
            <wp:docPr id="14" name="图片 14" descr="双鸭山集宏商品混凝土制造有限公司建设_2025年05月30日082506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双鸭山集宏商品混凝土制造有限公司建设_2025年05月30日082506_分析报告_02"/>
                    <pic:cNvPicPr>
                      <a:picLocks noChangeAspect="1"/>
                    </pic:cNvPicPr>
                  </pic:nvPicPr>
                  <pic:blipFill>
                    <a:blip r:embed="rId54"/>
                    <a:stretch>
                      <a:fillRect/>
                    </a:stretch>
                  </pic:blipFill>
                  <pic:spPr>
                    <a:xfrm>
                      <a:off x="0" y="0"/>
                      <a:ext cx="7637145" cy="5400040"/>
                    </a:xfrm>
                    <a:prstGeom prst="rect">
                      <a:avLst/>
                    </a:prstGeom>
                  </pic:spPr>
                </pic:pic>
              </a:graphicData>
            </a:graphic>
          </wp:inline>
        </w:drawing>
      </w:r>
    </w:p>
    <w:p w14:paraId="3C86DFB0">
      <w:pPr>
        <w:pStyle w:val="36"/>
        <w:bidi w:val="0"/>
        <w:rPr>
          <w:rFonts w:hint="eastAsia"/>
          <w:color w:val="auto"/>
          <w:highlight w:val="none"/>
          <w:lang w:val="en-US"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lang w:val="en-US" w:eastAsia="zh-CN"/>
        </w:rPr>
        <w:drawing>
          <wp:inline distT="0" distB="0" distL="114300" distR="114300">
            <wp:extent cx="7637145" cy="5400040"/>
            <wp:effectExtent l="0" t="0" r="1905" b="10160"/>
            <wp:docPr id="13" name="图片 13" descr="双鸭山集宏商品混凝土制造有限公司建设_2025年05月30日082506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双鸭山集宏商品混凝土制造有限公司建设_2025年05月30日082506_分析报告_03"/>
                    <pic:cNvPicPr>
                      <a:picLocks noChangeAspect="1"/>
                    </pic:cNvPicPr>
                  </pic:nvPicPr>
                  <pic:blipFill>
                    <a:blip r:embed="rId55"/>
                    <a:stretch>
                      <a:fillRect/>
                    </a:stretch>
                  </pic:blipFill>
                  <pic:spPr>
                    <a:xfrm>
                      <a:off x="0" y="0"/>
                      <a:ext cx="7637145" cy="5400040"/>
                    </a:xfrm>
                    <a:prstGeom prst="rect">
                      <a:avLst/>
                    </a:prstGeom>
                  </pic:spPr>
                </pic:pic>
              </a:graphicData>
            </a:graphic>
          </wp:inline>
        </w:drawing>
      </w:r>
    </w:p>
    <w:p w14:paraId="295368A1">
      <w:pPr>
        <w:pStyle w:val="36"/>
        <w:bidi w:val="0"/>
        <w:rPr>
          <w:rFonts w:hint="eastAsia"/>
          <w:color w:val="auto"/>
          <w:highlight w:val="none"/>
          <w:lang w:val="en-US"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lang w:val="en-US" w:eastAsia="zh-CN"/>
        </w:rPr>
        <w:drawing>
          <wp:inline distT="0" distB="0" distL="114300" distR="114300">
            <wp:extent cx="7637145" cy="5400040"/>
            <wp:effectExtent l="0" t="0" r="1905" b="10160"/>
            <wp:docPr id="5" name="图片 5" descr="双鸭山集宏商品混凝土制造有限公司建设_2025年05月30日082506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双鸭山集宏商品混凝土制造有限公司建设_2025年05月30日082506_分析报告_04"/>
                    <pic:cNvPicPr>
                      <a:picLocks noChangeAspect="1"/>
                    </pic:cNvPicPr>
                  </pic:nvPicPr>
                  <pic:blipFill>
                    <a:blip r:embed="rId56"/>
                    <a:stretch>
                      <a:fillRect/>
                    </a:stretch>
                  </pic:blipFill>
                  <pic:spPr>
                    <a:xfrm>
                      <a:off x="0" y="0"/>
                      <a:ext cx="7637145" cy="5400040"/>
                    </a:xfrm>
                    <a:prstGeom prst="rect">
                      <a:avLst/>
                    </a:prstGeom>
                  </pic:spPr>
                </pic:pic>
              </a:graphicData>
            </a:graphic>
          </wp:inline>
        </w:drawing>
      </w:r>
    </w:p>
    <w:p w14:paraId="759DFEEF">
      <w:pPr>
        <w:pStyle w:val="36"/>
        <w:bidi w:val="0"/>
        <w:rPr>
          <w:rFonts w:hint="eastAsia"/>
          <w:color w:val="auto"/>
          <w:highlight w:val="none"/>
          <w:lang w:val="en-US"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lang w:val="en-US" w:eastAsia="zh-CN"/>
        </w:rPr>
        <w:drawing>
          <wp:inline distT="0" distB="0" distL="114300" distR="114300">
            <wp:extent cx="7635875" cy="5400040"/>
            <wp:effectExtent l="0" t="0" r="3175" b="10160"/>
            <wp:docPr id="29" name="图片 29" descr="双鸭山集宏商品混凝土制造有限公司建设_2025年05月30日082506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双鸭山集宏商品混凝土制造有限公司建设_2025年05月30日082506_分析报告_05"/>
                    <pic:cNvPicPr>
                      <a:picLocks noChangeAspect="1"/>
                    </pic:cNvPicPr>
                  </pic:nvPicPr>
                  <pic:blipFill>
                    <a:blip r:embed="rId57"/>
                    <a:stretch>
                      <a:fillRect/>
                    </a:stretch>
                  </pic:blipFill>
                  <pic:spPr>
                    <a:xfrm>
                      <a:off x="0" y="0"/>
                      <a:ext cx="7635875" cy="5400040"/>
                    </a:xfrm>
                    <a:prstGeom prst="rect">
                      <a:avLst/>
                    </a:prstGeom>
                  </pic:spPr>
                </pic:pic>
              </a:graphicData>
            </a:graphic>
          </wp:inline>
        </w:drawing>
      </w:r>
    </w:p>
    <w:p w14:paraId="50CD856B">
      <w:pPr>
        <w:pStyle w:val="36"/>
        <w:bidi w:val="0"/>
        <w:rPr>
          <w:rFonts w:hint="eastAsia"/>
          <w:color w:val="auto"/>
          <w:highlight w:val="none"/>
          <w:lang w:val="en-US"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lang w:val="en-US" w:eastAsia="zh-CN"/>
        </w:rPr>
        <w:drawing>
          <wp:inline distT="0" distB="0" distL="114300" distR="114300">
            <wp:extent cx="7635875" cy="5400040"/>
            <wp:effectExtent l="0" t="0" r="3175" b="10160"/>
            <wp:docPr id="28" name="图片 28" descr="双鸭山集宏商品混凝土制造有限公司建设_2025年05月30日082506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双鸭山集宏商品混凝土制造有限公司建设_2025年05月30日082506_分析报告_06"/>
                    <pic:cNvPicPr>
                      <a:picLocks noChangeAspect="1"/>
                    </pic:cNvPicPr>
                  </pic:nvPicPr>
                  <pic:blipFill>
                    <a:blip r:embed="rId58"/>
                    <a:stretch>
                      <a:fillRect/>
                    </a:stretch>
                  </pic:blipFill>
                  <pic:spPr>
                    <a:xfrm>
                      <a:off x="0" y="0"/>
                      <a:ext cx="7635875" cy="5400040"/>
                    </a:xfrm>
                    <a:prstGeom prst="rect">
                      <a:avLst/>
                    </a:prstGeom>
                  </pic:spPr>
                </pic:pic>
              </a:graphicData>
            </a:graphic>
          </wp:inline>
        </w:drawing>
      </w:r>
    </w:p>
    <w:p w14:paraId="49816878">
      <w:pPr>
        <w:pStyle w:val="36"/>
        <w:bidi w:val="0"/>
        <w:rPr>
          <w:rFonts w:hint="eastAsia"/>
          <w:color w:val="auto"/>
          <w:highlight w:val="none"/>
          <w:lang w:val="en-US"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lang w:val="en-US" w:eastAsia="zh-CN"/>
        </w:rPr>
        <w:drawing>
          <wp:inline distT="0" distB="0" distL="114300" distR="114300">
            <wp:extent cx="7635875" cy="5400040"/>
            <wp:effectExtent l="0" t="0" r="3175" b="10160"/>
            <wp:docPr id="26" name="图片 26" descr="双鸭山集宏商品混凝土制造有限公司建设_2025年05月30日082506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双鸭山集宏商品混凝土制造有限公司建设_2025年05月30日082506_分析报告_07"/>
                    <pic:cNvPicPr>
                      <a:picLocks noChangeAspect="1"/>
                    </pic:cNvPicPr>
                  </pic:nvPicPr>
                  <pic:blipFill>
                    <a:blip r:embed="rId59"/>
                    <a:stretch>
                      <a:fillRect/>
                    </a:stretch>
                  </pic:blipFill>
                  <pic:spPr>
                    <a:xfrm>
                      <a:off x="0" y="0"/>
                      <a:ext cx="7635875" cy="5400040"/>
                    </a:xfrm>
                    <a:prstGeom prst="rect">
                      <a:avLst/>
                    </a:prstGeom>
                  </pic:spPr>
                </pic:pic>
              </a:graphicData>
            </a:graphic>
          </wp:inline>
        </w:drawing>
      </w:r>
    </w:p>
    <w:p w14:paraId="79BC65AE">
      <w:pPr>
        <w:pStyle w:val="36"/>
        <w:bidi w:val="0"/>
        <w:rPr>
          <w:rFonts w:hint="eastAsia"/>
          <w:color w:val="auto"/>
          <w:highlight w:val="none"/>
          <w:lang w:val="en-US"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lang w:val="en-US" w:eastAsia="zh-CN"/>
        </w:rPr>
        <w:drawing>
          <wp:inline distT="0" distB="0" distL="114300" distR="114300">
            <wp:extent cx="7635875" cy="5400040"/>
            <wp:effectExtent l="0" t="0" r="3175" b="10160"/>
            <wp:docPr id="24" name="图片 24" descr="双鸭山集宏商品混凝土制造有限公司建设_2025年05月30日082506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双鸭山集宏商品混凝土制造有限公司建设_2025年05月30日082506_分析报告_08"/>
                    <pic:cNvPicPr>
                      <a:picLocks noChangeAspect="1"/>
                    </pic:cNvPicPr>
                  </pic:nvPicPr>
                  <pic:blipFill>
                    <a:blip r:embed="rId60"/>
                    <a:stretch>
                      <a:fillRect/>
                    </a:stretch>
                  </pic:blipFill>
                  <pic:spPr>
                    <a:xfrm>
                      <a:off x="0" y="0"/>
                      <a:ext cx="7635875" cy="5400040"/>
                    </a:xfrm>
                    <a:prstGeom prst="rect">
                      <a:avLst/>
                    </a:prstGeom>
                  </pic:spPr>
                </pic:pic>
              </a:graphicData>
            </a:graphic>
          </wp:inline>
        </w:drawing>
      </w:r>
    </w:p>
    <w:p w14:paraId="215969D3">
      <w:pPr>
        <w:pStyle w:val="36"/>
        <w:bidi w:val="0"/>
        <w:rPr>
          <w:rFonts w:hint="eastAsia"/>
          <w:color w:val="auto"/>
          <w:highlight w:val="none"/>
          <w:lang w:val="en-US"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lang w:val="en-US" w:eastAsia="zh-CN"/>
        </w:rPr>
        <w:drawing>
          <wp:inline distT="0" distB="0" distL="114300" distR="114300">
            <wp:extent cx="7635875" cy="5400040"/>
            <wp:effectExtent l="0" t="0" r="3175" b="10160"/>
            <wp:docPr id="23" name="图片 23" descr="双鸭山集宏商品混凝土制造有限公司建设_2025年05月30日082506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双鸭山集宏商品混凝土制造有限公司建设_2025年05月30日082506_分析报告_09"/>
                    <pic:cNvPicPr>
                      <a:picLocks noChangeAspect="1"/>
                    </pic:cNvPicPr>
                  </pic:nvPicPr>
                  <pic:blipFill>
                    <a:blip r:embed="rId61"/>
                    <a:stretch>
                      <a:fillRect/>
                    </a:stretch>
                  </pic:blipFill>
                  <pic:spPr>
                    <a:xfrm>
                      <a:off x="0" y="0"/>
                      <a:ext cx="7635875" cy="5400040"/>
                    </a:xfrm>
                    <a:prstGeom prst="rect">
                      <a:avLst/>
                    </a:prstGeom>
                  </pic:spPr>
                </pic:pic>
              </a:graphicData>
            </a:graphic>
          </wp:inline>
        </w:drawing>
      </w:r>
    </w:p>
    <w:p w14:paraId="1FDA009C">
      <w:pPr>
        <w:pStyle w:val="36"/>
        <w:bidi w:val="0"/>
        <w:rPr>
          <w:rFonts w:hint="eastAsia"/>
          <w:color w:val="auto"/>
          <w:highlight w:val="none"/>
          <w:lang w:val="en-US"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lang w:val="en-US" w:eastAsia="zh-CN"/>
        </w:rPr>
        <w:drawing>
          <wp:inline distT="0" distB="0" distL="114300" distR="114300">
            <wp:extent cx="7635875" cy="5400040"/>
            <wp:effectExtent l="0" t="0" r="3175" b="10160"/>
            <wp:docPr id="22" name="图片 22" descr="双鸭山集宏商品混凝土制造有限公司建设_2025年05月30日082506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双鸭山集宏商品混凝土制造有限公司建设_2025年05月30日082506_分析报告_10"/>
                    <pic:cNvPicPr>
                      <a:picLocks noChangeAspect="1"/>
                    </pic:cNvPicPr>
                  </pic:nvPicPr>
                  <pic:blipFill>
                    <a:blip r:embed="rId62"/>
                    <a:stretch>
                      <a:fillRect/>
                    </a:stretch>
                  </pic:blipFill>
                  <pic:spPr>
                    <a:xfrm>
                      <a:off x="0" y="0"/>
                      <a:ext cx="7635875" cy="5400040"/>
                    </a:xfrm>
                    <a:prstGeom prst="rect">
                      <a:avLst/>
                    </a:prstGeom>
                  </pic:spPr>
                </pic:pic>
              </a:graphicData>
            </a:graphic>
          </wp:inline>
        </w:drawing>
      </w:r>
    </w:p>
    <w:p w14:paraId="532F97B1">
      <w:pPr>
        <w:pStyle w:val="36"/>
        <w:bidi w:val="0"/>
        <w:rPr>
          <w:rFonts w:hint="eastAsia"/>
          <w:color w:val="auto"/>
          <w:highlight w:val="none"/>
          <w:lang w:val="en-US"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lang w:val="en-US" w:eastAsia="zh-CN"/>
        </w:rPr>
        <w:drawing>
          <wp:inline distT="0" distB="0" distL="114300" distR="114300">
            <wp:extent cx="7635875" cy="5400040"/>
            <wp:effectExtent l="0" t="0" r="3175" b="10160"/>
            <wp:docPr id="19" name="图片 19" descr="双鸭山集宏商品混凝土制造有限公司建设_2025年05月30日082506_分析报告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双鸭山集宏商品混凝土制造有限公司建设_2025年05月30日082506_分析报告_11"/>
                    <pic:cNvPicPr>
                      <a:picLocks noChangeAspect="1"/>
                    </pic:cNvPicPr>
                  </pic:nvPicPr>
                  <pic:blipFill>
                    <a:blip r:embed="rId63"/>
                    <a:stretch>
                      <a:fillRect/>
                    </a:stretch>
                  </pic:blipFill>
                  <pic:spPr>
                    <a:xfrm>
                      <a:off x="0" y="0"/>
                      <a:ext cx="7635875" cy="5400040"/>
                    </a:xfrm>
                    <a:prstGeom prst="rect">
                      <a:avLst/>
                    </a:prstGeom>
                  </pic:spPr>
                </pic:pic>
              </a:graphicData>
            </a:graphic>
          </wp:inline>
        </w:drawing>
      </w:r>
    </w:p>
    <w:p w14:paraId="697BEE4A">
      <w:pPr>
        <w:pStyle w:val="5"/>
        <w:rPr>
          <w:rFonts w:hint="default" w:ascii="Times New Roman" w:hAnsi="Times New Roman" w:cs="Times New Roman"/>
          <w:color w:val="auto"/>
          <w:highlight w:val="none"/>
          <w:lang w:val="en-US" w:eastAsia="zh-CN"/>
        </w:rPr>
      </w:pPr>
      <w:bookmarkStart w:id="28" w:name="_Toc15559"/>
      <w:r>
        <w:rPr>
          <w:rFonts w:hint="eastAsia"/>
          <w:color w:val="auto"/>
          <w:highlight w:val="none"/>
        </w:rPr>
        <w:t>附件</w:t>
      </w:r>
      <w:r>
        <w:rPr>
          <w:rFonts w:hint="eastAsia"/>
          <w:color w:val="auto"/>
          <w:highlight w:val="none"/>
          <w:lang w:val="en-US" w:eastAsia="zh-CN"/>
        </w:rPr>
        <w:t xml:space="preserve">7 </w:t>
      </w:r>
      <w:r>
        <w:rPr>
          <w:rFonts w:hint="default" w:ascii="Times New Roman" w:hAnsi="Times New Roman" w:cs="Times New Roman"/>
          <w:color w:val="auto"/>
          <w:highlight w:val="none"/>
          <w:lang w:val="en-US" w:eastAsia="zh-CN"/>
        </w:rPr>
        <w:t>行政处罚决定书</w:t>
      </w:r>
      <w:bookmarkEnd w:id="28"/>
    </w:p>
    <w:p w14:paraId="24140873">
      <w:pPr>
        <w:rPr>
          <w:rFonts w:hint="default" w:ascii="Times New Roman" w:hAnsi="Times New Roman" w:cs="Times New Roman"/>
          <w:color w:val="auto"/>
          <w:highlight w:val="none"/>
          <w:lang w:val="en-US" w:eastAsia="zh-CN"/>
        </w:rPr>
      </w:pPr>
    </w:p>
    <w:p w14:paraId="179114B8">
      <w:pPr>
        <w:rPr>
          <w:rFonts w:hint="default" w:ascii="Times New Roman" w:hAnsi="Times New Roman" w:cs="Times New Roman"/>
          <w:color w:val="auto"/>
          <w:highlight w:val="none"/>
          <w:lang w:val="en-US" w:eastAsia="zh-CN"/>
        </w:rPr>
      </w:pPr>
    </w:p>
    <w:p w14:paraId="68FBDC23">
      <w:pPr>
        <w:pStyle w:val="36"/>
        <w:bidi w:val="0"/>
        <w:rPr>
          <w:rFonts w:hint="eastAsia"/>
          <w:color w:val="auto"/>
          <w:highlight w:val="none"/>
          <w:lang w:eastAsia="zh-CN"/>
        </w:rPr>
      </w:pPr>
      <w:r>
        <w:rPr>
          <w:rFonts w:hint="eastAsia"/>
          <w:color w:val="auto"/>
          <w:highlight w:val="none"/>
          <w:lang w:eastAsia="zh-CN"/>
        </w:rPr>
        <w:drawing>
          <wp:inline distT="0" distB="0" distL="114300" distR="114300">
            <wp:extent cx="5272405" cy="7324090"/>
            <wp:effectExtent l="0" t="0" r="4445" b="10160"/>
            <wp:docPr id="73" name="图片 73" descr="8c2e2a93-aecb-4ff2-848d-c7a40f62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8c2e2a93-aecb-4ff2-848d-c7a40f621176"/>
                    <pic:cNvPicPr>
                      <a:picLocks noChangeAspect="1"/>
                    </pic:cNvPicPr>
                  </pic:nvPicPr>
                  <pic:blipFill>
                    <a:blip r:embed="rId64"/>
                    <a:stretch>
                      <a:fillRect/>
                    </a:stretch>
                  </pic:blipFill>
                  <pic:spPr>
                    <a:xfrm>
                      <a:off x="0" y="0"/>
                      <a:ext cx="5272405" cy="7324090"/>
                    </a:xfrm>
                    <a:prstGeom prst="rect">
                      <a:avLst/>
                    </a:prstGeom>
                  </pic:spPr>
                </pic:pic>
              </a:graphicData>
            </a:graphic>
          </wp:inline>
        </w:drawing>
      </w:r>
    </w:p>
    <w:p w14:paraId="406BE7B7">
      <w:pPr>
        <w:rPr>
          <w:rFonts w:hint="eastAsia" w:eastAsiaTheme="minorEastAsia"/>
          <w:color w:val="auto"/>
          <w:highlight w:val="none"/>
          <w:lang w:eastAsia="zh-CN"/>
        </w:rPr>
      </w:pPr>
    </w:p>
    <w:p w14:paraId="30311118">
      <w:pPr>
        <w:rPr>
          <w:rFonts w:hint="eastAsia" w:eastAsiaTheme="minorEastAsia"/>
          <w:color w:val="auto"/>
          <w:highlight w:val="none"/>
          <w:lang w:eastAsia="zh-CN"/>
        </w:rPr>
      </w:pPr>
    </w:p>
    <w:p w14:paraId="6ED662AA">
      <w:pPr>
        <w:rPr>
          <w:rFonts w:hint="eastAsia" w:eastAsiaTheme="minorEastAsia"/>
          <w:color w:val="auto"/>
          <w:highlight w:val="none"/>
          <w:lang w:eastAsia="zh-CN"/>
        </w:rPr>
      </w:pPr>
    </w:p>
    <w:p w14:paraId="431CE448">
      <w:pPr>
        <w:rPr>
          <w:rFonts w:hint="default" w:eastAsiaTheme="minorEastAsia"/>
          <w:color w:val="auto"/>
          <w:highlight w:val="none"/>
          <w:lang w:val="en-US" w:eastAsia="zh-CN"/>
        </w:rPr>
      </w:pPr>
    </w:p>
    <w:p w14:paraId="188FD466">
      <w:pPr>
        <w:rPr>
          <w:rFonts w:hint="eastAsia" w:eastAsiaTheme="minorEastAsia"/>
          <w:color w:val="auto"/>
          <w:highlight w:val="none"/>
          <w:lang w:eastAsia="zh-CN"/>
        </w:rPr>
      </w:pPr>
      <w:r>
        <w:rPr>
          <w:rFonts w:hint="eastAsia" w:eastAsiaTheme="minorEastAsia"/>
          <w:color w:val="auto"/>
          <w:highlight w:val="none"/>
          <w:lang w:eastAsia="zh-CN"/>
        </w:rPr>
        <w:drawing>
          <wp:inline distT="0" distB="0" distL="114300" distR="114300">
            <wp:extent cx="5067300" cy="7400925"/>
            <wp:effectExtent l="0" t="0" r="0" b="9525"/>
            <wp:docPr id="74" name="图片 74" descr="808eabef-8c35-4ec2-8663-e3f4c4df7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808eabef-8c35-4ec2-8663-e3f4c4df7487"/>
                    <pic:cNvPicPr>
                      <a:picLocks noChangeAspect="1"/>
                    </pic:cNvPicPr>
                  </pic:nvPicPr>
                  <pic:blipFill>
                    <a:blip r:embed="rId65"/>
                    <a:stretch>
                      <a:fillRect/>
                    </a:stretch>
                  </pic:blipFill>
                  <pic:spPr>
                    <a:xfrm>
                      <a:off x="0" y="0"/>
                      <a:ext cx="5067300" cy="7400925"/>
                    </a:xfrm>
                    <a:prstGeom prst="rect">
                      <a:avLst/>
                    </a:prstGeom>
                  </pic:spPr>
                </pic:pic>
              </a:graphicData>
            </a:graphic>
          </wp:inline>
        </w:drawing>
      </w:r>
    </w:p>
    <w:p w14:paraId="5CF4F713">
      <w:pPr>
        <w:rPr>
          <w:rFonts w:hint="eastAsia" w:eastAsiaTheme="minorEastAsia"/>
          <w:color w:val="auto"/>
          <w:highlight w:val="none"/>
          <w:lang w:eastAsia="zh-CN"/>
        </w:rPr>
      </w:pPr>
    </w:p>
    <w:p w14:paraId="2F75EB79">
      <w:pPr>
        <w:rPr>
          <w:rFonts w:hint="eastAsia" w:eastAsiaTheme="minorEastAsia"/>
          <w:color w:val="auto"/>
          <w:highlight w:val="none"/>
          <w:lang w:eastAsia="zh-CN"/>
        </w:rPr>
      </w:pPr>
    </w:p>
    <w:p w14:paraId="17FB2301">
      <w:pPr>
        <w:rPr>
          <w:rFonts w:hint="eastAsia" w:eastAsiaTheme="minorEastAsia"/>
          <w:color w:val="auto"/>
          <w:highlight w:val="none"/>
          <w:lang w:eastAsia="zh-CN"/>
        </w:rPr>
      </w:pPr>
    </w:p>
    <w:p w14:paraId="3F705585">
      <w:pPr>
        <w:rPr>
          <w:rFonts w:hint="eastAsia" w:eastAsiaTheme="minorEastAsia"/>
          <w:color w:val="auto"/>
          <w:highlight w:val="none"/>
          <w:lang w:eastAsia="zh-CN"/>
        </w:rPr>
      </w:pPr>
    </w:p>
    <w:p w14:paraId="74144DCB">
      <w:pPr>
        <w:rPr>
          <w:rFonts w:hint="eastAsia" w:eastAsiaTheme="minorEastAsia"/>
          <w:color w:val="auto"/>
          <w:highlight w:val="none"/>
          <w:lang w:eastAsia="zh-CN"/>
        </w:rPr>
      </w:pPr>
    </w:p>
    <w:p w14:paraId="000057E5">
      <w:pPr>
        <w:rPr>
          <w:rFonts w:hint="eastAsia" w:eastAsiaTheme="minorEastAsia"/>
          <w:color w:val="auto"/>
          <w:highlight w:val="none"/>
          <w:lang w:eastAsia="zh-CN"/>
        </w:rPr>
      </w:pPr>
      <w:r>
        <w:rPr>
          <w:rFonts w:hint="eastAsia" w:eastAsiaTheme="minorEastAsia"/>
          <w:color w:val="auto"/>
          <w:highlight w:val="none"/>
          <w:lang w:eastAsia="zh-CN"/>
        </w:rPr>
        <w:drawing>
          <wp:inline distT="0" distB="0" distL="114300" distR="114300">
            <wp:extent cx="5238750" cy="7343775"/>
            <wp:effectExtent l="0" t="0" r="0" b="9525"/>
            <wp:docPr id="75" name="图片 75" descr="4bec3a62-b0b4-47bc-9330-93c7637d43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4bec3a62-b0b4-47bc-9330-93c7637d435c"/>
                    <pic:cNvPicPr>
                      <a:picLocks noChangeAspect="1"/>
                    </pic:cNvPicPr>
                  </pic:nvPicPr>
                  <pic:blipFill>
                    <a:blip r:embed="rId66"/>
                    <a:stretch>
                      <a:fillRect/>
                    </a:stretch>
                  </pic:blipFill>
                  <pic:spPr>
                    <a:xfrm>
                      <a:off x="0" y="0"/>
                      <a:ext cx="5238750" cy="7343775"/>
                    </a:xfrm>
                    <a:prstGeom prst="rect">
                      <a:avLst/>
                    </a:prstGeom>
                  </pic:spPr>
                </pic:pic>
              </a:graphicData>
            </a:graphic>
          </wp:inline>
        </w:drawing>
      </w:r>
    </w:p>
    <w:p w14:paraId="0479F87A">
      <w:pPr>
        <w:rPr>
          <w:rFonts w:hint="eastAsia" w:eastAsiaTheme="minorEastAsia"/>
          <w:color w:val="auto"/>
          <w:highlight w:val="none"/>
          <w:lang w:eastAsia="zh-CN"/>
        </w:rPr>
      </w:pPr>
    </w:p>
    <w:p w14:paraId="1AD2B9FC">
      <w:pPr>
        <w:rPr>
          <w:rFonts w:hint="eastAsia" w:eastAsiaTheme="minorEastAsia"/>
          <w:color w:val="auto"/>
          <w:highlight w:val="none"/>
          <w:lang w:eastAsia="zh-CN"/>
        </w:rPr>
      </w:pPr>
    </w:p>
    <w:p w14:paraId="6AB9348D">
      <w:pPr>
        <w:rPr>
          <w:rFonts w:hint="eastAsia" w:eastAsiaTheme="minorEastAsia"/>
          <w:color w:val="auto"/>
          <w:highlight w:val="none"/>
          <w:lang w:eastAsia="zh-CN"/>
        </w:rPr>
      </w:pPr>
    </w:p>
    <w:p w14:paraId="05A6B0A9">
      <w:pPr>
        <w:rPr>
          <w:rFonts w:hint="eastAsia" w:eastAsiaTheme="minorEastAsia"/>
          <w:color w:val="auto"/>
          <w:highlight w:val="none"/>
          <w:lang w:eastAsia="zh-CN"/>
        </w:rPr>
      </w:pPr>
    </w:p>
    <w:p w14:paraId="72DE6830">
      <w:pPr>
        <w:rPr>
          <w:rFonts w:hint="eastAsia" w:eastAsiaTheme="minorEastAsia"/>
          <w:color w:val="auto"/>
          <w:highlight w:val="none"/>
          <w:lang w:eastAsia="zh-CN"/>
        </w:rPr>
      </w:pPr>
    </w:p>
    <w:p w14:paraId="0AB8AA1B">
      <w:pPr>
        <w:rPr>
          <w:rFonts w:hint="eastAsia" w:eastAsiaTheme="minorEastAsia"/>
          <w:color w:val="auto"/>
          <w:highlight w:val="none"/>
          <w:lang w:eastAsia="zh-CN"/>
        </w:rPr>
      </w:pPr>
      <w:r>
        <w:rPr>
          <w:rFonts w:hint="eastAsia" w:eastAsiaTheme="minorEastAsia"/>
          <w:color w:val="auto"/>
          <w:highlight w:val="none"/>
          <w:lang w:eastAsia="zh-CN"/>
        </w:rPr>
        <w:drawing>
          <wp:inline distT="0" distB="0" distL="114300" distR="114300">
            <wp:extent cx="5172075" cy="7496175"/>
            <wp:effectExtent l="0" t="0" r="9525" b="9525"/>
            <wp:docPr id="1" name="图片 1" descr="b061dcce-51d0-46a0-a1de-959d11859d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b061dcce-51d0-46a0-a1de-959d11859d90"/>
                    <pic:cNvPicPr>
                      <a:picLocks noChangeAspect="1"/>
                    </pic:cNvPicPr>
                  </pic:nvPicPr>
                  <pic:blipFill>
                    <a:blip r:embed="rId67"/>
                    <a:stretch>
                      <a:fillRect/>
                    </a:stretch>
                  </pic:blipFill>
                  <pic:spPr>
                    <a:xfrm>
                      <a:off x="0" y="0"/>
                      <a:ext cx="5172075" cy="7496175"/>
                    </a:xfrm>
                    <a:prstGeom prst="rect">
                      <a:avLst/>
                    </a:prstGeom>
                  </pic:spPr>
                </pic:pic>
              </a:graphicData>
            </a:graphic>
          </wp:inline>
        </w:drawing>
      </w:r>
    </w:p>
    <w:p w14:paraId="762410BB">
      <w:pPr>
        <w:rPr>
          <w:rFonts w:hint="eastAsia" w:eastAsiaTheme="minorEastAsia"/>
          <w:color w:val="auto"/>
          <w:highlight w:val="none"/>
          <w:lang w:eastAsia="zh-CN"/>
        </w:rPr>
      </w:pPr>
    </w:p>
    <w:p w14:paraId="1A54885D">
      <w:pPr>
        <w:rPr>
          <w:rFonts w:hint="eastAsia" w:eastAsiaTheme="minorEastAsia"/>
          <w:color w:val="auto"/>
          <w:highlight w:val="none"/>
          <w:lang w:eastAsia="zh-CN"/>
        </w:rPr>
      </w:pPr>
    </w:p>
    <w:p w14:paraId="2F6D6927">
      <w:pPr>
        <w:rPr>
          <w:rFonts w:hint="eastAsia" w:eastAsiaTheme="minorEastAsia"/>
          <w:color w:val="auto"/>
          <w:highlight w:val="none"/>
          <w:lang w:eastAsia="zh-CN"/>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linePitch="312" w:charSpace="0"/>
        </w:sectPr>
      </w:pPr>
    </w:p>
    <w:p w14:paraId="423E8D3E">
      <w:pPr>
        <w:pStyle w:val="5"/>
        <w:bidi w:val="0"/>
        <w:rPr>
          <w:rFonts w:hint="default"/>
          <w:color w:val="auto"/>
          <w:highlight w:val="none"/>
          <w:lang w:val="en-US"/>
        </w:rPr>
      </w:pPr>
      <w:bookmarkStart w:id="29" w:name="_Toc1132"/>
      <w:r>
        <w:rPr>
          <w:rFonts w:hint="eastAsia"/>
          <w:color w:val="auto"/>
          <w:highlight w:val="none"/>
          <w:lang w:val="en-US" w:eastAsia="zh-CN"/>
        </w:rPr>
        <w:t>附件8 缴费证明</w:t>
      </w:r>
      <w:bookmarkEnd w:id="29"/>
    </w:p>
    <w:p w14:paraId="3B665513">
      <w:pPr>
        <w:pStyle w:val="36"/>
        <w:bidi w:val="0"/>
        <w:rPr>
          <w:rFonts w:hint="eastAsia"/>
          <w:color w:val="auto"/>
          <w:highlight w:val="none"/>
          <w:lang w:val="en-US" w:eastAsia="zh-CN"/>
        </w:rPr>
      </w:pPr>
    </w:p>
    <w:p w14:paraId="0F4577AE">
      <w:pPr>
        <w:pStyle w:val="36"/>
        <w:bidi w:val="0"/>
        <w:rPr>
          <w:rFonts w:hint="eastAsia"/>
          <w:color w:val="auto"/>
          <w:highlight w:val="none"/>
          <w:lang w:val="en-US" w:eastAsia="zh-CN"/>
        </w:rPr>
      </w:pPr>
      <w:r>
        <w:rPr>
          <w:rFonts w:hint="eastAsia"/>
          <w:color w:val="auto"/>
          <w:highlight w:val="none"/>
          <w:lang w:val="en-US" w:eastAsia="zh-CN"/>
        </w:rPr>
        <w:drawing>
          <wp:inline distT="0" distB="0" distL="114300" distR="114300">
            <wp:extent cx="8856345" cy="3538220"/>
            <wp:effectExtent l="0" t="0" r="1905" b="5080"/>
            <wp:docPr id="76" name="图片 76" descr="7087b9e3967173ae8ddd10a2439e4d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7087b9e3967173ae8ddd10a2439e4d04"/>
                    <pic:cNvPicPr>
                      <a:picLocks noChangeAspect="1"/>
                    </pic:cNvPicPr>
                  </pic:nvPicPr>
                  <pic:blipFill>
                    <a:blip r:embed="rId68"/>
                    <a:stretch>
                      <a:fillRect/>
                    </a:stretch>
                  </pic:blipFill>
                  <pic:spPr>
                    <a:xfrm>
                      <a:off x="0" y="0"/>
                      <a:ext cx="8856345" cy="3538220"/>
                    </a:xfrm>
                    <a:prstGeom prst="rect">
                      <a:avLst/>
                    </a:prstGeom>
                  </pic:spPr>
                </pic:pic>
              </a:graphicData>
            </a:graphic>
          </wp:inline>
        </w:drawing>
      </w:r>
    </w:p>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linePitch="312" w:charSpace="0"/>
    </w:sectPr>
  </w:body>
</w:document>
</file>

<file path=word/customizations.xml><?xml version="1.0" encoding="utf-8"?>
<wne:tcg xmlns:r="http://schemas.openxmlformats.org/officeDocument/2006/relationships" xmlns:wne="http://schemas.microsoft.com/office/word/2006/wordml">
  <wne:keymaps>
    <wne:keymap wne:kcmPrimary="0431">
      <wne:acd wne:acdName="acd0"/>
    </wne:keymap>
    <wne:keymap wne:kcmPrimary="0332">
      <wne:acd wne:acdName="acd1"/>
    </wne:keymap>
  </wne:keymaps>
  <wne:acds>
    <wne:acd wne:argValue="AQAAAAEA" wne:acdName="acd0" wne:fciIndexBasedOn="0065"/>
    <wne:acd wne:argValue="AgAwAGiIPGiHZVdbMgA=" wne:acdName="acd1"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0AB6004-9C1F-4FD3-B16B-98A352E7988D}"/>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modern"/>
    <w:pitch w:val="default"/>
    <w:sig w:usb0="00000001" w:usb1="080E0000" w:usb2="00000000" w:usb3="00000000" w:csb0="00040000" w:csb1="00000000"/>
    <w:embedRegular r:id="rId2" w:fontKey="{6D8BA227-AE8B-4334-8FC8-77DC202BE5E8}"/>
  </w:font>
  <w:font w:name="华文行楷">
    <w:panose1 w:val="02010800040101010101"/>
    <w:charset w:val="86"/>
    <w:family w:val="auto"/>
    <w:pitch w:val="default"/>
    <w:sig w:usb0="00000001" w:usb1="080F0000" w:usb2="00000000" w:usb3="00000000" w:csb0="00040000" w:csb1="00000000"/>
  </w:font>
  <w:font w:name="仿宋">
    <w:panose1 w:val="02010609060101010101"/>
    <w:charset w:val="86"/>
    <w:family w:val="modern"/>
    <w:pitch w:val="default"/>
    <w:sig w:usb0="800002BF" w:usb1="38CF7CFA" w:usb2="00000016" w:usb3="00000000" w:csb0="00040001" w:csb1="00000000"/>
    <w:embedRegular r:id="rId3" w:fontKey="{467C7A26-2D24-4136-AE9D-925E907F140A}"/>
  </w:font>
  <w:font w:name="方正小标宋_GBK">
    <w:panose1 w:val="02000000000000000000"/>
    <w:charset w:val="86"/>
    <w:family w:val="script"/>
    <w:pitch w:val="default"/>
    <w:sig w:usb0="A00002BF" w:usb1="38CF7CFA" w:usb2="00082016" w:usb3="00000000" w:csb0="00040001" w:csb1="00000000"/>
    <w:embedRegular r:id="rId4" w:fontKey="{3461992F-10B5-486C-851D-101576830DED}"/>
  </w:font>
  <w:font w:name="楷体_GB2312">
    <w:panose1 w:val="02010609030101010101"/>
    <w:charset w:val="86"/>
    <w:family w:val="modern"/>
    <w:pitch w:val="default"/>
    <w:sig w:usb0="00000001" w:usb1="080E0000" w:usb2="00000000" w:usb3="00000000" w:csb0="00040000" w:csb1="00000000"/>
    <w:embedRegular r:id="rId5" w:fontKey="{27F5336B-4026-4241-AD2F-014ECF53D0C9}"/>
  </w:font>
  <w:font w:name="WPSEMBED1">
    <w:panose1 w:val="02010609030101010101"/>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E8501F">
    <w:pPr>
      <w:framePr w:wrap="around" w:vAnchor="text" w:hAnchor="margin" w:xAlign="center" w:y="1"/>
      <w:widowControl w:val="0"/>
      <w:snapToGrid w:val="0"/>
      <w:jc w:val="left"/>
      <w:rPr>
        <w:rStyle w:val="27"/>
        <w:rFonts w:ascii="Times New Roman" w:hAnsi="Times New Roman" w:eastAsia="宋体" w:cs="Times New Roman"/>
        <w:kern w:val="0"/>
        <w:sz w:val="18"/>
        <w:szCs w:val="20"/>
        <w:lang w:val="en-US" w:eastAsia="zh-CN" w:bidi="ar-SA"/>
      </w:rPr>
    </w:pPr>
    <w:r>
      <w:rPr>
        <w:rFonts w:ascii="Times New Roman" w:hAnsi="Times New Roman" w:eastAsia="宋体" w:cs="Times New Roman"/>
        <w:kern w:val="0"/>
        <w:sz w:val="18"/>
        <w:szCs w:val="20"/>
        <w:lang w:val="en-US" w:eastAsia="zh-CN" w:bidi="ar-SA"/>
      </w:rPr>
      <w:fldChar w:fldCharType="begin"/>
    </w:r>
    <w:r>
      <w:rPr>
        <w:rStyle w:val="27"/>
        <w:rFonts w:ascii="Times New Roman" w:hAnsi="Times New Roman" w:eastAsia="宋体" w:cs="Times New Roman"/>
        <w:kern w:val="0"/>
        <w:sz w:val="18"/>
        <w:szCs w:val="20"/>
        <w:lang w:val="en-US" w:eastAsia="zh-CN" w:bidi="ar-SA"/>
      </w:rPr>
      <w:instrText xml:space="preserve">PAGE  </w:instrText>
    </w:r>
    <w:r>
      <w:rPr>
        <w:rFonts w:ascii="Times New Roman" w:hAnsi="Times New Roman" w:eastAsia="宋体" w:cs="Times New Roman"/>
        <w:kern w:val="0"/>
        <w:sz w:val="18"/>
        <w:szCs w:val="20"/>
        <w:lang w:val="en-US" w:eastAsia="zh-CN" w:bidi="ar-SA"/>
      </w:rPr>
      <w:fldChar w:fldCharType="end"/>
    </w:r>
  </w:p>
  <w:p w14:paraId="25B63A56">
    <w:pPr>
      <w:widowControl w:val="0"/>
      <w:snapToGrid w:val="0"/>
      <w:ind w:right="360" w:firstLine="360"/>
      <w:jc w:val="left"/>
      <w:rPr>
        <w:rFonts w:ascii="Times New Roman" w:hAnsi="Times New Roman" w:eastAsia="宋体" w:cs="Times New Roman"/>
        <w:kern w:val="0"/>
        <w:sz w:val="18"/>
        <w:szCs w:val="20"/>
        <w:lang w:val="en-US" w:eastAsia="zh-CN" w:bidi="ar-S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A5B0F9">
    <w:pPr>
      <w:pStyle w:val="1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E3022F">
    <w:pPr>
      <w:pStyle w:val="13"/>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8595D60">
                          <w:pPr>
                            <w:pStyle w:val="13"/>
                          </w:pPr>
                          <w:r>
                            <w:fldChar w:fldCharType="begin"/>
                          </w:r>
                          <w:r>
                            <w:instrText xml:space="preserve"> PAGE  \* MERGEFORMAT </w:instrText>
                          </w:r>
                          <w:r>
                            <w:fldChar w:fldCharType="separate"/>
                          </w:r>
                          <w:r>
                            <w:t>11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sga0MoBAACd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uAnVG0octzjy888f51+P54fv&#10;JDtRoj5AjZl3AXPT8N4PmD77AZ2Z+aCizV/kRDCOAp8uAsshEZEfrZarVYUhgbH5gvjs6XmIkD5I&#10;b0k2GhpxgkVYfvwEaUydU3I152+1MWWKxv3lQMzsYbn3scdspWE3TIR2vj0hnx6H31CHu06J+ehQ&#10;27wnsxFnYzcbhxD1viuLlOtBeHdI2ETpLVcYYafCOLXCbtqwvBZ/3kvW01+1+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Dsga0MoBAACdAwAADgAAAAAAAAABACAAAAAeAQAAZHJzL2Uyb0Rv&#10;Yy54bWxQSwUGAAAAAAYABgBZAQAAWgUAAAAA&#10;">
              <v:fill on="f" focussize="0,0"/>
              <v:stroke on="f"/>
              <v:imagedata o:title=""/>
              <o:lock v:ext="edit" aspectratio="f"/>
              <v:textbox inset="0mm,0mm,0mm,0mm" style="mso-fit-shape-to-text:t;">
                <w:txbxContent>
                  <w:p w14:paraId="78595D60">
                    <w:pPr>
                      <w:pStyle w:val="13"/>
                    </w:pPr>
                    <w:r>
                      <w:fldChar w:fldCharType="begin"/>
                    </w:r>
                    <w:r>
                      <w:instrText xml:space="preserve"> PAGE  \* MERGEFORMAT </w:instrText>
                    </w:r>
                    <w:r>
                      <w:fldChar w:fldCharType="separate"/>
                    </w:r>
                    <w:r>
                      <w:t>11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0A6600">
    <w:pPr>
      <w:pStyle w:val="13"/>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356FFDC">
                          <w:pPr>
                            <w:pStyle w:val="13"/>
                          </w:pPr>
                          <w:r>
                            <w:fldChar w:fldCharType="begin"/>
                          </w:r>
                          <w:r>
                            <w:instrText xml:space="preserve"> PAGE  \* MERGEFORMAT </w:instrText>
                          </w:r>
                          <w:r>
                            <w:fldChar w:fldCharType="separate"/>
                          </w:r>
                          <w:r>
                            <w:t>90</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9e6hMoBAACbAwAADgAAAAAAAAABACAAAAAeAQAAZHJzL2Uyb0Rv&#10;Yy54bWxQSwUGAAAAAAYABgBZAQAAWgUAAAAA&#10;">
              <v:fill on="f" focussize="0,0"/>
              <v:stroke on="f"/>
              <v:imagedata o:title=""/>
              <o:lock v:ext="edit" aspectratio="f"/>
              <v:textbox inset="0mm,0mm,0mm,0mm" style="mso-fit-shape-to-text:t;">
                <w:txbxContent>
                  <w:p w14:paraId="7356FFDC">
                    <w:pPr>
                      <w:pStyle w:val="13"/>
                    </w:pPr>
                    <w:r>
                      <w:fldChar w:fldCharType="begin"/>
                    </w:r>
                    <w:r>
                      <w:instrText xml:space="preserve"> PAGE  \* MERGEFORMAT </w:instrText>
                    </w:r>
                    <w:r>
                      <w:fldChar w:fldCharType="separate"/>
                    </w:r>
                    <w:r>
                      <w:t>90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174DB6">
    <w:pPr>
      <w:pStyle w:val="13"/>
      <w:ind w:right="360"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B0FBEF2">
                          <w:pPr>
                            <w:pStyle w:val="13"/>
                          </w:pPr>
                          <w:r>
                            <w:fldChar w:fldCharType="begin"/>
                          </w:r>
                          <w:r>
                            <w:instrText xml:space="preserve"> PAGE  \* MERGEFORMAT </w:instrText>
                          </w:r>
                          <w:r>
                            <w:fldChar w:fldCharType="separate"/>
                          </w:r>
                          <w:r>
                            <w:t>117</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Aknl8cBAACZ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lPiuMWBX358v/z8ffn1jdRZ&#10;niFAg1n3AfPS+NaPuDSLH9CZWY8q2vxFPgTjKO75Kq4cExH50bperysMCYwtF8RnD89DhPROekuy&#10;0dKI0yui8tMHSFPqkpKrOX+njSkTNO4vB2JmD8u9Tz1mK437cSa0990Z+Qw4+JY63HNKzHuHuuYd&#10;WYy4GPvFOIaoD31ZolwPwptjwiZKb7nCBDsXxokVdvN25ZV4fC9ZD3/U9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9Aknl8cBAACZAwAADgAAAAAAAAABACAAAAAeAQAAZHJzL2Uyb0RvYy54&#10;bWxQSwUGAAAAAAYABgBZAQAAVwUAAAAA&#10;">
              <v:fill on="f" focussize="0,0"/>
              <v:stroke on="f"/>
              <v:imagedata o:title=""/>
              <o:lock v:ext="edit" aspectratio="f"/>
              <v:textbox inset="0mm,0mm,0mm,0mm" style="mso-fit-shape-to-text:t;">
                <w:txbxContent>
                  <w:p w14:paraId="4B0FBEF2">
                    <w:pPr>
                      <w:pStyle w:val="13"/>
                    </w:pPr>
                    <w:r>
                      <w:fldChar w:fldCharType="begin"/>
                    </w:r>
                    <w:r>
                      <w:instrText xml:space="preserve"> PAGE  \* MERGEFORMAT </w:instrText>
                    </w:r>
                    <w:r>
                      <w:fldChar w:fldCharType="separate"/>
                    </w:r>
                    <w:r>
                      <w:t>117</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C18795">
    <w:pPr>
      <w:pStyle w:val="13"/>
      <w:ind w:right="360"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7BB58BB">
                          <w:pPr>
                            <w:pStyle w:val="13"/>
                          </w:pPr>
                          <w:r>
                            <w:fldChar w:fldCharType="begin"/>
                          </w:r>
                          <w:r>
                            <w:instrText xml:space="preserve"> PAGE  \* MERGEFORMAT </w:instrText>
                          </w:r>
                          <w:r>
                            <w:fldChar w:fldCharType="separate"/>
                          </w:r>
                          <w:r>
                            <w:t>117</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I79CNPIAQAAmwMAAA4AAAAAAAAAAQAgAAAAHgEAAGRycy9lMm9Eb2Mu&#10;eG1sUEsFBgAAAAAGAAYAWQEAAFgFAAAAAA==&#10;">
              <v:fill on="f" focussize="0,0"/>
              <v:stroke on="f"/>
              <v:imagedata o:title=""/>
              <o:lock v:ext="edit" aspectratio="f"/>
              <v:textbox inset="0mm,0mm,0mm,0mm" style="mso-fit-shape-to-text:t;">
                <w:txbxContent>
                  <w:p w14:paraId="47BB58BB">
                    <w:pPr>
                      <w:pStyle w:val="13"/>
                    </w:pPr>
                    <w:r>
                      <w:fldChar w:fldCharType="begin"/>
                    </w:r>
                    <w:r>
                      <w:instrText xml:space="preserve"> PAGE  \* MERGEFORMAT </w:instrText>
                    </w:r>
                    <w:r>
                      <w:fldChar w:fldCharType="separate"/>
                    </w:r>
                    <w:r>
                      <w:t>117</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702913">
    <w:pPr>
      <w:pStyle w:val="13"/>
      <w:ind w:right="360" w:firstLine="360"/>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B2C41A4">
                          <w:pPr>
                            <w:pStyle w:val="13"/>
                          </w:pPr>
                          <w:r>
                            <w:fldChar w:fldCharType="begin"/>
                          </w:r>
                          <w:r>
                            <w:instrText xml:space="preserve"> PAGE  \* MERGEFORMAT </w:instrText>
                          </w:r>
                          <w:r>
                            <w:fldChar w:fldCharType="separate"/>
                          </w:r>
                          <w:r>
                            <w:t>117</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1TgzxyQEAAJsDAAAOAAAAAAAAAAEAIAAAAB4BAABkcnMvZTJvRG9j&#10;LnhtbFBLBQYAAAAABgAGAFkBAABZBQAAAAA=&#10;">
              <v:fill on="f" focussize="0,0"/>
              <v:stroke on="f"/>
              <v:imagedata o:title=""/>
              <o:lock v:ext="edit" aspectratio="f"/>
              <v:textbox inset="0mm,0mm,0mm,0mm" style="mso-fit-shape-to-text:t;">
                <w:txbxContent>
                  <w:p w14:paraId="0B2C41A4">
                    <w:pPr>
                      <w:pStyle w:val="13"/>
                    </w:pPr>
                    <w:r>
                      <w:fldChar w:fldCharType="begin"/>
                    </w:r>
                    <w:r>
                      <w:instrText xml:space="preserve"> PAGE  \* MERGEFORMAT </w:instrText>
                    </w:r>
                    <w:r>
                      <w:fldChar w:fldCharType="separate"/>
                    </w:r>
                    <w:r>
                      <w:t>117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A5ADC2">
    <w:pPr>
      <w:pStyle w:val="13"/>
      <w:ind w:right="360" w:firstLine="360"/>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C3355DA">
                          <w:pPr>
                            <w:pStyle w:val="13"/>
                          </w:pPr>
                          <w:r>
                            <w:fldChar w:fldCharType="begin"/>
                          </w:r>
                          <w:r>
                            <w:instrText xml:space="preserve"> PAGE  \* MERGEFORMAT </w:instrText>
                          </w:r>
                          <w:r>
                            <w:fldChar w:fldCharType="separate"/>
                          </w:r>
                          <w:r>
                            <w:t>117</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S3JIMkBAACb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pt6GpJieMWJ375+ePy68/l93eC&#10;PhSoD1Bj3n3AzDS88wOuzewHdGbeg4o2f5ERwTjKe77KK4dERH60Xq3XFYYExuYL4rOH5yFCei+9&#10;JdloaMT5FVn56SOkMXVOydWcv9PGlBka948DMbOH5d7HHrOVhv0wEdr79ox8ehx9Qx1uOiXmg0Nl&#10;85bMRpyN/WwcQ9SHrqxRrgfh9piwidJbrjDCToVxZoXdtF95KR7fS9bDP7X9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dLckgyQEAAJsDAAAOAAAAAAAAAAEAIAAAAB4BAABkcnMvZTJvRG9j&#10;LnhtbFBLBQYAAAAABgAGAFkBAABZBQAAAAA=&#10;">
              <v:fill on="f" focussize="0,0"/>
              <v:stroke on="f"/>
              <v:imagedata o:title=""/>
              <o:lock v:ext="edit" aspectratio="f"/>
              <v:textbox inset="0mm,0mm,0mm,0mm" style="mso-fit-shape-to-text:t;">
                <w:txbxContent>
                  <w:p w14:paraId="6C3355DA">
                    <w:pPr>
                      <w:pStyle w:val="13"/>
                    </w:pPr>
                    <w:r>
                      <w:fldChar w:fldCharType="begin"/>
                    </w:r>
                    <w:r>
                      <w:instrText xml:space="preserve"> PAGE  \* MERGEFORMAT </w:instrText>
                    </w:r>
                    <w:r>
                      <w:fldChar w:fldCharType="separate"/>
                    </w:r>
                    <w:r>
                      <w:t>117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12B09C">
    <w:pPr>
      <w:pStyle w:val="15"/>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802767">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763A19">
    <w:pPr>
      <w:pStyle w:val="15"/>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978BF9">
    <w:pPr>
      <w:pStyle w:val="15"/>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8C15E04"/>
    <w:multiLevelType w:val="singleLevel"/>
    <w:tmpl w:val="E8C15E04"/>
    <w:lvl w:ilvl="0" w:tentative="0">
      <w:start w:val="16"/>
      <w:numFmt w:val="upperLetter"/>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BhNTQ0YWQ4N2U4MzJjZjc0YjAwNmFjNmMxOWZkZWIifQ=="/>
    <w:docVar w:name="KSO_WPS_MARK_KEY" w:val="8a1b4c1b-b7c4-40ed-9d2e-c598be9a705a"/>
  </w:docVars>
  <w:rsids>
    <w:rsidRoot w:val="7A637F35"/>
    <w:rsid w:val="00A60D8C"/>
    <w:rsid w:val="00D07779"/>
    <w:rsid w:val="01F52A5B"/>
    <w:rsid w:val="026D3223"/>
    <w:rsid w:val="02946FB1"/>
    <w:rsid w:val="02965E43"/>
    <w:rsid w:val="03F84410"/>
    <w:rsid w:val="04A365CC"/>
    <w:rsid w:val="05C07288"/>
    <w:rsid w:val="07747507"/>
    <w:rsid w:val="079B5524"/>
    <w:rsid w:val="09AC66E2"/>
    <w:rsid w:val="0A907A58"/>
    <w:rsid w:val="0C0B25F5"/>
    <w:rsid w:val="0C422784"/>
    <w:rsid w:val="0C4440E7"/>
    <w:rsid w:val="0C5C6896"/>
    <w:rsid w:val="0CD10396"/>
    <w:rsid w:val="0CDA7707"/>
    <w:rsid w:val="0DF90060"/>
    <w:rsid w:val="0EA617CE"/>
    <w:rsid w:val="0F087FB5"/>
    <w:rsid w:val="0FDF79BE"/>
    <w:rsid w:val="101007E8"/>
    <w:rsid w:val="11442367"/>
    <w:rsid w:val="114C55D8"/>
    <w:rsid w:val="114F073C"/>
    <w:rsid w:val="11CE710E"/>
    <w:rsid w:val="1298498E"/>
    <w:rsid w:val="13226EDA"/>
    <w:rsid w:val="1355521F"/>
    <w:rsid w:val="146C64D6"/>
    <w:rsid w:val="1612513B"/>
    <w:rsid w:val="162F2654"/>
    <w:rsid w:val="17364E09"/>
    <w:rsid w:val="17463BEB"/>
    <w:rsid w:val="17C65BEB"/>
    <w:rsid w:val="18FD1033"/>
    <w:rsid w:val="191210E8"/>
    <w:rsid w:val="1A366379"/>
    <w:rsid w:val="1A910AD4"/>
    <w:rsid w:val="1BAC1E9F"/>
    <w:rsid w:val="1FD350A6"/>
    <w:rsid w:val="20867466"/>
    <w:rsid w:val="20E319A6"/>
    <w:rsid w:val="2343492B"/>
    <w:rsid w:val="23DA2092"/>
    <w:rsid w:val="254A69BD"/>
    <w:rsid w:val="25E62ACD"/>
    <w:rsid w:val="26303437"/>
    <w:rsid w:val="27285AFB"/>
    <w:rsid w:val="281573ED"/>
    <w:rsid w:val="288256C3"/>
    <w:rsid w:val="28F2001B"/>
    <w:rsid w:val="2A8E57DC"/>
    <w:rsid w:val="2AD3572E"/>
    <w:rsid w:val="2D4366D3"/>
    <w:rsid w:val="2E006480"/>
    <w:rsid w:val="2F6E0266"/>
    <w:rsid w:val="306E2FE1"/>
    <w:rsid w:val="31AB7CD7"/>
    <w:rsid w:val="31F51F83"/>
    <w:rsid w:val="34462526"/>
    <w:rsid w:val="34710119"/>
    <w:rsid w:val="35445EF3"/>
    <w:rsid w:val="354D6802"/>
    <w:rsid w:val="355B7F36"/>
    <w:rsid w:val="36767DCD"/>
    <w:rsid w:val="36C52B6C"/>
    <w:rsid w:val="37376C2D"/>
    <w:rsid w:val="37460B3B"/>
    <w:rsid w:val="376D0C8D"/>
    <w:rsid w:val="385414C6"/>
    <w:rsid w:val="38FF3ECD"/>
    <w:rsid w:val="392F1CE1"/>
    <w:rsid w:val="3AA750F4"/>
    <w:rsid w:val="3AE96BE3"/>
    <w:rsid w:val="3AF31088"/>
    <w:rsid w:val="3D0816E4"/>
    <w:rsid w:val="3D0C3EA6"/>
    <w:rsid w:val="3DB3015B"/>
    <w:rsid w:val="3DE74F30"/>
    <w:rsid w:val="3DFE541E"/>
    <w:rsid w:val="3ED80E56"/>
    <w:rsid w:val="3FC1513B"/>
    <w:rsid w:val="3FD80FD4"/>
    <w:rsid w:val="41A67DC1"/>
    <w:rsid w:val="43177CCB"/>
    <w:rsid w:val="43FA1A7C"/>
    <w:rsid w:val="44375A75"/>
    <w:rsid w:val="448F3D2F"/>
    <w:rsid w:val="44B274C7"/>
    <w:rsid w:val="44EA211C"/>
    <w:rsid w:val="44F71EFD"/>
    <w:rsid w:val="452C7500"/>
    <w:rsid w:val="45431BD3"/>
    <w:rsid w:val="48F4311E"/>
    <w:rsid w:val="49FD7874"/>
    <w:rsid w:val="4B5A112C"/>
    <w:rsid w:val="4C1519C4"/>
    <w:rsid w:val="50F00BC8"/>
    <w:rsid w:val="51FD37FA"/>
    <w:rsid w:val="531F19D7"/>
    <w:rsid w:val="54A540EC"/>
    <w:rsid w:val="551B27BC"/>
    <w:rsid w:val="55A95A17"/>
    <w:rsid w:val="59420766"/>
    <w:rsid w:val="5A2921FA"/>
    <w:rsid w:val="5CB07495"/>
    <w:rsid w:val="5FD059D6"/>
    <w:rsid w:val="5FEE778A"/>
    <w:rsid w:val="61783112"/>
    <w:rsid w:val="61A34D79"/>
    <w:rsid w:val="61F378EA"/>
    <w:rsid w:val="62A768B8"/>
    <w:rsid w:val="6389120D"/>
    <w:rsid w:val="63BF7C1B"/>
    <w:rsid w:val="642C2A48"/>
    <w:rsid w:val="65F755BB"/>
    <w:rsid w:val="673821D5"/>
    <w:rsid w:val="69012A9A"/>
    <w:rsid w:val="69434640"/>
    <w:rsid w:val="699600CE"/>
    <w:rsid w:val="6C8F2E16"/>
    <w:rsid w:val="6CF929C7"/>
    <w:rsid w:val="6DA750F2"/>
    <w:rsid w:val="6E10627F"/>
    <w:rsid w:val="6E675BAD"/>
    <w:rsid w:val="6F143527"/>
    <w:rsid w:val="6F7400C4"/>
    <w:rsid w:val="70653474"/>
    <w:rsid w:val="70C64CF5"/>
    <w:rsid w:val="72E74CED"/>
    <w:rsid w:val="74B9247B"/>
    <w:rsid w:val="791F0D44"/>
    <w:rsid w:val="79526D89"/>
    <w:rsid w:val="79B069A0"/>
    <w:rsid w:val="79BC0A44"/>
    <w:rsid w:val="7A637F35"/>
    <w:rsid w:val="7B4B479B"/>
    <w:rsid w:val="7BE518BB"/>
    <w:rsid w:val="7C236887"/>
    <w:rsid w:val="7CBB3234"/>
    <w:rsid w:val="7CD72A99"/>
    <w:rsid w:val="7D20545A"/>
    <w:rsid w:val="7DDE0378"/>
    <w:rsid w:val="7E503A42"/>
    <w:rsid w:val="7E663674"/>
    <w:rsid w:val="7F1E459D"/>
    <w:rsid w:val="7F4D4D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5">
    <w:name w:val="heading 1"/>
    <w:basedOn w:val="1"/>
    <w:next w:val="1"/>
    <w:link w:val="87"/>
    <w:qFormat/>
    <w:uiPriority w:val="99"/>
    <w:pPr>
      <w:keepNext w:val="0"/>
      <w:overflowPunct/>
      <w:topLinePunct/>
      <w:snapToGrid/>
      <w:spacing w:before="120" w:after="160" w:line="260" w:lineRule="auto"/>
      <w:ind w:left="0" w:firstLine="0" w:firstLineChars="0"/>
      <w:outlineLvl w:val="0"/>
    </w:pPr>
    <w:rPr>
      <w:rFonts w:ascii="Times New Roman" w:hAnsi="Times New Roman" w:eastAsia="宋体"/>
      <w:b/>
      <w:bCs/>
      <w:kern w:val="44"/>
      <w:sz w:val="30"/>
      <w:szCs w:val="30"/>
    </w:rPr>
  </w:style>
  <w:style w:type="paragraph" w:styleId="6">
    <w:name w:val="heading 4"/>
    <w:basedOn w:val="1"/>
    <w:next w:val="1"/>
    <w:qFormat/>
    <w:uiPriority w:val="1"/>
    <w:pPr>
      <w:ind w:left="1132"/>
      <w:outlineLvl w:val="3"/>
    </w:pPr>
    <w:rPr>
      <w:rFonts w:ascii="宋体" w:hAnsi="宋体" w:eastAsia="宋体" w:cs="宋体"/>
      <w:b/>
      <w:bCs/>
      <w:sz w:val="28"/>
      <w:szCs w:val="28"/>
      <w:lang w:val="zh-CN" w:eastAsia="zh-CN" w:bidi="zh-CN"/>
    </w:rPr>
  </w:style>
  <w:style w:type="character" w:default="1" w:styleId="25">
    <w:name w:val="Default Paragraph Font"/>
    <w:semiHidden/>
    <w:qFormat/>
    <w:uiPriority w:val="0"/>
  </w:style>
  <w:style w:type="table" w:default="1" w:styleId="23">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qFormat/>
    <w:uiPriority w:val="0"/>
    <w:pPr>
      <w:tabs>
        <w:tab w:val="left" w:pos="540"/>
      </w:tabs>
      <w:spacing w:after="120" w:afterLines="0"/>
      <w:ind w:left="420" w:leftChars="200" w:firstLine="420" w:firstLineChars="200"/>
    </w:pPr>
    <w:rPr>
      <w:sz w:val="21"/>
    </w:rPr>
  </w:style>
  <w:style w:type="paragraph" w:styleId="3">
    <w:name w:val="Body Text Indent"/>
    <w:basedOn w:val="1"/>
    <w:next w:val="4"/>
    <w:qFormat/>
    <w:uiPriority w:val="0"/>
    <w:pPr>
      <w:spacing w:after="120"/>
      <w:ind w:left="420" w:leftChars="200"/>
    </w:pPr>
    <w:rPr>
      <w:kern w:val="0"/>
      <w:sz w:val="24"/>
      <w:szCs w:val="20"/>
    </w:rPr>
  </w:style>
  <w:style w:type="paragraph" w:customStyle="1" w:styleId="4">
    <w:name w:val="样式 正文文本缩进 + 行距: 1.5 倍行距"/>
    <w:basedOn w:val="3"/>
    <w:qFormat/>
    <w:uiPriority w:val="0"/>
    <w:pPr>
      <w:spacing w:after="120"/>
      <w:ind w:left="90" w:leftChars="32" w:firstLine="560" w:firstLineChars="200"/>
    </w:pPr>
    <w:rPr>
      <w:rFonts w:cs="宋体"/>
    </w:rPr>
  </w:style>
  <w:style w:type="paragraph" w:styleId="7">
    <w:name w:val="table of authorities"/>
    <w:basedOn w:val="1"/>
    <w:next w:val="1"/>
    <w:qFormat/>
    <w:uiPriority w:val="0"/>
    <w:pPr>
      <w:spacing w:line="360" w:lineRule="auto"/>
      <w:ind w:left="420" w:leftChars="200" w:firstLine="640" w:firstLineChars="200"/>
    </w:pPr>
    <w:rPr>
      <w:sz w:val="24"/>
    </w:rPr>
  </w:style>
  <w:style w:type="paragraph" w:styleId="8">
    <w:name w:val="Normal Indent"/>
    <w:basedOn w:val="1"/>
    <w:qFormat/>
    <w:uiPriority w:val="0"/>
    <w:pPr>
      <w:spacing w:line="360" w:lineRule="auto"/>
      <w:ind w:firstLine="420" w:firstLineChars="200"/>
    </w:pPr>
    <w:rPr>
      <w:rFonts w:ascii="宋体" w:hAnsi="宋体"/>
      <w:kern w:val="0"/>
      <w:sz w:val="24"/>
      <w:szCs w:val="24"/>
    </w:rPr>
  </w:style>
  <w:style w:type="paragraph" w:styleId="9">
    <w:name w:val="caption"/>
    <w:basedOn w:val="1"/>
    <w:next w:val="1"/>
    <w:qFormat/>
    <w:uiPriority w:val="0"/>
    <w:pPr>
      <w:spacing w:before="152" w:after="160"/>
      <w:jc w:val="center"/>
    </w:pPr>
    <w:rPr>
      <w:kern w:val="0"/>
      <w:sz w:val="20"/>
      <w:szCs w:val="21"/>
    </w:rPr>
  </w:style>
  <w:style w:type="paragraph" w:styleId="10">
    <w:name w:val="annotation text"/>
    <w:basedOn w:val="1"/>
    <w:qFormat/>
    <w:uiPriority w:val="0"/>
    <w:pPr>
      <w:jc w:val="left"/>
    </w:pPr>
  </w:style>
  <w:style w:type="paragraph" w:styleId="11">
    <w:name w:val="Body Text"/>
    <w:basedOn w:val="1"/>
    <w:next w:val="1"/>
    <w:qFormat/>
    <w:uiPriority w:val="0"/>
    <w:pPr>
      <w:widowControl/>
      <w:snapToGrid w:val="0"/>
      <w:spacing w:before="60" w:after="160" w:line="259" w:lineRule="auto"/>
      <w:ind w:right="113"/>
    </w:pPr>
    <w:rPr>
      <w:kern w:val="0"/>
      <w:sz w:val="18"/>
      <w:szCs w:val="20"/>
    </w:rPr>
  </w:style>
  <w:style w:type="paragraph" w:styleId="12">
    <w:name w:val="Plain Text"/>
    <w:basedOn w:val="1"/>
    <w:qFormat/>
    <w:uiPriority w:val="0"/>
    <w:rPr>
      <w:rFonts w:ascii="宋体" w:hAnsi="Courier New"/>
    </w:rPr>
  </w:style>
  <w:style w:type="paragraph" w:styleId="13">
    <w:name w:val="footer"/>
    <w:basedOn w:val="1"/>
    <w:next w:val="14"/>
    <w:qFormat/>
    <w:uiPriority w:val="99"/>
    <w:pPr>
      <w:tabs>
        <w:tab w:val="center" w:pos="4153"/>
        <w:tab w:val="right" w:pos="8306"/>
      </w:tabs>
      <w:wordWrap w:val="0"/>
      <w:topLinePunct/>
      <w:snapToGrid/>
      <w:spacing w:line="240" w:lineRule="auto"/>
      <w:jc w:val="center"/>
    </w:pPr>
    <w:rPr>
      <w:rFonts w:ascii="Times New Roman" w:hAnsi="Times New Roman" w:eastAsia="宋体"/>
      <w:kern w:val="0"/>
      <w:sz w:val="21"/>
      <w:szCs w:val="21"/>
    </w:rPr>
  </w:style>
  <w:style w:type="paragraph" w:customStyle="1" w:styleId="14">
    <w:name w:val="00通用正文"/>
    <w:basedOn w:val="1"/>
    <w:qFormat/>
    <w:uiPriority w:val="0"/>
    <w:pPr>
      <w:widowControl w:val="0"/>
      <w:wordWrap w:val="0"/>
      <w:spacing w:after="0" w:line="360" w:lineRule="auto"/>
      <w:ind w:firstLine="420" w:firstLineChars="200"/>
      <w:jc w:val="left"/>
    </w:pPr>
    <w:rPr>
      <w:rFonts w:ascii="Times New Roman" w:hAnsi="Times New Roman" w:eastAsia="宋体" w:cstheme="minorBidi"/>
      <w:color w:val="000000"/>
      <w:kern w:val="2"/>
      <w:sz w:val="24"/>
      <w:szCs w:val="24"/>
      <w:lang w:val="en-US" w:bidi="ar-SA"/>
    </w:rPr>
  </w:style>
  <w:style w:type="paragraph" w:styleId="15">
    <w:name w:val="header"/>
    <w:basedOn w:val="1"/>
    <w:next w:val="16"/>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6">
    <w:name w:val="样式5"/>
    <w:basedOn w:val="1"/>
    <w:qFormat/>
    <w:uiPriority w:val="0"/>
    <w:pPr>
      <w:spacing w:before="0" w:after="0" w:line="380" w:lineRule="exact"/>
      <w:ind w:firstLine="566" w:firstLineChars="202"/>
    </w:pPr>
    <w:rPr>
      <w:rFonts w:eastAsia="华文行楷"/>
    </w:rPr>
  </w:style>
  <w:style w:type="paragraph" w:styleId="17">
    <w:name w:val="toc 1"/>
    <w:basedOn w:val="1"/>
    <w:next w:val="1"/>
    <w:qFormat/>
    <w:uiPriority w:val="39"/>
  </w:style>
  <w:style w:type="paragraph" w:styleId="18">
    <w:name w:val="List"/>
    <w:basedOn w:val="1"/>
    <w:qFormat/>
    <w:uiPriority w:val="0"/>
    <w:pPr>
      <w:ind w:left="200" w:hanging="200" w:hangingChars="200"/>
    </w:pPr>
  </w:style>
  <w:style w:type="paragraph" w:styleId="19">
    <w:name w:val="toc 2"/>
    <w:basedOn w:val="1"/>
    <w:next w:val="1"/>
    <w:unhideWhenUsed/>
    <w:qFormat/>
    <w:uiPriority w:val="39"/>
    <w:pPr>
      <w:widowControl/>
      <w:spacing w:after="100" w:line="276" w:lineRule="auto"/>
      <w:ind w:left="220"/>
      <w:jc w:val="left"/>
    </w:pPr>
    <w:rPr>
      <w:rFonts w:ascii="Calibri" w:hAnsi="Calibri" w:eastAsia="宋体" w:cs="Times New Roman"/>
      <w:kern w:val="0"/>
      <w:sz w:val="22"/>
      <w:szCs w:val="22"/>
    </w:rPr>
  </w:style>
  <w:style w:type="paragraph" w:styleId="20">
    <w:name w:val="Message Header"/>
    <w:basedOn w:val="1"/>
    <w:qFormat/>
    <w:uiPriority w:val="0"/>
    <w:pPr>
      <w:keepNext/>
      <w:pBdr>
        <w:top w:val="single" w:color="auto" w:sz="6" w:space="1"/>
        <w:left w:val="single" w:color="auto" w:sz="6" w:space="1"/>
        <w:bottom w:val="single" w:color="auto" w:sz="6" w:space="1"/>
        <w:right w:val="single" w:color="auto" w:sz="6" w:space="1"/>
      </w:pBdr>
      <w:shd w:val="pct20" w:color="auto" w:fill="auto"/>
      <w:spacing w:line="360" w:lineRule="auto"/>
      <w:ind w:left="1000" w:leftChars="500" w:hanging="500" w:hangingChars="500"/>
      <w:jc w:val="left"/>
    </w:pPr>
    <w:rPr>
      <w:rFonts w:ascii="Arial" w:hAnsi="Arial"/>
      <w:color w:val="000000"/>
      <w:kern w:val="0"/>
      <w:sz w:val="24"/>
      <w:szCs w:val="24"/>
      <w:lang w:val="zh-CN"/>
    </w:rPr>
  </w:style>
  <w:style w:type="paragraph" w:styleId="21">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2">
    <w:name w:val="Body Text First Indent"/>
    <w:basedOn w:val="11"/>
    <w:next w:val="1"/>
    <w:qFormat/>
    <w:uiPriority w:val="99"/>
    <w:pPr>
      <w:spacing w:after="120"/>
      <w:ind w:firstLine="420" w:firstLineChars="100"/>
    </w:pPr>
  </w:style>
  <w:style w:type="table" w:styleId="24">
    <w:name w:val="Table Grid"/>
    <w:basedOn w:val="23"/>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rPr>
  </w:style>
  <w:style w:type="character" w:styleId="27">
    <w:name w:val="page number"/>
    <w:basedOn w:val="25"/>
    <w:qFormat/>
    <w:uiPriority w:val="0"/>
  </w:style>
  <w:style w:type="character" w:styleId="28">
    <w:name w:val="Hyperlink"/>
    <w:basedOn w:val="25"/>
    <w:qFormat/>
    <w:uiPriority w:val="0"/>
    <w:rPr>
      <w:color w:val="0000FF"/>
      <w:u w:val="single"/>
    </w:rPr>
  </w:style>
  <w:style w:type="character" w:styleId="29">
    <w:name w:val="annotation reference"/>
    <w:basedOn w:val="25"/>
    <w:semiHidden/>
    <w:qFormat/>
    <w:uiPriority w:val="0"/>
    <w:rPr>
      <w:sz w:val="21"/>
    </w:rPr>
  </w:style>
  <w:style w:type="paragraph" w:customStyle="1" w:styleId="30">
    <w:name w:val="01通用正文"/>
    <w:basedOn w:val="14"/>
    <w:next w:val="14"/>
    <w:link w:val="81"/>
    <w:qFormat/>
    <w:uiPriority w:val="0"/>
    <w:pPr>
      <w:topLinePunct/>
      <w:spacing w:before="50" w:beforeLines="50"/>
    </w:pPr>
    <w:rPr>
      <w:rFonts w:hint="eastAsia"/>
    </w:rPr>
  </w:style>
  <w:style w:type="paragraph" w:customStyle="1" w:styleId="31">
    <w:name w:val="通用正文"/>
    <w:basedOn w:val="14"/>
    <w:link w:val="37"/>
    <w:qFormat/>
    <w:uiPriority w:val="0"/>
    <w:pPr>
      <w:wordWrap w:val="0"/>
      <w:topLinePunct/>
      <w:spacing w:line="360" w:lineRule="auto"/>
      <w:ind w:firstLine="420" w:firstLineChars="200"/>
      <w:jc w:val="left"/>
    </w:pPr>
    <w:rPr>
      <w:rFonts w:ascii="Times New Roman" w:hAnsi="Times New Roman"/>
      <w:sz w:val="24"/>
    </w:rPr>
  </w:style>
  <w:style w:type="paragraph" w:customStyle="1" w:styleId="32">
    <w:name w:val="0一级标题"/>
    <w:basedOn w:val="33"/>
    <w:next w:val="33"/>
    <w:link w:val="56"/>
    <w:qFormat/>
    <w:uiPriority w:val="0"/>
    <w:pPr>
      <w:ind w:firstLine="0" w:firstLineChars="0"/>
      <w:jc w:val="center"/>
      <w:outlineLvl w:val="0"/>
    </w:pPr>
    <w:rPr>
      <w:rFonts w:hint="default" w:ascii="Times New Roman" w:hAnsi="Times New Roman" w:eastAsia="宋体" w:cs="宋体"/>
      <w:b/>
      <w:snapToGrid w:val="0"/>
      <w:color w:val="000000"/>
      <w:sz w:val="30"/>
      <w:szCs w:val="30"/>
    </w:rPr>
  </w:style>
  <w:style w:type="paragraph" w:customStyle="1" w:styleId="33">
    <w:name w:val="0通用正文"/>
    <w:basedOn w:val="1"/>
    <w:link w:val="53"/>
    <w:qFormat/>
    <w:uiPriority w:val="0"/>
    <w:pPr>
      <w:wordWrap w:val="0"/>
      <w:topLinePunct/>
      <w:spacing w:line="360" w:lineRule="auto"/>
      <w:ind w:firstLine="420" w:firstLineChars="200"/>
      <w:jc w:val="left"/>
    </w:pPr>
    <w:rPr>
      <w:rFonts w:ascii="Times New Roman" w:hAnsi="Times New Roman" w:eastAsia="宋体"/>
    </w:rPr>
  </w:style>
  <w:style w:type="paragraph" w:customStyle="1" w:styleId="34">
    <w:name w:val="0表格文字"/>
    <w:basedOn w:val="14"/>
    <w:next w:val="14"/>
    <w:link w:val="97"/>
    <w:qFormat/>
    <w:uiPriority w:val="0"/>
    <w:pPr>
      <w:autoSpaceDE/>
      <w:autoSpaceDN/>
      <w:adjustRightInd/>
      <w:spacing w:line="240" w:lineRule="auto"/>
      <w:ind w:firstLine="0" w:firstLineChars="0"/>
      <w:jc w:val="center"/>
    </w:pPr>
    <w:rPr>
      <w:rFonts w:ascii="Times New Roman" w:hAnsi="Times New Roman" w:eastAsia="宋体" w:cs="宋体"/>
      <w:color w:val="000000"/>
      <w:sz w:val="21"/>
      <w:szCs w:val="21"/>
    </w:rPr>
  </w:style>
  <w:style w:type="paragraph" w:customStyle="1" w:styleId="35">
    <w:name w:val="0表格文字2"/>
    <w:basedOn w:val="14"/>
    <w:next w:val="14"/>
    <w:link w:val="90"/>
    <w:qFormat/>
    <w:uiPriority w:val="0"/>
    <w:pPr>
      <w:spacing w:line="240" w:lineRule="auto"/>
      <w:ind w:firstLine="720" w:firstLineChars="200"/>
      <w:jc w:val="left"/>
    </w:pPr>
    <w:rPr>
      <w:rFonts w:ascii="Times New Roman" w:hAnsi="Times New Roman" w:eastAsia="宋体"/>
      <w:sz w:val="21"/>
    </w:rPr>
  </w:style>
  <w:style w:type="paragraph" w:customStyle="1" w:styleId="36">
    <w:name w:val="0图表表头"/>
    <w:basedOn w:val="14"/>
    <w:link w:val="38"/>
    <w:qFormat/>
    <w:uiPriority w:val="0"/>
    <w:pPr>
      <w:spacing w:line="240" w:lineRule="auto"/>
      <w:ind w:firstLine="0" w:firstLineChars="0"/>
      <w:jc w:val="center"/>
    </w:pPr>
    <w:rPr>
      <w:rFonts w:hint="eastAsia" w:ascii="Times New Roman" w:hAnsi="Times New Roman" w:eastAsia="宋体" w:cs="宋体"/>
      <w:b/>
      <w:sz w:val="24"/>
    </w:rPr>
  </w:style>
  <w:style w:type="character" w:customStyle="1" w:styleId="37">
    <w:name w:val="通用正文 Char"/>
    <w:link w:val="31"/>
    <w:qFormat/>
    <w:uiPriority w:val="0"/>
    <w:rPr>
      <w:rFonts w:ascii="Times New Roman" w:hAnsi="Times New Roman"/>
      <w:sz w:val="24"/>
    </w:rPr>
  </w:style>
  <w:style w:type="character" w:customStyle="1" w:styleId="38">
    <w:name w:val="0图表表头 Char"/>
    <w:link w:val="36"/>
    <w:qFormat/>
    <w:uiPriority w:val="0"/>
    <w:rPr>
      <w:rFonts w:hint="eastAsia" w:ascii="Times New Roman" w:hAnsi="Times New Roman" w:eastAsia="宋体" w:cs="宋体"/>
      <w:b/>
      <w:sz w:val="24"/>
    </w:rPr>
  </w:style>
  <w:style w:type="paragraph" w:customStyle="1" w:styleId="39">
    <w:name w:val="Table Paragraph"/>
    <w:basedOn w:val="1"/>
    <w:qFormat/>
    <w:uiPriority w:val="1"/>
    <w:pPr>
      <w:jc w:val="center"/>
    </w:pPr>
    <w:rPr>
      <w:rFonts w:ascii="宋体" w:hAnsi="宋体" w:cs="宋体"/>
      <w:lang w:val="zh-CN" w:bidi="zh-CN"/>
    </w:rPr>
  </w:style>
  <w:style w:type="paragraph" w:customStyle="1" w:styleId="40">
    <w:name w:val="C首行缩进正文"/>
    <w:basedOn w:val="41"/>
    <w:qFormat/>
    <w:uiPriority w:val="0"/>
  </w:style>
  <w:style w:type="paragraph" w:customStyle="1" w:styleId="41">
    <w:name w:val="【正文】"/>
    <w:basedOn w:val="1"/>
    <w:next w:val="20"/>
    <w:qFormat/>
    <w:uiPriority w:val="0"/>
    <w:pPr>
      <w:spacing w:line="440" w:lineRule="exact"/>
      <w:ind w:firstLine="544" w:firstLineChars="200"/>
    </w:pPr>
    <w:rPr>
      <w:rFonts w:cs="宋体"/>
      <w:sz w:val="24"/>
      <w:szCs w:val="20"/>
    </w:rPr>
  </w:style>
  <w:style w:type="paragraph" w:customStyle="1" w:styleId="42">
    <w:name w:val="Default"/>
    <w:basedOn w:val="43"/>
    <w:next w:val="1"/>
    <w:qFormat/>
    <w:uiPriority w:val="0"/>
    <w:pPr>
      <w:autoSpaceDE w:val="0"/>
      <w:autoSpaceDN w:val="0"/>
    </w:pPr>
    <w:rPr>
      <w:rFonts w:hAnsi="Calibri" w:cs="宋体"/>
      <w:color w:val="000000"/>
      <w:sz w:val="24"/>
      <w:szCs w:val="24"/>
    </w:rPr>
  </w:style>
  <w:style w:type="paragraph" w:customStyle="1" w:styleId="43">
    <w:name w:val="纯文本1"/>
    <w:basedOn w:val="1"/>
    <w:qFormat/>
    <w:uiPriority w:val="0"/>
    <w:pPr>
      <w:adjustRightInd w:val="0"/>
    </w:pPr>
    <w:rPr>
      <w:rFonts w:ascii="宋体" w:hAnsi="Courier New"/>
      <w:szCs w:val="20"/>
    </w:rPr>
  </w:style>
  <w:style w:type="paragraph" w:customStyle="1" w:styleId="44">
    <w:name w:val="报告书正文"/>
    <w:basedOn w:val="1"/>
    <w:autoRedefine/>
    <w:qFormat/>
    <w:uiPriority w:val="0"/>
    <w:pPr>
      <w:spacing w:line="360" w:lineRule="auto"/>
      <w:ind w:firstLine="480" w:firstLineChars="200"/>
    </w:pPr>
    <w:rPr>
      <w:sz w:val="24"/>
    </w:rPr>
  </w:style>
  <w:style w:type="paragraph" w:customStyle="1" w:styleId="45">
    <w:name w:val="01图表头"/>
    <w:basedOn w:val="14"/>
    <w:next w:val="46"/>
    <w:qFormat/>
    <w:uiPriority w:val="0"/>
    <w:pPr>
      <w:keepNext w:val="0"/>
      <w:wordWrap w:val="0"/>
      <w:topLinePunct/>
      <w:adjustRightInd/>
      <w:snapToGrid/>
      <w:spacing w:line="240" w:lineRule="auto"/>
      <w:ind w:left="0" w:firstLine="0" w:firstLineChars="0"/>
      <w:jc w:val="center"/>
    </w:pPr>
    <w:rPr>
      <w:rFonts w:ascii="Times New Roman" w:hAnsi="Times New Roman" w:eastAsia="宋体" w:cs="Times New Roman"/>
      <w:b/>
      <w:kern w:val="2"/>
      <w:sz w:val="24"/>
      <w:szCs w:val="24"/>
      <w:lang w:val="en-US" w:bidi="ar-SA"/>
    </w:rPr>
  </w:style>
  <w:style w:type="paragraph" w:customStyle="1" w:styleId="46">
    <w:name w:val="02表格式"/>
    <w:basedOn w:val="14"/>
    <w:qFormat/>
    <w:uiPriority w:val="0"/>
    <w:pPr>
      <w:wordWrap w:val="0"/>
      <w:topLinePunct/>
      <w:spacing w:line="240" w:lineRule="auto"/>
      <w:ind w:left="0" w:firstLine="0" w:firstLineChars="0"/>
      <w:jc w:val="center"/>
    </w:pPr>
    <w:rPr>
      <w:rFonts w:ascii="Times New Roman" w:hAnsi="Times New Roman" w:eastAsia="宋体" w:cs="Times New Roman"/>
      <w:color w:val="000000"/>
      <w:kern w:val="2"/>
      <w:sz w:val="21"/>
      <w:szCs w:val="21"/>
      <w:lang w:val="en-US" w:bidi="ar-SA"/>
    </w:rPr>
  </w:style>
  <w:style w:type="paragraph" w:customStyle="1" w:styleId="47">
    <w:name w:val="03表格式2"/>
    <w:basedOn w:val="14"/>
    <w:qFormat/>
    <w:uiPriority w:val="0"/>
    <w:pPr>
      <w:widowControl w:val="0"/>
      <w:kinsoku/>
      <w:wordWrap w:val="0"/>
      <w:topLinePunct/>
      <w:autoSpaceDE/>
      <w:autoSpaceDN/>
      <w:adjustRightInd/>
      <w:snapToGrid/>
      <w:spacing w:line="240" w:lineRule="auto"/>
      <w:ind w:right="0" w:firstLine="480" w:firstLineChars="200"/>
      <w:jc w:val="left"/>
      <w:textAlignment w:val="baseline"/>
    </w:pPr>
    <w:rPr>
      <w:rFonts w:ascii="Times New Roman" w:hAnsi="Times New Roman" w:eastAsia="宋体" w:cs="仿宋"/>
      <w:snapToGrid w:val="0"/>
      <w:sz w:val="21"/>
      <w:szCs w:val="21"/>
      <w:lang w:eastAsia="en-US"/>
    </w:rPr>
  </w:style>
  <w:style w:type="paragraph" w:customStyle="1" w:styleId="48">
    <w:name w:val="样式 正文首行缩进 + 首行缩进:  2 字符1"/>
    <w:basedOn w:val="1"/>
    <w:next w:val="17"/>
    <w:qFormat/>
    <w:uiPriority w:val="0"/>
    <w:pPr>
      <w:spacing w:line="360" w:lineRule="auto"/>
      <w:ind w:firstLine="480" w:firstLineChars="200"/>
    </w:pPr>
    <w:rPr>
      <w:sz w:val="24"/>
    </w:rPr>
  </w:style>
  <w:style w:type="paragraph" w:customStyle="1" w:styleId="49">
    <w:name w:val="表格文字7"/>
    <w:basedOn w:val="1"/>
    <w:qFormat/>
    <w:uiPriority w:val="0"/>
    <w:pPr>
      <w:tabs>
        <w:tab w:val="left" w:pos="2745"/>
      </w:tabs>
      <w:snapToGrid w:val="0"/>
      <w:jc w:val="center"/>
    </w:pPr>
    <w:rPr>
      <w:bCs/>
      <w:szCs w:val="21"/>
      <w:lang w:val="zh-CN"/>
    </w:rPr>
  </w:style>
  <w:style w:type="paragraph" w:customStyle="1" w:styleId="50">
    <w:name w:val="表格内正文"/>
    <w:basedOn w:val="1"/>
    <w:qFormat/>
    <w:uiPriority w:val="0"/>
    <w:pPr>
      <w:spacing w:line="360" w:lineRule="auto"/>
      <w:jc w:val="center"/>
    </w:pPr>
  </w:style>
  <w:style w:type="character" w:customStyle="1" w:styleId="51">
    <w:name w:val="font01"/>
    <w:qFormat/>
    <w:uiPriority w:val="0"/>
    <w:rPr>
      <w:rFonts w:hint="eastAsia" w:ascii="宋体" w:hAnsi="宋体" w:eastAsia="宋体" w:cs="宋体"/>
      <w:color w:val="000000"/>
      <w:sz w:val="22"/>
      <w:szCs w:val="22"/>
      <w:u w:val="none"/>
    </w:rPr>
  </w:style>
  <w:style w:type="character" w:customStyle="1" w:styleId="52">
    <w:name w:val="font11"/>
    <w:qFormat/>
    <w:uiPriority w:val="0"/>
    <w:rPr>
      <w:rFonts w:hint="default" w:ascii="Times New Roman" w:hAnsi="Times New Roman" w:cs="Times New Roman"/>
      <w:color w:val="000000"/>
      <w:sz w:val="22"/>
      <w:szCs w:val="22"/>
      <w:u w:val="none"/>
    </w:rPr>
  </w:style>
  <w:style w:type="character" w:customStyle="1" w:styleId="53">
    <w:name w:val="0通用正文 Char"/>
    <w:link w:val="33"/>
    <w:qFormat/>
    <w:uiPriority w:val="0"/>
    <w:rPr>
      <w:rFonts w:ascii="Times New Roman" w:hAnsi="Times New Roman" w:eastAsia="宋体"/>
    </w:rPr>
  </w:style>
  <w:style w:type="paragraph" w:styleId="54">
    <w:name w:val="List Paragraph"/>
    <w:basedOn w:val="1"/>
    <w:qFormat/>
    <w:uiPriority w:val="0"/>
    <w:pPr>
      <w:ind w:firstLine="420" w:firstLineChars="200"/>
    </w:pPr>
  </w:style>
  <w:style w:type="paragraph" w:customStyle="1" w:styleId="55">
    <w:name w:val="正文缩进1"/>
    <w:basedOn w:val="1"/>
    <w:qFormat/>
    <w:uiPriority w:val="0"/>
    <w:pPr>
      <w:spacing w:line="520" w:lineRule="exact"/>
      <w:ind w:firstLine="624"/>
    </w:pPr>
    <w:rPr>
      <w:sz w:val="28"/>
    </w:rPr>
  </w:style>
  <w:style w:type="character" w:customStyle="1" w:styleId="56">
    <w:name w:val="0一级标题 Char"/>
    <w:link w:val="32"/>
    <w:qFormat/>
    <w:uiPriority w:val="0"/>
    <w:rPr>
      <w:rFonts w:hint="default" w:ascii="Times New Roman" w:hAnsi="Times New Roman" w:eastAsia="宋体" w:cs="宋体"/>
      <w:b/>
      <w:snapToGrid w:val="0"/>
      <w:color w:val="000000"/>
      <w:sz w:val="30"/>
      <w:szCs w:val="30"/>
    </w:rPr>
  </w:style>
  <w:style w:type="paragraph" w:customStyle="1" w:styleId="57">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58">
    <w:name w:val="表格文字"/>
    <w:basedOn w:val="11"/>
    <w:next w:val="1"/>
    <w:qFormat/>
    <w:uiPriority w:val="0"/>
    <w:pPr>
      <w:adjustRightInd w:val="0"/>
      <w:snapToGrid w:val="0"/>
      <w:jc w:val="center"/>
    </w:pPr>
    <w:rPr>
      <w:rFonts w:eastAsia="仿宋_GB2312"/>
      <w:bCs/>
      <w:szCs w:val="21"/>
    </w:rPr>
  </w:style>
  <w:style w:type="paragraph" w:customStyle="1" w:styleId="59">
    <w:name w:val="表头"/>
    <w:basedOn w:val="60"/>
    <w:next w:val="1"/>
    <w:qFormat/>
    <w:uiPriority w:val="0"/>
    <w:pPr>
      <w:keepNext/>
      <w:snapToGrid w:val="0"/>
      <w:spacing w:before="10" w:line="240" w:lineRule="auto"/>
      <w:ind w:firstLine="0" w:firstLineChars="0"/>
      <w:jc w:val="center"/>
    </w:pPr>
    <w:rPr>
      <w:b/>
      <w:spacing w:val="11"/>
      <w:kern w:val="21"/>
      <w:szCs w:val="20"/>
    </w:rPr>
  </w:style>
  <w:style w:type="paragraph" w:customStyle="1" w:styleId="60">
    <w:name w:val="样式4"/>
    <w:basedOn w:val="1"/>
    <w:qFormat/>
    <w:uiPriority w:val="0"/>
    <w:pPr>
      <w:adjustRightInd w:val="0"/>
      <w:snapToGrid w:val="0"/>
      <w:jc w:val="center"/>
    </w:pPr>
    <w:rPr>
      <w:sz w:val="24"/>
    </w:rPr>
  </w:style>
  <w:style w:type="paragraph" w:customStyle="1" w:styleId="61">
    <w:name w:val="表格内容--中祥"/>
    <w:basedOn w:val="1"/>
    <w:qFormat/>
    <w:uiPriority w:val="0"/>
    <w:pPr>
      <w:spacing w:line="240" w:lineRule="auto"/>
      <w:ind w:firstLine="0" w:firstLineChars="0"/>
      <w:jc w:val="center"/>
    </w:pPr>
    <w:rPr>
      <w:kern w:val="0"/>
      <w:sz w:val="21"/>
      <w:szCs w:val="21"/>
    </w:rPr>
  </w:style>
  <w:style w:type="paragraph" w:customStyle="1" w:styleId="62">
    <w:name w:val="②JM正文 顶格 加粗"/>
    <w:basedOn w:val="63"/>
    <w:next w:val="65"/>
    <w:qFormat/>
    <w:uiPriority w:val="0"/>
    <w:rPr>
      <w:b/>
    </w:rPr>
  </w:style>
  <w:style w:type="paragraph" w:customStyle="1" w:styleId="63">
    <w:name w:val="②JM正文 顶格"/>
    <w:basedOn w:val="64"/>
    <w:next w:val="65"/>
    <w:qFormat/>
    <w:uiPriority w:val="0"/>
    <w:pPr>
      <w:jc w:val="left"/>
    </w:pPr>
  </w:style>
  <w:style w:type="paragraph" w:customStyle="1" w:styleId="64">
    <w:name w:val="①JM表格 居中"/>
    <w:basedOn w:val="1"/>
    <w:next w:val="1"/>
    <w:qFormat/>
    <w:uiPriority w:val="0"/>
    <w:pPr>
      <w:jc w:val="center"/>
    </w:pPr>
  </w:style>
  <w:style w:type="paragraph" w:customStyle="1" w:styleId="65">
    <w:name w:val="②JM正文"/>
    <w:basedOn w:val="63"/>
    <w:qFormat/>
    <w:uiPriority w:val="0"/>
    <w:pPr>
      <w:ind w:firstLine="720" w:firstLineChars="200"/>
    </w:pPr>
  </w:style>
  <w:style w:type="paragraph" w:customStyle="1" w:styleId="66">
    <w:name w:val="正文文字进缩"/>
    <w:basedOn w:val="1"/>
    <w:qFormat/>
    <w:uiPriority w:val="0"/>
    <w:pPr>
      <w:spacing w:line="360" w:lineRule="auto"/>
      <w:ind w:firstLine="200" w:firstLineChars="200"/>
    </w:pPr>
    <w:rPr>
      <w:rFonts w:ascii="仿宋_GB2312" w:eastAsia="仿宋_GB2312"/>
      <w:sz w:val="30"/>
      <w:szCs w:val="20"/>
    </w:rPr>
  </w:style>
  <w:style w:type="paragraph" w:customStyle="1" w:styleId="67">
    <w:name w:val="表格题目"/>
    <w:basedOn w:val="1"/>
    <w:qFormat/>
    <w:uiPriority w:val="0"/>
    <w:pPr>
      <w:spacing w:line="240" w:lineRule="atLeast"/>
      <w:jc w:val="center"/>
    </w:pPr>
    <w:rPr>
      <w:rFonts w:ascii="黑体" w:hAnsi="宋体" w:eastAsia="黑体"/>
      <w:sz w:val="24"/>
    </w:rPr>
  </w:style>
  <w:style w:type="paragraph" w:customStyle="1" w:styleId="68">
    <w:name w:val="盂县"/>
    <w:basedOn w:val="1"/>
    <w:qFormat/>
    <w:uiPriority w:val="0"/>
    <w:pPr>
      <w:adjustRightInd w:val="0"/>
      <w:snapToGrid w:val="0"/>
      <w:spacing w:line="312" w:lineRule="auto"/>
      <w:ind w:firstLine="560" w:firstLineChars="200"/>
    </w:pPr>
    <w:rPr>
      <w:sz w:val="28"/>
    </w:rPr>
  </w:style>
  <w:style w:type="paragraph" w:customStyle="1" w:styleId="69">
    <w:name w:val="内容"/>
    <w:basedOn w:val="1"/>
    <w:qFormat/>
    <w:uiPriority w:val="0"/>
    <w:pPr>
      <w:spacing w:beforeLines="50" w:afterLines="50"/>
      <w:ind w:firstLine="200" w:firstLineChars="200"/>
    </w:pPr>
    <w:rPr>
      <w:color w:val="000000"/>
      <w:sz w:val="24"/>
    </w:rPr>
  </w:style>
  <w:style w:type="paragraph" w:customStyle="1" w:styleId="70">
    <w:name w:val="表体"/>
    <w:basedOn w:val="1"/>
    <w:qFormat/>
    <w:uiPriority w:val="0"/>
    <w:pPr>
      <w:spacing w:line="240" w:lineRule="auto"/>
    </w:pPr>
    <w:rPr>
      <w:sz w:val="21"/>
      <w:szCs w:val="21"/>
    </w:rPr>
  </w:style>
  <w:style w:type="paragraph" w:customStyle="1" w:styleId="71">
    <w:name w:val="【表中文字】"/>
    <w:basedOn w:val="1"/>
    <w:qFormat/>
    <w:uiPriority w:val="0"/>
    <w:pPr>
      <w:jc w:val="center"/>
    </w:pPr>
    <w:rPr>
      <w:szCs w:val="20"/>
    </w:rPr>
  </w:style>
  <w:style w:type="paragraph" w:customStyle="1" w:styleId="72">
    <w:name w:val="Normal (Web)1"/>
    <w:basedOn w:val="1"/>
    <w:next w:val="73"/>
    <w:qFormat/>
    <w:uiPriority w:val="0"/>
    <w:pPr>
      <w:widowControl/>
      <w:jc w:val="left"/>
    </w:pPr>
    <w:rPr>
      <w:rFonts w:ascii="宋体" w:cs="Times New Roman"/>
      <w:kern w:val="0"/>
      <w:sz w:val="24"/>
      <w:szCs w:val="21"/>
    </w:rPr>
  </w:style>
  <w:style w:type="paragraph" w:customStyle="1" w:styleId="73">
    <w:name w:val="Date1"/>
    <w:basedOn w:val="1"/>
    <w:next w:val="1"/>
    <w:qFormat/>
    <w:uiPriority w:val="0"/>
    <w:pPr>
      <w:ind w:left="2500" w:leftChars="2500"/>
    </w:pPr>
  </w:style>
  <w:style w:type="paragraph" w:customStyle="1" w:styleId="74">
    <w:name w:val="5正文"/>
    <w:qFormat/>
    <w:uiPriority w:val="0"/>
    <w:pPr>
      <w:widowControl w:val="0"/>
      <w:spacing w:line="52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75">
    <w:name w:val="03表段"/>
    <w:basedOn w:val="1"/>
    <w:qFormat/>
    <w:uiPriority w:val="0"/>
    <w:pPr>
      <w:wordWrap w:val="0"/>
      <w:topLinePunct/>
      <w:spacing w:line="240" w:lineRule="auto"/>
      <w:ind w:firstLine="720" w:firstLineChars="200"/>
      <w:jc w:val="left"/>
    </w:pPr>
    <w:rPr>
      <w:rFonts w:ascii="Times New Roman" w:hAnsi="Times New Roman" w:eastAsia="宋体" w:cs="Times New Roman"/>
      <w:color w:val="000000"/>
      <w:kern w:val="2"/>
      <w:sz w:val="21"/>
      <w:szCs w:val="21"/>
      <w:lang w:val="en-US" w:bidi="ar-SA"/>
    </w:rPr>
  </w:style>
  <w:style w:type="paragraph" w:customStyle="1" w:styleId="76">
    <w:name w:val="我的正文"/>
    <w:basedOn w:val="1"/>
    <w:qFormat/>
    <w:uiPriority w:val="0"/>
    <w:pPr>
      <w:adjustRightInd w:val="0"/>
      <w:snapToGrid w:val="0"/>
      <w:spacing w:line="480" w:lineRule="exact"/>
      <w:ind w:firstLine="720" w:firstLineChars="200"/>
      <w:jc w:val="left"/>
    </w:pPr>
    <w:rPr>
      <w:rFonts w:ascii="Times New Roman" w:hAnsi="Times New Roman" w:eastAsia="宋体" w:cs="宋体"/>
      <w:bCs/>
      <w:szCs w:val="21"/>
    </w:rPr>
  </w:style>
  <w:style w:type="paragraph" w:customStyle="1" w:styleId="77">
    <w:name w:val="论文正文"/>
    <w:basedOn w:val="8"/>
    <w:qFormat/>
    <w:uiPriority w:val="0"/>
    <w:pPr>
      <w:ind w:firstLine="480" w:firstLineChars="200"/>
    </w:pPr>
    <w:rPr>
      <w:rFonts w:ascii="宋体" w:hAnsi="宋体"/>
      <w:sz w:val="28"/>
      <w:szCs w:val="24"/>
    </w:rPr>
  </w:style>
  <w:style w:type="paragraph" w:customStyle="1" w:styleId="78">
    <w:name w:val="文本正文"/>
    <w:basedOn w:val="1"/>
    <w:qFormat/>
    <w:uiPriority w:val="99"/>
    <w:pPr>
      <w:spacing w:line="360" w:lineRule="auto"/>
      <w:ind w:firstLine="480" w:firstLineChars="200"/>
    </w:pPr>
    <w:rPr>
      <w:rFonts w:ascii="Times New Roman" w:hAnsi="Times New Roman"/>
      <w:sz w:val="24"/>
      <w:szCs w:val="20"/>
    </w:rPr>
  </w:style>
  <w:style w:type="paragraph" w:customStyle="1" w:styleId="79">
    <w:name w:val="表中文字"/>
    <w:basedOn w:val="59"/>
    <w:qFormat/>
    <w:uiPriority w:val="0"/>
    <w:pPr>
      <w:snapToGrid w:val="0"/>
      <w:spacing w:line="300" w:lineRule="exact"/>
      <w:jc w:val="center"/>
    </w:pPr>
    <w:rPr>
      <w:sz w:val="18"/>
      <w:szCs w:val="18"/>
    </w:rPr>
  </w:style>
  <w:style w:type="paragraph" w:customStyle="1" w:styleId="80">
    <w:name w:val="11111"/>
    <w:basedOn w:val="1"/>
    <w:next w:val="1"/>
    <w:qFormat/>
    <w:uiPriority w:val="0"/>
    <w:rPr>
      <w:rFonts w:hAnsi="宋体" w:cs="宋体"/>
    </w:rPr>
  </w:style>
  <w:style w:type="character" w:customStyle="1" w:styleId="81">
    <w:name w:val="01通用正文 Char"/>
    <w:link w:val="30"/>
    <w:qFormat/>
    <w:uiPriority w:val="0"/>
    <w:rPr>
      <w:rFonts w:hint="eastAsia"/>
    </w:rPr>
  </w:style>
  <w:style w:type="paragraph" w:customStyle="1" w:styleId="82">
    <w:name w:val="Char Char Char Char Char Char Char2"/>
    <w:basedOn w:val="1"/>
    <w:qFormat/>
    <w:uiPriority w:val="0"/>
    <w:pPr>
      <w:snapToGrid w:val="0"/>
      <w:spacing w:line="360" w:lineRule="auto"/>
      <w:ind w:firstLine="529" w:firstLineChars="200"/>
    </w:pPr>
    <w:rPr>
      <w:rFonts w:ascii="Times New Roman" w:hAnsi="Times New Roman" w:cs="Times New Roman"/>
      <w:szCs w:val="24"/>
    </w:rPr>
  </w:style>
  <w:style w:type="paragraph" w:customStyle="1" w:styleId="83">
    <w:name w:val="1级标题"/>
    <w:basedOn w:val="31"/>
    <w:next w:val="31"/>
    <w:qFormat/>
    <w:uiPriority w:val="0"/>
    <w:pPr>
      <w:ind w:firstLine="0" w:firstLineChars="0"/>
      <w:outlineLvl w:val="0"/>
    </w:pPr>
    <w:rPr>
      <w:b/>
      <w:sz w:val="36"/>
      <w:szCs w:val="44"/>
    </w:rPr>
  </w:style>
  <w:style w:type="paragraph" w:customStyle="1" w:styleId="84">
    <w:name w:val="报告样式"/>
    <w:basedOn w:val="1"/>
    <w:qFormat/>
    <w:uiPriority w:val="0"/>
    <w:pPr>
      <w:spacing w:line="460" w:lineRule="exact"/>
      <w:ind w:firstLine="200" w:firstLineChars="200"/>
      <w:jc w:val="left"/>
    </w:pPr>
    <w:rPr>
      <w:rFonts w:ascii="Times New Roman"/>
      <w:spacing w:val="20"/>
      <w:kern w:val="2"/>
      <w:szCs w:val="24"/>
    </w:rPr>
  </w:style>
  <w:style w:type="character" w:customStyle="1" w:styleId="85">
    <w:name w:val="【正文】 Char1"/>
    <w:qFormat/>
    <w:uiPriority w:val="0"/>
    <w:rPr>
      <w:rFonts w:ascii="Times New Roman" w:hAnsi="Times New Roman" w:eastAsia="宋体"/>
      <w:sz w:val="24"/>
    </w:rPr>
  </w:style>
  <w:style w:type="character" w:customStyle="1" w:styleId="86">
    <w:name w:val="apple-converted-space"/>
    <w:basedOn w:val="25"/>
    <w:qFormat/>
    <w:uiPriority w:val="0"/>
  </w:style>
  <w:style w:type="character" w:customStyle="1" w:styleId="87">
    <w:name w:val="标题 1 Char"/>
    <w:link w:val="5"/>
    <w:qFormat/>
    <w:uiPriority w:val="99"/>
    <w:rPr>
      <w:rFonts w:ascii="Times New Roman" w:hAnsi="Times New Roman" w:eastAsia="宋体"/>
      <w:b/>
      <w:bCs/>
      <w:kern w:val="44"/>
      <w:sz w:val="30"/>
      <w:szCs w:val="30"/>
    </w:rPr>
  </w:style>
  <w:style w:type="table" w:customStyle="1" w:styleId="88">
    <w:name w:val="Table Normal"/>
    <w:semiHidden/>
    <w:unhideWhenUsed/>
    <w:qFormat/>
    <w:uiPriority w:val="0"/>
    <w:tblPr>
      <w:tblCellMar>
        <w:top w:w="0" w:type="dxa"/>
        <w:left w:w="0" w:type="dxa"/>
        <w:bottom w:w="0" w:type="dxa"/>
        <w:right w:w="0" w:type="dxa"/>
      </w:tblCellMar>
    </w:tblPr>
  </w:style>
  <w:style w:type="paragraph" w:customStyle="1" w:styleId="89">
    <w:name w:val="C【表头】"/>
    <w:basedOn w:val="1"/>
    <w:qFormat/>
    <w:uiPriority w:val="0"/>
    <w:pPr>
      <w:widowControl/>
      <w:adjustRightInd w:val="0"/>
      <w:snapToGrid w:val="0"/>
      <w:jc w:val="center"/>
    </w:pPr>
    <w:rPr>
      <w:rFonts w:eastAsia="黑体" w:cs="宋体"/>
      <w:kern w:val="0"/>
      <w:szCs w:val="20"/>
    </w:rPr>
  </w:style>
  <w:style w:type="character" w:customStyle="1" w:styleId="90">
    <w:name w:val="0表格文字2 Char1"/>
    <w:link w:val="35"/>
    <w:qFormat/>
    <w:uiPriority w:val="0"/>
    <w:rPr>
      <w:rFonts w:ascii="Times New Roman" w:hAnsi="Times New Roman" w:eastAsia="宋体"/>
      <w:sz w:val="21"/>
    </w:rPr>
  </w:style>
  <w:style w:type="paragraph" w:customStyle="1" w:styleId="91">
    <w:name w:val="p0"/>
    <w:basedOn w:val="1"/>
    <w:qFormat/>
    <w:uiPriority w:val="0"/>
    <w:pPr>
      <w:widowControl/>
      <w:ind w:firstLine="0"/>
    </w:pPr>
    <w:rPr>
      <w:kern w:val="0"/>
      <w:sz w:val="21"/>
      <w:szCs w:val="21"/>
    </w:rPr>
  </w:style>
  <w:style w:type="paragraph" w:customStyle="1" w:styleId="92">
    <w:name w:val="表格正文"/>
    <w:basedOn w:val="1"/>
    <w:qFormat/>
    <w:uiPriority w:val="0"/>
    <w:pPr>
      <w:spacing w:line="320" w:lineRule="exact"/>
      <w:jc w:val="center"/>
    </w:pPr>
    <w:rPr>
      <w:rFonts w:cs="宋体"/>
    </w:rPr>
  </w:style>
  <w:style w:type="paragraph" w:customStyle="1" w:styleId="93">
    <w:name w:val="UserStyle_0"/>
    <w:basedOn w:val="94"/>
    <w:next w:val="95"/>
    <w:qFormat/>
    <w:uiPriority w:val="0"/>
    <w:pPr>
      <w:spacing w:line="360" w:lineRule="auto"/>
      <w:ind w:firstLine="480" w:firstLineChars="200"/>
      <w:jc w:val="both"/>
      <w:textAlignment w:val="baseline"/>
    </w:pPr>
    <w:rPr>
      <w:rFonts w:ascii="Calibri" w:hAnsi="Calibri" w:eastAsia="宋体"/>
      <w:kern w:val="2"/>
      <w:sz w:val="24"/>
      <w:szCs w:val="22"/>
      <w:lang w:val="en-US" w:eastAsia="zh-CN" w:bidi="ar-SA"/>
    </w:rPr>
  </w:style>
  <w:style w:type="paragraph" w:customStyle="1" w:styleId="94">
    <w:name w:val="UserStyle_1"/>
    <w:basedOn w:val="1"/>
    <w:next w:val="1"/>
    <w:qFormat/>
    <w:uiPriority w:val="0"/>
    <w:pPr>
      <w:spacing w:after="120"/>
      <w:jc w:val="both"/>
      <w:textAlignment w:val="baseline"/>
    </w:pPr>
  </w:style>
  <w:style w:type="paragraph" w:customStyle="1" w:styleId="95">
    <w:name w:val="TOC1"/>
    <w:basedOn w:val="1"/>
    <w:next w:val="1"/>
    <w:qFormat/>
    <w:uiPriority w:val="0"/>
    <w:pPr>
      <w:spacing w:line="360" w:lineRule="auto"/>
      <w:jc w:val="both"/>
      <w:textAlignment w:val="baseline"/>
    </w:pPr>
    <w:rPr>
      <w:rFonts w:ascii="Calibri" w:hAnsi="Calibri" w:eastAsia="宋体"/>
      <w:b/>
      <w:kern w:val="2"/>
      <w:sz w:val="24"/>
      <w:szCs w:val="22"/>
      <w:lang w:val="en-US" w:eastAsia="zh-CN" w:bidi="ar-SA"/>
    </w:rPr>
  </w:style>
  <w:style w:type="paragraph" w:customStyle="1" w:styleId="96">
    <w:name w:val="表头和图片"/>
    <w:basedOn w:val="12"/>
    <w:next w:val="1"/>
    <w:qFormat/>
    <w:uiPriority w:val="0"/>
    <w:pPr>
      <w:spacing w:line="480" w:lineRule="exact"/>
      <w:jc w:val="center"/>
    </w:pPr>
    <w:rPr>
      <w:rFonts w:ascii="Times New Roman" w:hAnsi="Times New Roman" w:eastAsia="黑体"/>
      <w:b/>
    </w:rPr>
  </w:style>
  <w:style w:type="character" w:customStyle="1" w:styleId="97">
    <w:name w:val="0表格文字 Char"/>
    <w:link w:val="34"/>
    <w:qFormat/>
    <w:uiPriority w:val="0"/>
    <w:rPr>
      <w:rFonts w:ascii="Times New Roman" w:hAnsi="Times New Roman" w:eastAsia="宋体" w:cs="宋体"/>
      <w:color w:val="000000"/>
      <w:sz w:val="21"/>
      <w:szCs w:val="21"/>
    </w:rPr>
  </w:style>
  <w:style w:type="paragraph" w:customStyle="1" w:styleId="98">
    <w:name w:val="Default1"/>
    <w:basedOn w:val="99"/>
    <w:next w:val="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99">
    <w:name w:val="Normal_14_0"/>
    <w:qFormat/>
    <w:uiPriority w:val="0"/>
    <w:pPr>
      <w:spacing w:before="120" w:after="240"/>
      <w:jc w:val="both"/>
    </w:pPr>
    <w:rPr>
      <w:rFonts w:ascii="Calibri" w:hAnsi="Calibri" w:eastAsia="Calibri" w:cs="Times New Roman"/>
      <w:sz w:val="22"/>
      <w:szCs w:val="22"/>
      <w:lang w:val="ru-RU" w:eastAsia="en-US" w:bidi="ar-SA"/>
    </w:rPr>
  </w:style>
  <w:style w:type="character" w:customStyle="1" w:styleId="100">
    <w:name w:val="_Style 4 Char"/>
    <w:link w:val="101"/>
    <w:qFormat/>
    <w:uiPriority w:val="0"/>
    <w:rPr>
      <w:rFonts w:ascii="Times New Roman" w:hAnsi="Times New Roman" w:eastAsia="宋体" w:cs="Times New Roman"/>
      <w:kern w:val="2"/>
      <w:sz w:val="24"/>
      <w:szCs w:val="21"/>
      <w:lang w:val="en-US" w:eastAsia="zh-CN" w:bidi="ar-SA"/>
    </w:rPr>
  </w:style>
  <w:style w:type="paragraph" w:customStyle="1" w:styleId="101">
    <w:name w:val="_Style 4"/>
    <w:link w:val="100"/>
    <w:autoRedefine/>
    <w:qFormat/>
    <w:uiPriority w:val="0"/>
    <w:pPr>
      <w:widowControl w:val="0"/>
      <w:ind w:firstLine="200" w:firstLineChars="200"/>
      <w:jc w:val="both"/>
    </w:pPr>
    <w:rPr>
      <w:rFonts w:ascii="Times New Roman" w:hAnsi="Times New Roman" w:eastAsia="宋体" w:cs="Times New Roman"/>
      <w:kern w:val="2"/>
      <w:sz w:val="24"/>
      <w:szCs w:val="21"/>
      <w:lang w:val="en-US" w:eastAsia="zh-CN" w:bidi="ar-SA"/>
    </w:rPr>
  </w:style>
  <w:style w:type="paragraph" w:customStyle="1" w:styleId="102">
    <w:name w:val="报告表正文"/>
    <w:basedOn w:val="103"/>
    <w:autoRedefine/>
    <w:qFormat/>
    <w:uiPriority w:val="0"/>
    <w:pPr>
      <w:adjustRightInd w:val="0"/>
      <w:spacing w:line="312" w:lineRule="auto"/>
      <w:ind w:left="113" w:right="113" w:firstLine="482"/>
      <w:jc w:val="left"/>
      <w:textAlignment w:val="baseline"/>
    </w:pPr>
    <w:rPr>
      <w:kern w:val="0"/>
      <w:sz w:val="24"/>
      <w:szCs w:val="20"/>
    </w:rPr>
  </w:style>
  <w:style w:type="paragraph" w:customStyle="1" w:styleId="103">
    <w:name w:val="CM4"/>
    <w:basedOn w:val="1"/>
    <w:next w:val="1"/>
    <w:qFormat/>
    <w:uiPriority w:val="0"/>
    <w:pPr>
      <w:keepNext/>
      <w:spacing w:line="520" w:lineRule="exact"/>
      <w:jc w:val="center"/>
    </w:pPr>
    <w:rPr>
      <w:rFonts w:ascii="Times New Roman" w:hAnsi="Times New Roman" w:eastAsia="宋体" w:cs="Times New Roman"/>
      <w:b/>
      <w:kern w:val="0"/>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3" Type="http://schemas.openxmlformats.org/officeDocument/2006/relationships/fontTable" Target="fontTable.xml"/><Relationship Id="rId72" Type="http://schemas.microsoft.com/office/2006/relationships/keyMapCustomizations" Target="customizations.xml"/><Relationship Id="rId71" Type="http://schemas.openxmlformats.org/officeDocument/2006/relationships/customXml" Target="../customXml/item2.xml"/><Relationship Id="rId70" Type="http://schemas.openxmlformats.org/officeDocument/2006/relationships/numbering" Target="numbering.xml"/><Relationship Id="rId7" Type="http://schemas.openxmlformats.org/officeDocument/2006/relationships/footer" Target="footer2.xml"/><Relationship Id="rId69" Type="http://schemas.openxmlformats.org/officeDocument/2006/relationships/customXml" Target="../customXml/item1.xml"/><Relationship Id="rId68" Type="http://schemas.openxmlformats.org/officeDocument/2006/relationships/image" Target="media/image51.jpe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jpeg"/><Relationship Id="rId6" Type="http://schemas.openxmlformats.org/officeDocument/2006/relationships/header" Target="header1.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jpeg"/><Relationship Id="rId5" Type="http://schemas.openxmlformats.org/officeDocument/2006/relationships/footer" Target="footer1.xml"/><Relationship Id="rId49" Type="http://schemas.openxmlformats.org/officeDocument/2006/relationships/image" Target="media/image32.jpeg"/><Relationship Id="rId48" Type="http://schemas.openxmlformats.org/officeDocument/2006/relationships/image" Target="media/image31.jpeg"/><Relationship Id="rId47" Type="http://schemas.openxmlformats.org/officeDocument/2006/relationships/image" Target="media/image30.jpeg"/><Relationship Id="rId46" Type="http://schemas.openxmlformats.org/officeDocument/2006/relationships/image" Target="media/image29.pn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endnotes" Target="endnotes.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jpeg"/><Relationship Id="rId17" Type="http://schemas.openxmlformats.org/officeDocument/2006/relationships/theme" Target="theme/theme1.xml"/><Relationship Id="rId16" Type="http://schemas.openxmlformats.org/officeDocument/2006/relationships/footer" Target="footer8.xml"/><Relationship Id="rId15" Type="http://schemas.openxmlformats.org/officeDocument/2006/relationships/header" Target="header4.xml"/><Relationship Id="rId14" Type="http://schemas.openxmlformats.org/officeDocument/2006/relationships/footer" Target="footer7.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header" Target="header2.xml"/><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c4151a30-c0fb-424a-89b2-18caed8600ee</errorID>
      <errorWord>国家发改委</errorWord>
      <group>L1_Knowledge</group>
      <groupName>知识性问题</groupName>
      <ability>L2_Knowledge</ability>
      <abilityName>其他知识</abilityName>
      <candidateList>
        <item>国家发展改革委</item>
      </candidateList>
      <explain/>
      <paraID>2EA5FBB1</paraID>
      <start>2</start>
      <end>7</end>
      <status>unmodified</status>
      <modifiedWord/>
      <trackRevisions>false</trackRevisions>
    </reviewItem>
    <reviewItem>
      <errorID>606a0c30-e3a9-4037-aeed-b14422319792</errorID>
      <errorWord>会</errorWord>
      <group>L1_Word</group>
      <groupName>字词问题</groupName>
      <ability>L2_Typo</ability>
      <abilityName>字词错误</abilityName>
      <candidateList>
        <item>会对</item>
      </candidateList>
      <explain/>
      <paraID>1618006E</paraID>
      <start>4</start>
      <end>5</end>
      <status>unmodified</status>
      <modifiedWord/>
      <trackRevisions>false</trackRevisions>
    </reviewItem>
    <reviewItem>
      <errorID>d090494c-826f-4374-beff-e3c5c5b77908</errorID>
      <errorWord>地表水</errorWord>
      <group>L1_Word</group>
      <groupName>字词问题</groupName>
      <ability>L2_Typo</ability>
      <abilityName>字词错误</abilityName>
      <candidateList>
        <item>对地表水</item>
      </candidateList>
      <explain/>
      <paraID>1618006E</paraID>
      <start>5</start>
      <end>8</end>
      <status>unmodified</status>
      <modifiedWord/>
      <trackRevisions>false</trackRevisions>
    </reviewItem>
    <reviewItem>
      <errorID>bfe3c683-b4f0-479e-aa8a-f532ce36b52f</errorID>
      <errorWord>(</errorWord>
      <group>L1_Format</group>
      <groupName>格式问题</groupName>
      <ability>L2_HalfPunc</ability>
      <abilityName>全半角检查</abilityName>
      <candidateList>
        <item>（</item>
      </candidateList>
      <explain>文本全半角错误。</explain>
      <paraID>  EA2790</paraID>
      <start>38</start>
      <end>39</end>
      <status>unmodified</status>
      <modifiedWord/>
      <trackRevisions>false</trackRevisions>
    </reviewItem>
    <reviewItem>
      <errorID>157886c6-7459-4adf-86df-be26e9d939ab</errorID>
      <errorWord>)</errorWord>
      <group>L1_Format</group>
      <groupName>格式问题</groupName>
      <ability>L2_HalfPunc</ability>
      <abilityName>全半角检查</abilityName>
      <candidateList>
        <item>）</item>
      </candidateList>
      <explain>文本全半角错误。</explain>
      <paraID>  EA2790</paraID>
      <start>42</start>
      <end>43</end>
      <status>unmodified</status>
      <modifiedWord/>
      <trackRevisions>false</trackRevisions>
    </reviewItem>
    <reviewItem>
      <errorID>5e8fd3a1-99c5-457d-8da8-879b7c5fc77c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18C498D0</paraID>
      <start>63</start>
      <end>64</end>
      <status>unmodified</status>
      <modifiedWord/>
      <trackRevisions>false</trackRevisions>
    </reviewItem>
    <reviewItem>
      <errorID>a87d956b-c3e3-422e-b4ee-1c6d38287b60</errorID>
      <errorWord>。</errorWord>
      <group>L1_Punc</group>
      <groupName>标点问题</groupName>
      <ability>L2_Punc</ability>
      <abilityName>标点符号检查</abilityName>
      <candidateList>
        <item>；</item>
      </candidateList>
      <explain/>
      <paraID>14A6FCEB</paraID>
      <start>171</start>
      <end>172</end>
      <status>unmodified</status>
      <modifiedWord/>
      <trackRevisions>false</trackRevisions>
    </reviewItem>
    <reviewItem>
      <errorID>38cdc56f-515c-4bf2-8e9b-f44e0ac3c72c</errorID>
      <errorWord>“</errorWord>
      <group>L1_Punc</group>
      <groupName>标点问题</groupName>
      <ability>L2_Punc</ability>
      <abilityName>标点符号检查</abilityName>
      <candidateList>
        <item>‘</item>
      </candidateList>
      <explain>当引号中还需要使用引号时，外面一层用双引号，里面一层用单引号。</explain>
      <paraID>14A6FCEB</paraID>
      <start>197</start>
      <end>198</end>
      <status>unmodified</status>
      <modifiedWord/>
      <trackRevisions>false</trackRevisions>
    </reviewItem>
    <reviewItem>
      <errorID>17dbb21c-944b-4024-beec-c345dc2e5e14</errorID>
      <errorWord>”</errorWord>
      <group>L1_Punc</group>
      <groupName>标点问题</groupName>
      <ability>L2_Punc</ability>
      <abilityName>标点符号检查</abilityName>
      <candidateList>
        <item>’</item>
      </candidateList>
      <explain>当引号中还需要使用引号时，外面一层用双引号，里面一层用单引号。</explain>
      <paraID>14A6FCEB</paraID>
      <start>200</start>
      <end>201</end>
      <status>unmodified</status>
      <modifiedWord/>
      <trackRevisions>false</trackRevisions>
    </reviewItem>
    <reviewItem>
      <errorID>4f2b6dd1-0983-4303-be64-ceda270d285c</errorID>
      <errorWord>危险废弃物</errorWord>
      <group>L1_Word</group>
      <groupName>字词问题</groupName>
      <ability>L2_Typo</ability>
      <abilityName>字词错误</abilityName>
      <candidateList>
        <item>危险废物</item>
      </candidateList>
      <explain/>
      <paraID>14A6FCEB</paraID>
      <start>250</start>
      <end>255</end>
      <status>unmodified</status>
      <modifiedWord/>
      <trackRevisions>false</trackRevisions>
    </reviewItem>
    <reviewItem>
      <errorID>5738d15d-a9c6-4078-a586-9caf40449af2</errorID>
      <errorWord>其它</errorWord>
      <group>L1_Word</group>
      <groupName>字词问题</groupName>
      <ability>L2_Typo</ability>
      <abilityName>字词错误</abilityName>
      <candidateList>
        <item>其他</item>
      </candidateList>
      <explain/>
      <paraID>7FFBB175</paraID>
      <start>375</start>
      <end>377</end>
      <status>unmodified</status>
      <modifiedWord/>
      <trackRevisions>false</trackRevisions>
    </reviewItem>
    <reviewItem>
      <errorID>a8f655a0-4536-434e-a390-1d78741f7f48</errorID>
      <errorWord>2）3</errorWord>
      <group>L1_Grammar</group>
      <groupName>语法问题</groupName>
      <ability>L2_Grammar</ability>
      <abilityName>语法错误</abilityName>
      <candidateList>
        <item>2</item>
      </candidateList>
      <explain/>
      <paraID>7FFBB175</paraID>
      <start>671</start>
      <end>674</end>
      <status>unmodified</status>
      <modifiedWord/>
      <trackRevisions>false</trackRevisions>
    </reviewItem>
    <reviewItem>
      <errorID>7ece80e6-2ec1-448d-a26a-b6d6cef75f67</errorID>
      <errorWord>”</errorWord>
      <group>L1_Punc</group>
      <groupName>标点问题</groupName>
      <ability>L2_Punc</ability>
      <abilityName>标点符号检查</abilityName>
      <candidateList>
        <item>“</item>
      </candidateList>
      <explain>注意检查双引号的方向是否正确。</explain>
      <paraID>7FFBB175</paraID>
      <start>723</start>
      <end>724</end>
      <status>unmodified</status>
      <modifiedWord/>
      <trackRevisions>false</trackRevisions>
    </reviewItem>
    <reviewItem>
      <errorID>d0b0eb4c-ae37-4b57-bdd0-c2875494cab1</errorID>
      <errorWord>(</errorWord>
      <group>L1_Format</group>
      <groupName>格式问题</groupName>
      <ability>L2_HalfPunc</ability>
      <abilityName>全半角检查</abilityName>
      <candidateList>
        <item>（</item>
      </candidateList>
      <explain>文本全半角错误。</explain>
      <paraID>7FFBB175</paraID>
      <start>1105</start>
      <end>1106</end>
      <status>unmodified</status>
      <modifiedWord/>
      <trackRevisions>false</trackRevisions>
    </reviewItem>
    <reviewItem>
      <errorID>2ca3cd9e-a80a-4b49-9acc-876181baf9cc</errorID>
      <errorWord>)</errorWord>
      <group>L1_Format</group>
      <groupName>格式问题</groupName>
      <ability>L2_HalfPunc</ability>
      <abilityName>全半角检查</abilityName>
      <candidateList>
        <item>）</item>
      </candidateList>
      <explain>文本全半角错误。</explain>
      <paraID>7FFBB175</paraID>
      <start>1108</start>
      <end>1109</end>
      <status>unmodified</status>
      <modifiedWord/>
      <trackRevisions>false</trackRevisions>
    </reviewItem>
    <reviewItem>
      <errorID>893d2665-19a6-40cc-bd4f-f739cf8e12ce</errorID>
      <errorWord>三氟乙烷</errorWord>
      <group>L1_Knowledge</group>
      <groupName>知识性问题</groupName>
      <ability>L2_Term</ability>
      <abilityName>专业术语</abilityName>
      <candidateList>
        <item>氟烷</item>
      </candidateList>
      <explain>医学名词[三氟乙烷]为不规范表述或旧称，其规范书面表述为[氟烷]。</explain>
      <paraID>7FFBB175</paraID>
      <start>1207</start>
      <end>1211</end>
      <status>unmodified</status>
      <modifiedWord/>
      <trackRevisions>false</trackRevisions>
    </reviewItem>
    <reviewItem>
      <errorID>93432d10-9415-4e8e-b9e7-9ed69d25cf42</errorID>
      <errorWord>预</errorWord>
      <group>L1_Word</group>
      <groupName>字词问题</groupName>
      <ability>L2_Typo</ability>
      <abilityName>字词错误</abilityName>
      <candidateList>
        <item>预警</item>
      </candidateList>
      <explain/>
      <paraID>2212F221</paraID>
      <start>360</start>
      <end>361</end>
      <status>unmodified</status>
      <modifiedWord/>
      <trackRevisions>false</trackRevisions>
    </reviewItem>
    <reviewItem>
      <errorID>e9648468-7a36-4f84-8c6a-6be8687ae953</errorID>
      <errorWord>“</errorWord>
      <group>L1_Punc</group>
      <groupName>标点问题</groupName>
      <ability>L2_Punc</ability>
      <abilityName>标点符号检查</abilityName>
      <candidateList>
        <item>‘</item>
      </candidateList>
      <explain>当引号中还需要使用引号时，外面一层用双引号，里面一层用单引号。</explain>
      <paraID>6B96A347</paraID>
      <start>664</start>
      <end>665</end>
      <status>unmodified</status>
      <modifiedWord/>
      <trackRevisions>false</trackRevisions>
    </reviewItem>
    <reviewItem>
      <errorID>26a8b5c1-b03c-4ab3-8459-1f4a811dbad6</errorID>
      <errorWord>”</errorWord>
      <group>L1_Punc</group>
      <groupName>标点问题</groupName>
      <ability>L2_Punc</ability>
      <abilityName>标点符号检查</abilityName>
      <candidateList>
        <item>’</item>
      </candidateList>
      <explain>当引号中还需要使用引号时，外面一层用双引号，里面一层用单引号。</explain>
      <paraID>6B96A347</paraID>
      <start>672</start>
      <end>673</end>
      <status>unmodified</status>
      <modifiedWord/>
      <trackRevisions>false</trackRevisions>
    </reviewItem>
    <reviewItem>
      <errorID>cb37fec8-ae98-4954-bf4b-4f22fb81953f</errorID>
      <errorWord>输</errorWord>
      <group>L1_Punc</group>
      <groupName>标点问题</groupName>
      <ability>L2_Punc</ability>
      <abilityName>标点符号检查</abilityName>
      <candidateList>
        <item>，输</item>
      </candidateList>
      <explain/>
      <paraID>177DC416</paraID>
      <start>12</start>
      <end>13</end>
      <status>unmodified</status>
      <modifiedWord/>
      <trackRevisions>false</trackRevisions>
    </reviewItem>
    <reviewItem>
      <errorID>d63536b4-05ff-4cc2-8672-481c63a7fa55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14E923C5</paraID>
      <start>63</start>
      <end>64</end>
      <status>unmodified</status>
      <modifiedWord/>
      <trackRevisions>false</trackRevisions>
    </reviewItem>
    <reviewItem>
      <errorID>0d86d335-d659-4945-a872-84b109f0289d</errorID>
      <errorWord>-</errorWord>
      <group>L1_Format</group>
      <groupName>格式问题</groupName>
      <ability>L2_HalfPunc</ability>
      <abilityName>全半角检查</abilityName>
      <candidateList>
        <item>－</item>
      </candidateList>
      <explain>文本全半角错误。</explain>
      <paraID>206E0A7E</paraID>
      <start>240</start>
      <end>241</end>
      <status>unmodified</status>
      <modifiedWord/>
      <trackRevisions>false</trackRevisions>
    </reviewItem>
    <reviewItem>
      <errorID>74445dc5-572d-4e53-bdf9-2095fae18c87</errorID>
      <errorWord>生物多样性维护</errorWord>
      <group>L1_Political</group>
      <groupName>政治性问题</groupName>
      <ability>L2_Keyword</ability>
      <abilityName>固定表述</abilityName>
      <candidateList>
        <item>生物多样性保护</item>
      </candidateList>
      <explain>词汇“生物多样性保护”在特定场景下为固定表述形式，请确认此处的“生物多样性维护”是否存在不当。</explain>
      <paraID>206E0A7E</paraID>
      <start>252</start>
      <end>259</end>
      <status>unmodified</status>
      <modifiedWord/>
      <trackRevisions>false</trackRevisions>
    </reviewItem>
    <reviewItem>
      <errorID>8d6273b3-39ea-4a91-95ac-a45b315049d1</errorID>
      <errorWord> </errorWord>
      <group>L1_Punc</group>
      <groupName>标点问题</groupName>
      <ability>L2_Punc</ability>
      <abilityName>标点符号检查</abilityName>
      <candidateList>
        <item>，</item>
      </candidateList>
      <explain/>
      <paraID>77161D10</paraID>
      <start>21</start>
      <end>22</end>
      <status>unmodified</status>
      <modifiedWord/>
      <trackRevisions>false</trackRevisions>
    </reviewItem>
    <reviewItem>
      <errorID>5fde0260-4015-4e70-8ae6-7bbfeb01f0b7</errorID>
      <errorWord>在</errorWord>
      <group>L1_Punc</group>
      <groupName>标点问题</groupName>
      <ability>L2_Punc</ability>
      <abilityName>标点符号检查</abilityName>
      <candidateList>
        <item>，在</item>
      </candidateList>
      <explain/>
      <paraID>2470C789</paraID>
      <start>5</start>
      <end>6</end>
      <status>unmodified</status>
      <modifiedWord/>
      <trackRevisions>false</trackRevisions>
    </reviewItem>
    <reviewItem>
      <errorID>2444797f-d738-41b4-af87-439c09cb5e51</errorID>
      <errorWord>水泥</errorWord>
      <group>L1_Word</group>
      <groupName>字词问题</groupName>
      <ability>L2_Typo</ability>
      <abilityName>字词错误</abilityName>
      <candidateList>
        <item>将水泥</item>
      </candidateList>
      <explain/>
      <paraID>7C93E113</paraID>
      <start>3</start>
      <end>5</end>
      <status>unmodified</status>
      <modifiedWord/>
      <trackRevisions>false</trackRevisions>
    </reviewItem>
    <reviewItem>
      <errorID>e8b86f26-fbe8-4271-9e9a-9284ea08c2b1</errorID>
      <errorWord>。</errorWord>
      <group>L1_Punc</group>
      <groupName>标点问题</groupName>
      <ability>L2_Punc</ability>
      <abilityName>标点符号检查</abilityName>
      <candidateList>
        <item>，</item>
      </candidateList>
      <explain/>
      <paraID>7C93E113</paraID>
      <start>46</start>
      <end>47</end>
      <status>unmodified</status>
      <modifiedWord/>
      <trackRevisions>false</trackRevisions>
    </reviewItem>
    <reviewItem>
      <errorID>81f5513d-81e5-4163-9831-55329becd97d</errorID>
      <errorWord>终端用能清洁化</errorWord>
      <group>L1_Political</group>
      <groupName>政治性问题</groupName>
      <ability>L2_Keyword</ability>
      <abilityName>固定表述</abilityName>
      <candidateList>
        <item>终端用能电气化</item>
      </candidateList>
      <explain>词汇“终端用能电气化”在特定场景下为固定表述形式，请确认此处的“终端用能清洁化”是否存在不当。</explain>
      <paraID> 90D059B</paraID>
      <start>229</start>
      <end>236</end>
      <status>unmodified</status>
      <modifiedWord/>
      <trackRevisions>false</trackRevisions>
    </reviewItem>
    <reviewItem>
      <errorID>4a85b470-b8e3-4593-824e-c27fa2816c9b</errorID>
      <errorWord>城乡结合部</errorWord>
      <group>L1_Word</group>
      <groupName>字词问题</groupName>
      <ability>L2_Typo</ability>
      <abilityName>字词错误</abilityName>
      <candidateList>
        <item>城乡接合部</item>
      </candidateList>
      <explain/>
      <paraID> 90D059B</paraID>
      <start>535</start>
      <end>540</end>
      <status>unmodified</status>
      <modifiedWord/>
      <trackRevisions>false</trackRevisions>
    </reviewItem>
    <reviewItem>
      <errorID>37a5d804-cbc7-4b55-8da3-11c36779eb2c</errorID>
      <errorWord>，</errorWord>
      <group>L1_Word</group>
      <groupName>字词问题</groupName>
      <ability>L2_Typo</ability>
      <abilityName>字词错误</abilityName>
      <candidateList>
        <item>，对</item>
      </candidateList>
      <explain/>
      <paraID> 90D059B</paraID>
      <start>551</start>
      <end>552</end>
      <status>unmodified</status>
      <modifiedWord/>
      <trackRevisions>false</trackRevisions>
    </reviewItem>
    <reviewItem>
      <errorID>958aedd0-3dbe-4e8c-95bb-648d743a298e</errorID>
      <errorWord>）中，</errorWord>
      <group>L1_Grammar</group>
      <groupName>语法问题</groupName>
      <ability>L2_Grammar</ability>
      <abilityName>语法错误</abilityName>
      <candidateList>
        <item>）</item>
      </candidateList>
      <explain/>
      <paraID>69F2B97E</paraID>
      <start>48</start>
      <end>51</end>
      <status>unmodified</status>
      <modifiedWord/>
      <trackRevisions>false</trackRevisions>
    </reviewItem>
    <reviewItem>
      <errorID>758aeacf-6355-4559-a460-b50972248b29</errorID>
      <errorWord>之一</errorWord>
      <group>L1_Punc</group>
      <groupName>标点问题</groupName>
      <ability>L2_Punc</ability>
      <abilityName>标点符号检查</abilityName>
      <candidateList>
        <item>之一：</item>
      </candidateList>
      <explain/>
      <paraID>750DBFFE</paraID>
      <start>17</start>
      <end>19</end>
      <status>unmodified</status>
      <modifiedWord/>
      <trackRevisions>false</trackRevisions>
    </reviewItem>
    <reviewItem>
      <errorID>8db7fb75-ce59-451b-9fb3-3f36312a5225</errorID>
      <errorWord>装</errorWord>
      <group>L1_Word</group>
      <groupName>字词问题</groupName>
      <ability>L2_Typo</ability>
      <abilityName>字词错误</abilityName>
      <candidateList>
        <item>装卸</item>
      </candidateList>
      <explain/>
      <paraID> 132AE7E</paraID>
      <start>15</start>
      <end>16</end>
      <status>unmodified</status>
      <modifiedWord/>
      <trackRevisions>false</trackRevisions>
    </reviewItem>
    <reviewItem>
      <errorID>7badf8ef-7db3-4f71-859d-ee6a8b1f4b6b</errorID>
      <errorWord>（</errorWord>
      <group>L1_Punc</group>
      <groupName>标点问题</groupName>
      <ability>L2_Punc</ability>
      <abilityName>标点符号检查</abilityName>
      <candidateList/>
      <explain>同一形式括号套用。</explain>
      <paraID>4720C160</paraID>
      <start>48</start>
      <end>49</end>
      <status>unmodified</status>
      <modifiedWord/>
      <trackRevisions>false</trackRevisions>
    </reviewItem>
    <reviewItem>
      <errorID>4d0490fc-f4cb-4edf-b559-c6e3b01d0f99</errorID>
      <errorWord>）</errorWord>
      <group>L1_Punc</group>
      <groupName>标点问题</groupName>
      <ability>L2_Punc</ability>
      <abilityName>标点符号检查</abilityName>
      <candidateList/>
      <explain>同一形式括号套用。</explain>
      <paraID>4720C160</paraID>
      <start>50</start>
      <end>51</end>
      <status>unmodified</status>
      <modifiedWord/>
      <trackRevisions>false</trackRevisions>
    </reviewItem>
    <reviewItem>
      <errorID>17ea8a1a-c6a9-4fab-a574-41e6c09dc2ce</errorID>
      <errorWord>加工与</errorWord>
      <group>L1_Word</group>
      <groupName>字词问题</groupName>
      <ability>L2_Typo</ability>
      <abilityName>字词错误</abilityName>
      <candidateList>
        <item>加工</item>
      </candidateList>
      <explain/>
      <paraID>4720C160</paraID>
      <start>63</start>
      <end>66</end>
      <status>unmodified</status>
      <modifiedWord/>
      <trackRevisions>false</trackRevisions>
    </reviewItem>
    <reviewItem>
      <errorID>6570cba7-f3cf-4208-9bfa-184e799a63fa</errorID>
      <errorWord>处理密闭</errorWord>
      <group>L1_Word</group>
      <groupName>字词问题</groupName>
      <ability>L2_Typo</ability>
      <abilityName>字词错误</abilityName>
      <candidateList>
        <item>密闭处理</item>
      </candidateList>
      <explain/>
      <paraID>4720C160</paraID>
      <start>81</start>
      <end>85</end>
      <status>unmodified</status>
      <modifiedWord/>
      <trackRevisions>false</trackRevisions>
    </reviewItem>
    <reviewItem>
      <errorID>93980d72-8154-4342-a1ed-feaa23b44245</errorID>
      <errorWord>塇湿</errorWord>
      <group>L1_Word</group>
      <groupName>字词问题</groupName>
      <ability>L2_Typo</ability>
      <abilityName>字词错误</abilityName>
      <candidateList>
        <item>增湿</item>
      </candidateList>
      <explain/>
      <paraID>4720C160</paraID>
      <start>99</start>
      <end>99</end>
      <status>unmodified</status>
      <modifiedWord/>
      <trackRevisions>false</trackRevisions>
    </reviewItem>
    <reviewItem>
      <errorID>1924d6cc-b7e1-44c8-b6fc-28951a513170</errorID>
      <errorWord>噪音</errorWord>
      <group>L1_Word</group>
      <groupName>字词问题</groupName>
      <ability>L2_Alias</ability>
      <abilityName>也作/曾用词</abilityName>
      <candidateList>
        <item>噪声</item>
      </candidateList>
      <explain>词汇[噪音]为不规范表述或旧称，其规范书面表述为[噪声]。</explain>
      <paraID>5CE345CD</paraID>
      <start>21</start>
      <end>23</end>
      <status>unmodified</status>
      <modifiedWord/>
      <trackRevisions>false</trackRevisions>
    </reviewItem>
    <reviewItem>
      <errorID>8a1f8786-43e3-439c-94ad-a473b10ed260</errorID>
      <errorWord>进入</errorWord>
      <group>L1_Punc</group>
      <groupName>标点问题</groupName>
      <ability>L2_Punc</ability>
      <abilityName>标点符号检查</abilityName>
      <candidateList>
        <item>，进入</item>
      </candidateList>
      <explain/>
      <paraID>3E202A3F</paraID>
      <start>111</start>
      <end>113</end>
      <status>unmodified</status>
      <modifiedWord/>
      <trackRevisions>false</trackRevisions>
    </reviewItem>
    <reviewItem>
      <errorID>56d2dd26-a80a-4e43-b3ea-db23fb0b151a</errorID>
      <errorWord>，</errorWord>
      <group>L1_Punc</group>
      <groupName>标点问题</groupName>
      <ability>L2_Punc</ability>
      <abilityName>标点符号检查</abilityName>
      <candidateList>
        <item>；</item>
      </candidateList>
      <explain/>
      <paraID>3E202A3F</paraID>
      <start>115</start>
      <end>116</end>
      <status>unmodified</status>
      <modifiedWord/>
      <trackRevisions>false</trackRevisions>
    </reviewItem>
    <reviewItem>
      <errorID>00483a11-6132-417e-91ce-29dbf4642ea8</errorID>
      <errorWord>后</errorWord>
      <group>L1_Word</group>
      <groupName>字词问题</groupName>
      <ability>L2_Typo</ability>
      <abilityName>字词错误</abilityName>
      <candidateList>
        <item>，</item>
      </candidateList>
      <explain/>
      <paraID>3E202A3F</paraID>
      <start>136</start>
      <end>137</end>
      <status>unmodified</status>
      <modifiedWord/>
      <trackRevisions>false</trackRevisions>
    </reviewItem>
    <reviewItem>
      <errorID>1710df2d-60f0-4798-ac97-eae485c31701</errorID>
      <errorWord>，</errorWord>
      <group>L1_Punc</group>
      <groupName>标点问题</groupName>
      <ability>L2_Punc</ability>
      <abilityName>标点符号检查</abilityName>
      <candidateList>
        <item>；</item>
      </candidateList>
      <explain/>
      <paraID>3E202A3F</paraID>
      <start>145</start>
      <end>146</end>
      <status>unmodified</status>
      <modifiedWord/>
      <trackRevisions>false</trackRevisions>
    </reviewItem>
    <reviewItem>
      <errorID>cc905b23-04dd-4932-bf2b-bb8c2e9efcf8</errorID>
      <errorWord>后</errorWord>
      <group>L1_Word</group>
      <groupName>字词问题</groupName>
      <ability>L2_Typo</ability>
      <abilityName>字词错误</abilityName>
      <candidateList>
        <item>，</item>
      </candidateList>
      <explain/>
      <paraID>3E202A3F</paraID>
      <start>208</start>
      <end>209</end>
      <status>unmodified</status>
      <modifiedWord/>
      <trackRevisions>false</trackRevisions>
    </reviewItem>
    <reviewItem>
      <errorID>3ef732f5-a846-495b-8fe4-ea52f94fa8ab</errorID>
      <errorWord>、</errorWord>
      <group>L1_Punc</group>
      <groupName>标点问题</groupName>
      <ability>L2_Punc</ability>
      <abilityName>标点符号检查</abilityName>
      <candidateList>
        <item>，</item>
      </candidateList>
      <explain/>
      <paraID>3E202A3F</paraID>
      <start>238</start>
      <end>239</end>
      <status>unmodified</status>
      <modifiedWord/>
      <trackRevisions>false</trackRevisions>
    </reviewItem>
    <reviewItem>
      <errorID>d01c90a5-930b-4709-8ba1-403bc1851eae</errorID>
      <errorWord>车辆厂</errorWord>
      <group>L1_Word</group>
      <groupName>字词问题</groupName>
      <ability>L2_Typo</ability>
      <abilityName>字词错误</abilityName>
      <candidateList>
        <item>车辆在厂</item>
      </candidateList>
      <explain/>
      <paraID>3E202A3F</paraID>
      <start>250</start>
      <end>253</end>
      <status>unmodified</status>
      <modifiedWord/>
      <trackRevisions>false</trackRevisions>
    </reviewItem>
    <reviewItem>
      <errorID>2f68b46c-170e-476c-bcb7-adef0292ddcb</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4A589054</paraID>
      <start>11</start>
      <end>15</end>
      <status>unmodified</status>
      <modifiedWord/>
      <trackRevisions>false</trackRevisions>
    </reviewItem>
    <reviewItem>
      <errorID>7ccb9d0c-d140-4cd9-867b-3468c0d3aedb</errorID>
      <errorWord>-</errorWord>
      <group>L1_Format</group>
      <groupName>格式问题</groupName>
      <ability>L2_HalfPunc</ability>
      <abilityName>全半角检查</abilityName>
      <candidateList>
        <item>－</item>
      </candidateList>
      <explain>文本全半角错误。</explain>
      <paraID>4A589054</paraID>
      <start>61</start>
      <end>62</end>
      <status>unmodified</status>
      <modifiedWord/>
      <trackRevisions>false</trackRevisions>
    </reviewItem>
    <reviewItem>
      <errorID>7ad9e15a-cde8-4945-87fd-d7846997694c</errorID>
      <errorWord>生物多样性维护</errorWord>
      <group>L1_Political</group>
      <groupName>政治性问题</groupName>
      <ability>L2_Keyword</ability>
      <abilityName>固定表述</abilityName>
      <candidateList>
        <item>生物多样性保护</item>
      </candidateList>
      <explain>词汇“生物多样性保护”在特定场景下为固定表述形式，请确认此处的“生物多样性维护”是否存在不当。</explain>
      <paraID>4A589054</paraID>
      <start>73</start>
      <end>80</end>
      <status>unmodified</status>
      <modifiedWord/>
      <trackRevisions>false</trackRevisions>
    </reviewItem>
    <reviewItem>
      <errorID>4259bbe4-fa22-440e-82f2-d92f8fe6fe90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42BA674B</paraID>
      <start>0</start>
      <end>2</end>
      <status>unmodified</status>
      <modifiedWord/>
      <trackRevisions>false</trackRevisions>
    </reviewItem>
    <reviewItem>
      <errorID>b361f48e-9e6c-4cbd-bf78-20b5db170a9b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15D05EA9</paraID>
      <start>0</start>
      <end>2</end>
      <status>unmodified</status>
      <modifiedWord/>
      <trackRevisions>false</trackRevisions>
    </reviewItem>
    <reviewItem>
      <errorID>d4fc9adf-acc6-4861-a43e-8dab33904798</errorID>
      <errorWord>拌合站</errorWord>
      <group>L1_Word</group>
      <groupName>字词问题</groupName>
      <ability>L2_Typo</ability>
      <abilityName>字词错误</abilityName>
      <candidateList>
        <item>拌和站</item>
      </candidateList>
      <explain>存在发音相同字词的误用。</explain>
      <paraID>57A0149C</paraID>
      <start>5</start>
      <end>8</end>
      <status>unmodified</status>
      <modifiedWord/>
      <trackRevisions>false</trackRevisions>
    </reviewItem>
    <reviewItem>
      <errorID>b4ac58ab-1c13-4c16-a63e-c1bd128c053b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399CAED2</paraID>
      <start>96</start>
      <end>97</end>
      <status>unmodified</status>
      <modifiedWord/>
      <trackRevisions>false</trackRevisions>
    </reviewItem>
    <reviewItem>
      <errorID>4a6c04b4-d812-4a9d-9e0e-0ffe476c517a</errorID>
      <errorWord>验</errorWord>
      <group>L1_Word</group>
      <groupName>字词问题</groupName>
      <ability>L2_Typo</ability>
      <abilityName>字词错误</abilityName>
      <candidateList>
        <item>验室</item>
      </candidateList>
      <explain/>
      <paraID>31C7F993</paraID>
      <start>9</start>
      <end>10</end>
      <status>unmodified</status>
      <modifiedWord/>
      <trackRevisions>false</trackRevisions>
    </reviewItem>
    <reviewItem>
      <errorID>8907bda9-1189-46b7-b2c6-692d545e8d45</errorID>
      <errorWord>综合室建筑物依托</errorWord>
      <group>L1_Word</group>
      <groupName>字词问题</groupName>
      <ability>L2_Typo</ability>
      <abilityName>字词错误</abilityName>
      <candidateList>
        <item>依托综合室建筑物</item>
      </candidateList>
      <explain/>
      <paraID>5D483907</paraID>
      <start>0</start>
      <end>8</end>
      <status>unmodified</status>
      <modifiedWord/>
      <trackRevisions>false</trackRevisions>
    </reviewItem>
    <reviewItem>
      <errorID>31b3521d-0c6b-4be2-8860-aee7f59d2e7f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4FB2AC34</paraID>
      <start>63</start>
      <end>64</end>
      <status>unmodified</status>
      <modifiedWord/>
      <trackRevisions>false</trackRevisions>
    </reviewItem>
    <reviewItem>
      <errorID>af25632d-4366-4d87-a6b8-269a8a17f1b8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3ADD0FB5</paraID>
      <start>0</start>
      <end>2</end>
      <status>unmodified</status>
      <modifiedWord/>
      <trackRevisions>false</trackRevisions>
    </reviewItem>
    <reviewItem>
      <errorID>dd68db64-a4f0-4606-8056-6c45ce1222ac</errorID>
      <errorWord>（</errorWord>
      <group>L1_Format</group>
      <groupName>格式问题</groupName>
      <ability>L2_HalfPunc</ability>
      <abilityName>全半角检查</abilityName>
      <candidateList>
        <item>(</item>
      </candidateList>
      <explain>文本全半角错误。</explain>
      <paraID>1F43AE7C</paraID>
      <start>5</start>
      <end>6</end>
      <status>unmodified</status>
      <modifiedWord/>
      <trackRevisions>false</trackRevisions>
    </reviewItem>
    <reviewItem>
      <errorID>9b455a76-749b-4724-b4ae-6f18f1f1718f</errorID>
      <errorWord>）</errorWord>
      <group>L1_Format</group>
      <groupName>格式问题</groupName>
      <ability>L2_HalfPunc</ability>
      <abilityName>全半角检查</abilityName>
      <candidateList>
        <item>)</item>
      </candidateList>
      <explain>文本全半角错误。</explain>
      <paraID>1F43AE7C</paraID>
      <start>18</start>
      <end>19</end>
      <status>unmodified</status>
      <modifiedWord/>
      <trackRevisions>false</trackRevisions>
    </reviewItem>
    <reviewItem>
      <errorID>cacf4446-518d-4771-a6d4-b7c9ed553806</errorID>
      <errorWord>kw</errorWord>
      <group>L1_Word</group>
      <groupName>字词问题</groupName>
      <ability>L2_Typo</ability>
      <abilityName>字词错误</abilityName>
      <candidateList>
        <item>kW</item>
      </candidateList>
      <explain/>
      <paraID>59BDDB59</paraID>
      <start>2</start>
      <end>4</end>
      <status>unmodified</status>
      <modifiedWord/>
      <trackRevisions>false</trackRevisions>
    </reviewItem>
    <reviewItem>
      <errorID>013f600f-be1d-4542-9acf-85d88509c115</errorID>
      <errorWord>kw</errorWord>
      <group>L1_Word</group>
      <groupName>字词问题</groupName>
      <ability>L2_Typo</ability>
      <abilityName>字词错误</abilityName>
      <candidateList>
        <item>kW</item>
      </candidateList>
      <explain/>
      <paraID>50748B10</paraID>
      <start>2</start>
      <end>4</end>
      <status>unmodified</status>
      <modifiedWord/>
      <trackRevisions>false</trackRevisions>
    </reviewItem>
    <reviewItem>
      <errorID>668c207c-0d4b-47d7-ad85-767bbc2e47b8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683BB2F5</paraID>
      <start>0</start>
      <end>2</end>
      <status>unmodified</status>
      <modifiedWord/>
      <trackRevisions>false</trackRevisions>
    </reviewItem>
    <reviewItem>
      <errorID>eb9cb1eb-c5bb-4ea5-b339-a03d79700d8d</errorID>
      <errorWord>砂子</errorWord>
      <group>L1_Word</group>
      <groupName>字词问题</groupName>
      <ability>L2_Typo</ability>
      <abilityName>字词错误</abilityName>
      <candidateList>
        <item>沙子</item>
      </candidateList>
      <explain>存在发音相同字词的误用。</explain>
      <paraID>2C28A076</paraID>
      <start>0</start>
      <end>2</end>
      <status>unmodified</status>
      <modifiedWord/>
      <trackRevisions>false</trackRevisions>
    </reviewItem>
    <reviewItem>
      <errorID>2f2c7096-7cc8-482c-8540-c0d7f8c7d816</errorID>
      <errorWord>砂子</errorWord>
      <group>L1_Word</group>
      <groupName>字词问题</groupName>
      <ability>L2_Typo</ability>
      <abilityName>字词错误</abilityName>
      <candidateList>
        <item>沙子</item>
      </candidateList>
      <explain>存在发音相同字词的误用。</explain>
      <paraID>3796B8A5</paraID>
      <start>0</start>
      <end>2</end>
      <status>unmodified</status>
      <modifiedWord/>
      <trackRevisions>false</trackRevisions>
    </reviewItem>
    <reviewItem>
      <errorID>cc191fb3-893e-4430-9948-bb7ec9bd69a9</errorID>
      <errorWord>决定的</errorWord>
      <group>L1_Word</group>
      <groupName>字词问题</groupName>
      <ability>L2_Typo</ability>
      <abilityName>字词错误</abilityName>
      <candidateList>
        <item>决定</item>
      </candidateList>
      <explain/>
      <paraID>75FF0BE4</paraID>
      <start>156</start>
      <end>159</end>
      <status>unmodified</status>
      <modifiedWord/>
      <trackRevisions>false</trackRevisions>
    </reviewItem>
    <reviewItem>
      <errorID>9ee44a35-c300-4e9c-a3cd-8550a36db170</errorID>
      <errorWord>砂砾</errorWord>
      <group>L1_Word</group>
      <groupName>字词问题</groupName>
      <ability>L2_Typo</ability>
      <abilityName>字词错误</abilityName>
      <candidateList>
        <item>砂</item>
      </candidateList>
      <explain/>
      <paraID>56AC7FA3</paraID>
      <start>69</start>
      <end>71</end>
      <status>unmodified</status>
      <modifiedWord/>
      <trackRevisions>false</trackRevisions>
    </reviewItem>
    <reviewItem>
      <errorID>4b0f1e63-722e-4f56-88e1-2d955cbc781e</errorID>
      <errorWord>同</errorWord>
      <group>L1_Word</group>
      <groupName>字词问题</groupName>
      <ability>L2_Typo</ability>
      <abilityName>字词错误</abilityName>
      <candidateList>
        <item>与</item>
      </candidateList>
      <explain/>
      <paraID>56AC7FA3</paraID>
      <start>78</start>
      <end>79</end>
      <status>unmodified</status>
      <modifiedWord/>
      <trackRevisions>false</trackRevisions>
    </reviewItem>
    <reviewItem>
      <errorID>9f754a70-6be8-497e-be95-467cb774a289</errorID>
      <errorWord>，</errorWord>
      <group>L1_Punc</group>
      <groupName>标点问题</groupName>
      <ability>L2_Punc</ability>
      <abilityName>标点符号检查</abilityName>
      <candidateList>
        <item>。</item>
      </candidateList>
      <explain/>
      <paraID>56AC7FA3</paraID>
      <start>98</start>
      <end>99</end>
      <status>unmodified</status>
      <modifiedWord/>
      <trackRevisions>false</trackRevisions>
    </reviewItem>
    <reviewItem>
      <errorID>d51c558c-7a36-4c80-89c4-3e70036ebd85</errorID>
      <errorWord>可</errorWord>
      <group>L1_Punc</group>
      <groupName>标点问题</groupName>
      <ability>L2_Punc</ability>
      <abilityName>标点符号检查</abilityName>
      <candidateList>
        <item>，可</item>
      </candidateList>
      <explain/>
      <paraID>56AC7FA3</paraID>
      <start>115</start>
      <end>116</end>
      <status>unmodified</status>
      <modifiedWord/>
      <trackRevisions>false</trackRevisions>
    </reviewItem>
    <reviewItem>
      <errorID>35f89683-5066-42af-a97e-956be1bda942</errorID>
      <errorWord>并</errorWord>
      <group>L1_Word</group>
      <groupName>字词问题</groupName>
      <ability>L2_Typo</ability>
      <abilityName>字词错误</abilityName>
      <candidateList>
        <item>，且</item>
      </candidateList>
      <explain/>
      <paraID>56AC7FA3</paraID>
      <start>153</start>
      <end>154</end>
      <status>unmodified</status>
      <modifiedWord/>
      <trackRevisions>false</trackRevisions>
    </reviewItem>
    <reviewItem>
      <errorID>7560dc05-76d0-482e-ba5a-b3da81159fc2</errorID>
      <errorWord>，</errorWord>
      <group>L1_Punc</group>
      <groupName>标点问题</groupName>
      <ability>L2_Punc</ability>
      <abilityName>标点符号检查</abilityName>
      <candidateList>
        <item>。</item>
      </candidateList>
      <explain/>
      <paraID>56AC7FA3</paraID>
      <start>176</start>
      <end>177</end>
      <status>unmodified</status>
      <modifiedWord/>
      <trackRevisions>false</trackRevisions>
    </reviewItem>
    <reviewItem>
      <errorID>994a3b5d-011a-4a88-9f67-a9e5e0d0eab4</errorID>
      <errorWord>有效</errorWord>
      <group>L1_Word</group>
      <groupName>字词问题</groupName>
      <ability>L2_Typo</ability>
      <abilityName>字词错误</abilityName>
      <candidateList>
        <item>能有效</item>
      </candidateList>
      <explain/>
      <paraID>56AC7FA3</paraID>
      <start>186</start>
      <end>188</end>
      <status>unmodified</status>
      <modifiedWord/>
      <trackRevisions>false</trackRevisions>
    </reviewItem>
    <reviewItem>
      <errorID>0e5c6b27-df43-4cd6-ac2b-343fb5db4d84</errorID>
      <errorWord>体积</errorWord>
      <group>L1_Grammar</group>
      <groupName>语法问题</groupName>
      <ability>L2_Grammar</ability>
      <abilityName>语法错误</abilityName>
      <candidateList>
        <item>导致的体积</item>
      </candidateList>
      <explain/>
      <paraID>56AC7FA3</paraID>
      <start>209</start>
      <end>211</end>
      <status>unmodified</status>
      <modifiedWord/>
      <trackRevisions>false</trackRevisions>
    </reviewItem>
    <reviewItem>
      <errorID>15973180-728f-4542-a942-00c15519d46b</errorID>
      <errorWord>，</errorWord>
      <group>L1_Word</group>
      <groupName>字词问题</groupName>
      <ability>L2_Typo</ability>
      <abilityName>字词错误</abilityName>
      <candidateList>
        <item>，具</item>
      </candidateList>
      <explain/>
      <paraID>1AFBFDBF</paraID>
      <start>312</start>
      <end>313</end>
      <status>unmodified</status>
      <modifiedWord/>
      <trackRevisions>false</trackRevisions>
    </reviewItem>
    <reviewItem>
      <errorID>6260aedf-e63d-41e8-a7ce-f8c6358a6ead</errorID>
      <errorWord>粘</errorWord>
      <group>L1_Word</group>
      <groupName>字词问题</groupName>
      <ability>L2_Typo</ability>
      <abilityName>字词错误</abilityName>
      <candidateList>
        <item>黏</item>
      </candidateList>
      <explain>存在发音相同字词的误用。</explain>
      <paraID>1DC46F5A</paraID>
      <start>86</start>
      <end>87</end>
      <status>unmodified</status>
      <modifiedWord/>
      <trackRevisions>false</trackRevisions>
    </reviewItem>
    <reviewItem>
      <errorID>be30927f-9ade-4334-8874-3403a72ceeeb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6DCDB864</paraID>
      <start>0</start>
      <end>2</end>
      <status>unmodified</status>
      <modifiedWord/>
      <trackRevisions>false</trackRevisions>
    </reviewItem>
    <reviewItem>
      <errorID>5863f77d-6610-4587-9951-bfdbf997c83c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336CCAE</paraID>
      <start>0</start>
      <end>2</end>
      <status>unmodified</status>
      <modifiedWord/>
      <trackRevisions>false</trackRevisions>
    </reviewItem>
    <reviewItem>
      <errorID>17010af9-9f3c-49ab-a65d-7ce6f8740f13</errorID>
      <errorWord>15t/d</errorWord>
      <group>L1_Grammar</group>
      <groupName>语法问题</groupName>
      <ability>L2_Grammar</ability>
      <abilityName>语法错误</abilityName>
      <candidateList>
        <item>15t</item>
      </candidateList>
      <explain/>
      <paraID>664477D5</paraID>
      <start>78</start>
      <end>83</end>
      <status>unmodified</status>
      <modifiedWord/>
      <trackRevisions>false</trackRevisions>
    </reviewItem>
    <reviewItem>
      <errorID>6441421e-0823-4b17-afab-dd785e01e051</errorID>
      <errorWord>5t/d</errorWord>
      <group>L1_Grammar</group>
      <groupName>语法问题</groupName>
      <ability>L2_Grammar</ability>
      <abilityName>语法错误</abilityName>
      <candidateList>
        <item>5t</item>
      </candidateList>
      <explain/>
      <paraID>7A02B399</paraID>
      <start>16</start>
      <end>20</end>
      <status>unmodified</status>
      <modifiedWord/>
      <trackRevisions>false</trackRevisions>
    </reviewItem>
    <reviewItem>
      <errorID>096124bb-c95e-4ff7-81c6-083a8c82d52f</errorID>
      <errorWord> </errorWord>
      <group>L1_Punc</group>
      <groupName>标点问题</groupName>
      <ability>L2_Punc</ability>
      <abilityName>标点符号检查</abilityName>
      <candidateList>
        <item>·</item>
      </candidateList>
      <explain/>
      <paraID>4E940991</paraID>
      <start>26</start>
      <end>27</end>
      <status>unmodified</status>
      <modifiedWord/>
      <trackRevisions>false</trackRevisions>
    </reviewItem>
    <reviewItem>
      <errorID>2d8b5351-6415-443e-9e51-0952df65292b</errorID>
      <errorWord>1t/d</errorWord>
      <group>L1_Grammar</group>
      <groupName>语法问题</groupName>
      <ability>L2_Grammar</ability>
      <abilityName>语法错误</abilityName>
      <candidateList>
        <item>1t</item>
      </candidateList>
      <explain/>
      <paraID>5CA72001</paraID>
      <start>15</start>
      <end>19</end>
      <status>unmodified</status>
      <modifiedWord/>
      <trackRevisions>false</trackRevisions>
    </reviewItem>
    <reviewItem>
      <errorID>e06fc44a-ee8d-4488-9807-ee273db193a0</errorID>
      <errorWord>83t/d</errorWord>
      <group>L1_Grammar</group>
      <groupName>语法问题</groupName>
      <ability>L2_Grammar</ability>
      <abilityName>语法错误</abilityName>
      <candidateList>
        <item>83t</item>
      </candidateList>
      <explain/>
      <paraID>36B13938</paraID>
      <start>30</start>
      <end>35</end>
      <status>unmodified</status>
      <modifiedWord/>
      <trackRevisions>false</trackRevisions>
    </reviewItem>
    <reviewItem>
      <errorID>c5521db9-682b-489f-8aa0-33b20af915e2</errorID>
      <errorWord>，</errorWord>
      <group>L1_Grammar</group>
      <groupName>语法问题</groupName>
      <ability>L2_Grammar</ability>
      <abilityName>语法错误</abilityName>
      <candidateList>
        <item>全部自然蒸发，</item>
      </candidateList>
      <explain/>
      <paraID> C5393A8</paraID>
      <start>4</start>
      <end>5</end>
      <status>unmodified</status>
      <modifiedWord/>
      <trackRevisions>false</trackRevisions>
    </reviewItem>
    <reviewItem>
      <errorID>d7d36060-2b8a-48ac-bb89-5c9b8eb5e08d</errorID>
      <errorWord>雨水</errorWord>
      <group>L1_Word</group>
      <groupName>字词问题</groupName>
      <ability>L2_Typo</ability>
      <abilityName>字词错误</abilityName>
      <candidateList>
        <item>的雨水</item>
      </candidateList>
      <explain/>
      <paraID>7AEAA7F1</paraID>
      <start>19</start>
      <end>21</end>
      <status>unmodified</status>
      <modifiedWord/>
      <trackRevisions>false</trackRevisions>
    </reviewItem>
    <reviewItem>
      <errorID>d5dab0c1-3ef0-438e-a305-2c174c934ac9</errorID>
      <errorWord>很据</errorWord>
      <group>L1_Word</group>
      <groupName>字词问题</groupName>
      <ability>L2_Typo</ability>
      <abilityName>字词错误</abilityName>
      <candidateList>
        <item>根据</item>
      </candidateList>
      <explain/>
      <paraID>7AEAA7F1</paraID>
      <start>30</start>
      <end>32</end>
      <status>modified</status>
      <modifiedWord>根据</modifiedWord>
      <trackRevisions>false</trackRevisions>
    </reviewItem>
    <reviewItem>
      <errorID>e38ee510-cafe-4a47-bd01-4d025e3a3663</errorID>
      <errorWord>-</errorWord>
      <group>L1_Format</group>
      <groupName>格式问题</groupName>
      <ability>L2_HalfPunc</ability>
      <abilityName>全半角检查</abilityName>
      <candidateList>
        <item>－</item>
      </candidateList>
      <explain>文本全半角错误。</explain>
      <paraID>3238FFFA</paraID>
      <start>1</start>
      <end>2</end>
      <status>unmodified</status>
      <modifiedWord/>
      <trackRevisions>false</trackRevisions>
    </reviewItem>
    <reviewItem>
      <errorID>95368c8d-8d22-412c-b145-a46538ddce3e</errorID>
      <errorWord>（</errorWord>
      <group>L1_Format</group>
      <groupName>格式问题</groupName>
      <ability>L2_HalfPunc</ability>
      <abilityName>全半角检查</abilityName>
      <candidateList>
        <item>(</item>
      </candidateList>
      <explain>文本全半角错误。</explain>
      <paraID>2ED1677C</paraID>
      <start>6</start>
      <end>7</end>
      <status>unmodified</status>
      <modifiedWord/>
      <trackRevisions>false</trackRevisions>
    </reviewItem>
    <reviewItem>
      <errorID>e4e30e13-c958-4df4-8683-ae4161db4bb3</errorID>
      <errorWord>）</errorWord>
      <group>L1_Format</group>
      <groupName>格式问题</groupName>
      <ability>L2_HalfPunc</ability>
      <abilityName>全半角检查</abilityName>
      <candidateList>
        <item>)</item>
      </candidateList>
      <explain>文本全半角错误。</explain>
      <paraID>2ED1677C</paraID>
      <start>17</start>
      <end>18</end>
      <status>unmodified</status>
      <modifiedWord/>
      <trackRevisions>false</trackRevisions>
    </reviewItem>
    <reviewItem>
      <errorID>8b26cb00-7a9a-4669-92d3-2ec545c01c93</errorID>
      <errorWord>（</errorWord>
      <group>L1_Format</group>
      <groupName>格式问题</groupName>
      <ability>L2_HalfPunc</ability>
      <abilityName>全半角检查</abilityName>
      <candidateList>
        <item>(</item>
      </candidateList>
      <explain>文本全半角错误。</explain>
      <paraID>2ED1677C</paraID>
      <start>19</start>
      <end>20</end>
      <status>unmodified</status>
      <modifiedWord/>
      <trackRevisions>false</trackRevisions>
    </reviewItem>
    <reviewItem>
      <errorID>62ceb0e3-1254-47e0-824e-8fb88677e980</errorID>
      <errorWord>）</errorWord>
      <group>L1_Format</group>
      <groupName>格式问题</groupName>
      <ability>L2_HalfPunc</ability>
      <abilityName>全半角检查</abilityName>
      <candidateList>
        <item>)</item>
      </candidateList>
      <explain>文本全半角错误。</explain>
      <paraID>2ED1677C</paraID>
      <start>24</start>
      <end>25</end>
      <status>unmodified</status>
      <modifiedWord/>
      <trackRevisions>false</trackRevisions>
    </reviewItem>
    <reviewItem>
      <errorID>ea293d63-dfde-4125-8a5f-8ae57b879d59</errorID>
      <errorWord>-</errorWord>
      <group>L1_Format</group>
      <groupName>格式问题</groupName>
      <ability>L2_HalfPunc</ability>
      <abilityName>全半角检查</abilityName>
      <candidateList>
        <item>－</item>
      </candidateList>
      <explain>文本全半角错误。</explain>
      <paraID>690650F2</paraID>
      <start>1</start>
      <end>2</end>
      <status>unmodified</status>
      <modifiedWord/>
      <trackRevisions>false</trackRevisions>
    </reviewItem>
    <reviewItem>
      <errorID>30bdd110-6696-4faa-80ea-8c23426bc780</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6B854D79</paraID>
      <start>0</start>
      <end>2</end>
      <status>unmodified</status>
      <modifiedWord/>
      <trackRevisions>false</trackRevisions>
    </reviewItem>
    <reviewItem>
      <errorID>ef49f95c-d8f1-4a31-90ee-89816473589d</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11A5B851</paraID>
      <start>0</start>
      <end>2</end>
      <status>unmodified</status>
      <modifiedWord/>
      <trackRevisions>false</trackRevisions>
    </reviewItem>
    <reviewItem>
      <errorID>04523c37-da79-47c4-8416-246a590fdc94</errorID>
      <errorWord>北至南侧，依次</errorWord>
      <group>L1_Word</group>
      <groupName>字词问题</groupName>
      <ability>L2_Typo</ability>
      <abilityName>字词错误</abilityName>
      <candidateList>
        <item>北至南依次为</item>
      </candidateList>
      <explain/>
      <paraID>136D3B2F</paraID>
      <start>4</start>
      <end>10</end>
      <status>modified</status>
      <modifiedWord>北至南依次为</modifiedWord>
      <trackRevisions>false</trackRevisions>
    </reviewItem>
    <reviewItem>
      <errorID>5c9a9b9a-acd3-40c9-ae20-744b4fc262b9</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3369CFB</paraID>
      <start>0</start>
      <end>2</end>
      <status>unmodified</status>
      <modifiedWord/>
      <trackRevisions>false</trackRevisions>
    </reviewItem>
    <reviewItem>
      <errorID>44e36081-84c6-4973-bbf6-ca10ac8a0818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745C037D</paraID>
      <start>63</start>
      <end>64</end>
      <status>unmodified</status>
      <modifiedWord/>
      <trackRevisions>false</trackRevisions>
    </reviewItem>
    <reviewItem>
      <errorID>a6218815-9477-4a6d-be20-07a2f78ddb5e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44F48703</paraID>
      <start>0</start>
      <end>2</end>
      <status>unmodified</status>
      <modifiedWord/>
      <trackRevisions>false</trackRevisions>
    </reviewItem>
    <reviewItem>
      <errorID>b9d9cc52-e0da-4662-ba6f-bd9733c916c4</errorID>
      <errorWord>检测</errorWord>
      <group>L1_Grammar</group>
      <groupName>语法问题</groupName>
      <ability>L2_Grammar</ability>
      <abilityName>语法错误</abilityName>
      <candidateList>
        <item>用于检测</item>
      </candidateList>
      <explain/>
      <paraID>4C79C859</paraID>
      <start>9</start>
      <end>11</end>
      <status>unmodified</status>
      <modifiedWord/>
      <trackRevisions>false</trackRevisions>
    </reviewItem>
    <reviewItem>
      <errorID>c119a81f-852c-40f7-a1ff-47113af245da</errorID>
      <errorWord>、</errorWord>
      <group>L1_Word</group>
      <groupName>字词问题</groupName>
      <ability>L2_Typo</ability>
      <abilityName>字词错误</abilityName>
      <candidateList>
        <item>和</item>
      </candidateList>
      <explain/>
      <paraID>4C79C859</paraID>
      <start>60</start>
      <end>61</end>
      <status>unmodified</status>
      <modifiedWord/>
      <trackRevisions>false</trackRevisions>
    </reviewItem>
    <reviewItem>
      <errorID>91709685-2e03-4d5f-889e-7eb45c3977d7</errorID>
      <errorWord>，</errorWord>
      <group>L1_Punc</group>
      <groupName>标点问题</groupName>
      <ability>L2_Punc</ability>
      <abilityName>标点符号检查</abilityName>
      <candidateList>
        <item>、</item>
      </candidateList>
      <explain/>
      <paraID>4C79C859</paraID>
      <start>67</start>
      <end>68</end>
      <status>unmodified</status>
      <modifiedWord/>
      <trackRevisions>false</trackRevisions>
    </reviewItem>
    <reviewItem>
      <errorID>9e4f0925-6d2d-4cbd-b5ee-26450c65e053</errorID>
      <errorWord>废水的</errorWord>
      <group>L1_Word</group>
      <groupName>字词问题</groupName>
      <ability>L2_Typo</ability>
      <abilityName>字词错误</abilityName>
      <candidateList>
        <item>废水</item>
      </candidateList>
      <explain/>
      <paraID>4C79C859</paraID>
      <start>95</start>
      <end>98</end>
      <status>unmodified</status>
      <modifiedWord/>
      <trackRevisions>false</trackRevisions>
    </reviewItem>
    <reviewItem>
      <errorID>5a812007-8b68-41c0-88cc-aa4b594d3822</errorID>
      <errorWord>月已</errorWord>
      <group>L1_Word</group>
      <groupName>字词问题</groupName>
      <ability>L2_Typo</ability>
      <abilityName>字词错误</abilityName>
      <candidateList>
        <item>月</item>
      </candidateList>
      <explain/>
      <paraID>41FEB654</paraID>
      <start>9</start>
      <end>11</end>
      <status>unmodified</status>
      <modifiedWord/>
      <trackRevisions>false</trackRevisions>
    </reviewItem>
    <reviewItem>
      <errorID>ad2b04a6-667c-4933-b110-def1af7d39df</errorID>
      <errorWord>安装</errorWord>
      <group>L1_Grammar</group>
      <groupName>语法问题</groupName>
      <ability>L2_Grammar</ability>
      <abilityName>语法错误</abilityName>
      <candidateList>
        <item>采用安装</item>
      </candidateList>
      <explain/>
      <paraID>56167053</paraID>
      <start>3</start>
      <end>7</end>
      <status>modified</status>
      <modifiedWord>采用安装</modifiedWord>
      <trackRevisions>false</trackRevisions>
    </reviewItem>
    <reviewItem>
      <errorID>2a299ea1-e81d-4d51-a6e3-1a0947db3330</errorID>
      <errorWord>中</errorWord>
      <group>L1_Word</group>
      <groupName>字词问题</groupName>
      <ability>L2_Typo</ability>
      <abilityName>字词错误</abilityName>
      <candidateList>
        <item>将其</item>
      </candidateList>
      <explain/>
      <paraID>4B9E2BF2</paraID>
      <start>27</start>
      <end>28</end>
      <status>unmodified</status>
      <modifiedWord/>
      <trackRevisions>false</trackRevisions>
    </reviewItem>
    <reviewItem>
      <errorID>6bdb89a6-07d3-406d-85b1-e1cc52625fcf</errorID>
      <errorWord>投产</errorWord>
      <group>L1_Word</group>
      <groupName>字词问题</groupName>
      <ability>L2_Typo</ability>
      <abilityName>字词错误</abilityName>
      <candidateList>
        <item>再投产</item>
      </candidateList>
      <explain/>
      <paraID>4B9E2BF2</paraID>
      <start>41</start>
      <end>43</end>
      <status>unmodified</status>
      <modifiedWord/>
      <trackRevisions>false</trackRevisions>
    </reviewItem>
    <reviewItem>
      <errorID>f5e4f47a-3837-40c5-8628-cec38703e009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7BFB8B08</paraID>
      <start>0</start>
      <end>2</end>
      <status>unmodified</status>
      <modifiedWord/>
      <trackRevisions>false</trackRevisions>
    </reviewItem>
    <reviewItem>
      <errorID>61f277c4-c4b0-4656-9005-9b034a3e6b65</errorID>
      <errorWord>（</errorWord>
      <group>L1_Format</group>
      <groupName>格式问题</groupName>
      <ability>L2_HalfPunc</ability>
      <abilityName>全半角检查</abilityName>
      <candidateList>
        <item>(</item>
      </candidateList>
      <explain>文本全半角错误。</explain>
      <paraID>729F215A</paraID>
      <start>0</start>
      <end>1</end>
      <status>unmodified</status>
      <modifiedWord/>
      <trackRevisions>false</trackRevisions>
    </reviewItem>
    <reviewItem>
      <errorID>17cf389d-fbdf-4bb3-b2da-83ce3d412dce</errorID>
      <errorWord>）</errorWord>
      <group>L1_Format</group>
      <groupName>格式问题</groupName>
      <ability>L2_HalfPunc</ability>
      <abilityName>全半角检查</abilityName>
      <candidateList>
        <item>)</item>
      </candidateList>
      <explain>文本全半角错误。</explain>
      <paraID>729F215A</paraID>
      <start>6</start>
      <end>7</end>
      <status>unmodified</status>
      <modifiedWord/>
      <trackRevisions>false</trackRevisions>
    </reviewItem>
    <reviewItem>
      <errorID>e3069aa1-5f60-49c4-bc68-e9ce5c54a516</errorID>
      <errorWord>（</errorWord>
      <group>L1_Format</group>
      <groupName>格式问题</groupName>
      <ability>L2_HalfPunc</ability>
      <abilityName>全半角检查</abilityName>
      <candidateList>
        <item>(</item>
      </candidateList>
      <explain>文本全半角错误。</explain>
      <paraID>5A8EC31B</paraID>
      <start>0</start>
      <end>1</end>
      <status>unmodified</status>
      <modifiedWord/>
      <trackRevisions>false</trackRevisions>
    </reviewItem>
    <reviewItem>
      <errorID>f1673f78-6287-4ef5-b207-283ce780c97e</errorID>
      <errorWord>）</errorWord>
      <group>L1_Format</group>
      <groupName>格式问题</groupName>
      <ability>L2_HalfPunc</ability>
      <abilityName>全半角检查</abilityName>
      <candidateList>
        <item>)</item>
      </candidateList>
      <explain>文本全半角错误。</explain>
      <paraID>5A8EC31B</paraID>
      <start>6</start>
      <end>7</end>
      <status>unmodified</status>
      <modifiedWord/>
      <trackRevisions>false</trackRevisions>
    </reviewItem>
    <reviewItem>
      <errorID>2642a67a-cb70-4eb9-b51f-084af666ced4</errorID>
      <errorWord>（</errorWord>
      <group>L1_Format</group>
      <groupName>格式问题</groupName>
      <ability>L2_HalfPunc</ability>
      <abilityName>全半角检查</abilityName>
      <candidateList>
        <item>(</item>
      </candidateList>
      <explain>文本全半角错误。</explain>
      <paraID>4F85399A</paraID>
      <start>0</start>
      <end>1</end>
      <status>unmodified</status>
      <modifiedWord/>
      <trackRevisions>false</trackRevisions>
    </reviewItem>
    <reviewItem>
      <errorID>0cb18c11-6e31-4f76-ab0c-fa9a8359227e</errorID>
      <errorWord>）</errorWord>
      <group>L1_Format</group>
      <groupName>格式问题</groupName>
      <ability>L2_HalfPunc</ability>
      <abilityName>全半角检查</abilityName>
      <candidateList>
        <item>)</item>
      </candidateList>
      <explain>文本全半角错误。</explain>
      <paraID>4F85399A</paraID>
      <start>6</start>
      <end>7</end>
      <status>unmodified</status>
      <modifiedWord/>
      <trackRevisions>false</trackRevisions>
    </reviewItem>
    <reviewItem>
      <errorID>bdea323c-7ec1-4045-958d-d2a578f3aa4d</errorID>
      <errorWord>其它</errorWord>
      <group>L1_Word</group>
      <groupName>字词问题</groupName>
      <ability>L2_Alias</ability>
      <abilityName>也作/曾用词</abilityName>
      <candidateList>
        <item>其他</item>
      </candidateList>
      <explain>词汇[其它]为不规范表述或旧称，其规范书面表述为[其他]。</explain>
      <paraID>7FC7A4BA</paraID>
      <start>3</start>
      <end>5</end>
      <status>unmodified</status>
      <modifiedWord/>
      <trackRevisions>false</trackRevisions>
    </reviewItem>
    <reviewItem>
      <errorID>a287980d-bf04-42c5-a5d2-e5f44d36036a</errorID>
      <errorWord>要求</errorWord>
      <group>L1_Word</group>
      <groupName>字词问题</groupName>
      <ability>L2_Typo</ability>
      <abilityName>字词错误</abilityName>
      <candidateList>
        <item>的要求</item>
      </candidateList>
      <explain/>
      <paraID>11E67B13</paraID>
      <start>32</start>
      <end>34</end>
      <status>unmodified</status>
      <modifiedWord/>
      <trackRevisions>false</trackRevisions>
    </reviewItem>
    <reviewItem>
      <errorID>b27776ec-9c2f-4eef-9c5f-c3bb182c40f6</errorID>
      <errorWord>2025年04月19日</errorWord>
      <group>L1_Knowledge</group>
      <groupName>知识性问题</groupName>
      <ability>L2_Time</ability>
      <abilityName>日期时间</abilityName>
      <candidateList>
        <item>2025年4月19日</item>
      </candidateList>
      <explain>根据日常书写习惯，月份一般会省略前导零。</explain>
      <paraID>739386E6</paraID>
      <start>19</start>
      <end>30</end>
      <status>unmodified</status>
      <modifiedWord/>
      <trackRevisions>false</trackRevisions>
    </reviewItem>
    <reviewItem>
      <errorID>cba389a0-46b0-4483-b0c7-feed5e3e1a6b</errorID>
      <errorWord>04月21日</errorWord>
      <group>L1_Knowledge</group>
      <groupName>知识性问题</groupName>
      <ability>L2_Time</ability>
      <abilityName>日期时间</abilityName>
      <candidateList>
        <item>4月21日</item>
      </candidateList>
      <explain>根据日常书写习惯，月份一般会省略前导零。</explain>
      <paraID>739386E6</paraID>
      <start>31</start>
      <end>37</end>
      <status>unmodified</status>
      <modifiedWord/>
      <trackRevisions>false</trackRevisions>
    </reviewItem>
    <reviewItem>
      <errorID>53fac5d4-ae47-40bf-b239-c7364a361cf7</errorID>
      <errorWord>《</errorWord>
      <group>L1_Punc</group>
      <groupName>标点问题</groupName>
      <ability>L2_Punc</ability>
      <abilityName>标点符号检查</abilityName>
      <candidateList>
        <item/>
      </candidateList>
      <explain/>
      <paraID>739386E6</paraID>
      <start>38</start>
      <end>39</end>
      <status>unmodified</status>
      <modifiedWord/>
      <trackRevisions>false</trackRevisions>
    </reviewItem>
    <reviewItem>
      <errorID>c9c9aa97-1f01-49be-8611-9c54f6f10eac</errorID>
      <errorWord>位于</errorWord>
      <group>L1_Word</group>
      <groupName>字词问题</groupName>
      <ability>L2_Typo</ability>
      <abilityName>字词错误</abilityName>
      <candidateList>
        <item>距离</item>
      </candidateList>
      <explain/>
      <paraID>739386E6</paraID>
      <start>109</start>
      <end>111</end>
      <status>unmodified</status>
      <modifiedWord/>
      <trackRevisions>false</trackRevisions>
    </reviewItem>
    <reviewItem>
      <errorID>6b8fb90c-5e78-4491-a0d8-18734bbcdd72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1EC18DBD</paraID>
      <start>0</start>
      <end>2</end>
      <status>unmodified</status>
      <modifiedWord/>
      <trackRevisions>false</trackRevisions>
    </reviewItem>
    <reviewItem>
      <errorID>e566b2c9-4066-46da-a247-420cdc4bd0dc</errorID>
      <errorWord>IV类</errorWord>
      <group>L1_Knowledge</group>
      <groupName>知识性问题</groupName>
      <ability>L2_Knowledge</ability>
      <abilityName>其他知识</abilityName>
      <candidateList>
        <item>Ⅳ类</item>
      </candidateList>
      <explain/>
      <paraID>75E72112</paraID>
      <start>127</start>
      <end>130</end>
      <status>unmodified</status>
      <modifiedWord/>
      <trackRevisions>false</trackRevisions>
    </reviewItem>
    <reviewItem>
      <errorID>47b9818a-0a04-4f01-ad4d-f39824a65322</errorID>
      <errorWord>水</errorWord>
      <group>L1_Word</group>
      <groupName>字词问题</groupName>
      <ability>L2_Typo</ability>
      <abilityName>字词错误</abilityName>
      <candidateList>
        <item>水体</item>
      </candidateList>
      <explain/>
      <paraID>75E72112</paraID>
      <start>141</start>
      <end>142</end>
      <status>unmodified</status>
      <modifiedWord/>
      <trackRevisions>false</trackRevisions>
    </reviewItem>
    <reviewItem>
      <errorID>19043106-ce92-4711-a737-eabad15b4d42</errorID>
      <errorWord>IV类</errorWord>
      <group>L1_Knowledge</group>
      <groupName>知识性问题</groupName>
      <ability>L2_Knowledge</ability>
      <abilityName>其他知识</abilityName>
      <candidateList>
        <item>Ⅳ类</item>
      </candidateList>
      <explain/>
      <paraID>75E72112</paraID>
      <start>148</start>
      <end>151</end>
      <status>unmodified</status>
      <modifiedWord/>
      <trackRevisions>false</trackRevisions>
    </reviewItem>
    <reviewItem>
      <errorID>2ceaa954-557b-4bef-a2c6-211c7f64dcbd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6274082A</paraID>
      <start>0</start>
      <end>2</end>
      <status>unmodified</status>
      <modifiedWord/>
      <trackRevisions>false</trackRevisions>
    </reviewItem>
    <reviewItem>
      <errorID>483222e7-4ec6-4080-a6d0-cd906393b8c3</errorID>
      <errorWord>检测</errorWord>
      <group>L1_Word</group>
      <groupName>字词问题</groupName>
      <ability>L2_Typo</ability>
      <abilityName>字词错误</abilityName>
      <candidateList>
        <item>监测</item>
      </candidateList>
      <explain/>
      <paraID>3FE1E31A</paraID>
      <start>214</start>
      <end>216</end>
      <status>unmodified</status>
      <modifiedWord/>
      <trackRevisions>false</trackRevisions>
    </reviewItem>
    <reviewItem>
      <errorID>fd18370a-a7f5-46e6-89d2-4fc376fc558c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6CD0D4</paraID>
      <start>0</start>
      <end>2</end>
      <status>unmodified</status>
      <modifiedWord/>
      <trackRevisions>false</trackRevisions>
    </reviewItem>
    <reviewItem>
      <errorID>c593784c-55cc-4ec2-a2fb-7defc519313a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45E072C</paraID>
      <start>0</start>
      <end>2</end>
      <status>unmodified</status>
      <modifiedWord/>
      <trackRevisions>false</trackRevisions>
    </reviewItem>
    <reviewItem>
      <errorID>79eb6057-548d-4567-bb26-5f7d02aa5b78</errorID>
      <errorWord>，</errorWord>
      <group>L1_Word</group>
      <groupName>字词问题</groupName>
      <ability>L2_Typo</ability>
      <abilityName>字词错误</abilityName>
      <candidateList>
        <item>，根</item>
      </candidateList>
      <explain/>
      <paraID> 5809387</paraID>
      <start>13</start>
      <end>15</end>
      <status>modified</status>
      <modifiedWord>，根</modifiedWord>
      <trackRevisions>false</trackRevisions>
    </reviewItem>
    <reviewItem>
      <errorID>1f882071-7af2-4a6e-adee-fcf58c683788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568B39B</paraID>
      <start>0</start>
      <end>2</end>
      <status>unmodified</status>
      <modifiedWord/>
      <trackRevisions>false</trackRevisions>
    </reviewItem>
    <reviewItem>
      <errorID>6b51397b-55e5-4ceb-a70d-f1eb199d6de6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36813EED</paraID>
      <start>0</start>
      <end>2</end>
      <status>unmodified</status>
      <modifiedWord/>
      <trackRevisions>false</trackRevisions>
    </reviewItem>
    <reviewItem>
      <errorID>0ecd4e25-a675-46ab-af0f-fa67bcb940e0</errorID>
      <errorWord>冲洗后全部自然蒸发消耗</errorWord>
      <group>L1_Grammar</group>
      <groupName>语法问题</groupName>
      <ability>L2_Grammar</ability>
      <abilityName>语法错误</abilityName>
      <candidateList>
        <item>冲洗</item>
      </candidateList>
      <explain/>
      <paraID>77CBD797</paraID>
      <start>54</start>
      <end>65</end>
      <status>unmodified</status>
      <modifiedWord/>
      <trackRevisions>false</trackRevisions>
    </reviewItem>
    <reviewItem>
      <errorID>7f62985a-d35a-455d-9f53-0b742f656fb5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599586C8</paraID>
      <start>0</start>
      <end>2</end>
      <status>unmodified</status>
      <modifiedWord/>
      <trackRevisions>false</trackRevisions>
    </reviewItem>
    <reviewItem>
      <errorID>ee94a1d3-7886-4bc6-9646-8491ab3a7298</errorID>
      <errorWord>（</errorWord>
      <group>L1_Format</group>
      <groupName>格式问题</groupName>
      <ability>L2_HalfPunc</ability>
      <abilityName>全半角检查</abilityName>
      <candidateList>
        <item>(</item>
      </candidateList>
      <explain>文本全半角错误。</explain>
      <paraID> 717444F</paraID>
      <start>0</start>
      <end>1</end>
      <status>unmodified</status>
      <modifiedWord/>
      <trackRevisions>false</trackRevisions>
    </reviewItem>
    <reviewItem>
      <errorID>37270cb3-4ec8-4434-a2fb-fbf8a1b73112</errorID>
      <errorWord>）</errorWord>
      <group>L1_Format</group>
      <groupName>格式问题</groupName>
      <ability>L2_HalfPunc</ability>
      <abilityName>全半角检查</abilityName>
      <candidateList>
        <item>)</item>
      </candidateList>
      <explain>文本全半角错误。</explain>
      <paraID> 717444F</paraID>
      <start>13</start>
      <end>14</end>
      <status>unmodified</status>
      <modifiedWord/>
      <trackRevisions>false</trackRevisions>
    </reviewItem>
    <reviewItem>
      <errorID>876b863b-f18d-4dbb-b3fb-def117936159</errorID>
      <errorWord>（</errorWord>
      <group>L1_Format</group>
      <groupName>格式问题</groupName>
      <ability>L2_HalfPunc</ability>
      <abilityName>全半角检查</abilityName>
      <candidateList>
        <item>(</item>
      </candidateList>
      <explain>文本全半角错误。</explain>
      <paraID>5586A601</paraID>
      <start>4</start>
      <end>5</end>
      <status>unmodified</status>
      <modifiedWord/>
      <trackRevisions>false</trackRevisions>
    </reviewItem>
    <reviewItem>
      <errorID>35df8991-f6f7-4d05-aeb5-752364a296a8</errorID>
      <errorWord>）</errorWord>
      <group>L1_Format</group>
      <groupName>格式问题</groupName>
      <ability>L2_HalfPunc</ability>
      <abilityName>全半角检查</abilityName>
      <candidateList>
        <item>)</item>
      </candidateList>
      <explain>文本全半角错误。</explain>
      <paraID>5586A601</paraID>
      <start>6</start>
      <end>7</end>
      <status>unmodified</status>
      <modifiedWord/>
      <trackRevisions>false</trackRevisions>
    </reviewItem>
    <reviewItem>
      <errorID>76ab2a51-d1d5-4a1e-a3af-4c1fa13337b8</errorID>
      <errorWord>（</errorWord>
      <group>L1_Format</group>
      <groupName>格式问题</groupName>
      <ability>L2_HalfPunc</ability>
      <abilityName>全半角检查</abilityName>
      <candidateList>
        <item>(</item>
      </candidateList>
      <explain>文本全半角错误。</explain>
      <paraID>55A93A91</paraID>
      <start>4</start>
      <end>5</end>
      <status>unmodified</status>
      <modifiedWord/>
      <trackRevisions>false</trackRevisions>
    </reviewItem>
    <reviewItem>
      <errorID>3a616009-3d95-4294-afc7-1e1c73446aab</errorID>
      <errorWord>）</errorWord>
      <group>L1_Format</group>
      <groupName>格式问题</groupName>
      <ability>L2_HalfPunc</ability>
      <abilityName>全半角检查</abilityName>
      <candidateList>
        <item>)</item>
      </candidateList>
      <explain>文本全半角错误。</explain>
      <paraID>55A93A91</paraID>
      <start>6</start>
      <end>7</end>
      <status>unmodified</status>
      <modifiedWord/>
      <trackRevisions>false</trackRevisions>
    </reviewItem>
    <reviewItem>
      <errorID>a34134e3-c59b-4385-ace3-0c4760e26b54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55ED48D2</paraID>
      <start>0</start>
      <end>2</end>
      <status>unmodified</status>
      <modifiedWord/>
      <trackRevisions>false</trackRevisions>
    </reviewItem>
    <reviewItem>
      <errorID>759580a5-1ac1-404a-a04d-b679b9d6705c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7C42C393</paraID>
      <start>0</start>
      <end>2</end>
      <status>unmodified</status>
      <modifiedWord/>
      <trackRevisions>false</trackRevisions>
    </reviewItem>
    <reviewItem>
      <errorID>dc864187-6e54-4a12-8520-c2bee90fff05</errorID>
      <errorWord>，</errorWord>
      <group>L1_Punc</group>
      <groupName>标点问题</groupName>
      <ability>L2_Punc</ability>
      <abilityName>标点符号检查</abilityName>
      <candidateList>
        <item/>
      </candidateList>
      <explain/>
      <paraID> 3ECC1ED</paraID>
      <start>142</start>
      <end>143</end>
      <status>unmodified</status>
      <modifiedWord/>
      <trackRevisions>false</trackRevisions>
    </reviewItem>
    <reviewItem>
      <errorID>72685570-afbb-4527-ba2a-5eb6ceca5094</errorID>
      <errorWord>《</errorWord>
      <group>L1_Grammar</group>
      <groupName>语法问题</groupName>
      <ability>L2_Grammar</ability>
      <abilityName>语法错误</abilityName>
      <candidateList>
        <item>参照《</item>
      </candidateList>
      <explain/>
      <paraID> 3FBC506</paraID>
      <start>34</start>
      <end>35</end>
      <status>unmodified</status>
      <modifiedWord/>
      <trackRevisions>false</trackRevisions>
    </reviewItem>
    <reviewItem>
      <errorID>1598ed4e-e689-436d-9b74-d18cc64408fd</errorID>
      <errorWord>（</errorWord>
      <group>L1_Punc</group>
      <groupName>标点问题</groupName>
      <ability>L2_Punc</ability>
      <abilityName>标点符号检查</abilityName>
      <candidateList/>
      <explain>同一形式括号套用。</explain>
      <paraID> 3FBC506</paraID>
      <start>67</start>
      <end>68</end>
      <status>unmodified</status>
      <modifiedWord/>
      <trackRevisions>false</trackRevisions>
    </reviewItem>
    <reviewItem>
      <errorID>4d8f9408-fe26-4b1d-be1d-bc0c44b7589a</errorID>
      <errorWord>）</errorWord>
      <group>L1_Punc</group>
      <groupName>标点问题</groupName>
      <ability>L2_Punc</ability>
      <abilityName>标点符号检查</abilityName>
      <candidateList/>
      <explain>同一形式括号套用。</explain>
      <paraID> 3FBC506</paraID>
      <start>95</start>
      <end>96</end>
      <status>unmodified</status>
      <modifiedWord/>
      <trackRevisions>false</trackRevisions>
    </reviewItem>
    <reviewItem>
      <errorID>4849a5ef-8678-4e7c-89b5-2147393c0a9b</errorID>
      <errorWord>-</errorWord>
      <group>L1_Format</group>
      <groupName>格式问题</groupName>
      <ability>L2_HalfPunc</ability>
      <abilityName>全半角检查</abilityName>
      <candidateList>
        <item>－</item>
      </candidateList>
      <explain>文本全半角错误。</explain>
      <paraID> 3FBC506</paraID>
      <start>108</start>
      <end>109</end>
      <status>unmodified</status>
      <modifiedWord/>
      <trackRevisions>false</trackRevisions>
    </reviewItem>
    <reviewItem>
      <errorID>79078e5e-9c2e-4b12-8dc2-165c8eaac009</errorID>
      <errorWord>《</errorWord>
      <group>L1_Grammar</group>
      <groupName>语法问题</groupName>
      <ability>L2_Grammar</ability>
      <abilityName>语法错误</abilityName>
      <candidateList>
        <item>参照《</item>
      </candidateList>
      <explain/>
      <paraID>609ED7D1</paraID>
      <start>36</start>
      <end>37</end>
      <status>unmodified</status>
      <modifiedWord/>
      <trackRevisions>false</trackRevisions>
    </reviewItem>
    <reviewItem>
      <errorID>38228551-afda-41b3-916c-69a3941cf9d1</errorID>
      <errorWord>（</errorWord>
      <group>L1_Punc</group>
      <groupName>标点问题</groupName>
      <ability>L2_Punc</ability>
      <abilityName>标点符号检查</abilityName>
      <candidateList/>
      <explain>同一形式括号套用。</explain>
      <paraID>609ED7D1</paraID>
      <start>69</start>
      <end>70</end>
      <status>unmodified</status>
      <modifiedWord/>
      <trackRevisions>false</trackRevisions>
    </reviewItem>
    <reviewItem>
      <errorID>29da630c-23db-4b5b-b8d9-bd8fe34d823c</errorID>
      <errorWord>）</errorWord>
      <group>L1_Punc</group>
      <groupName>标点问题</groupName>
      <ability>L2_Punc</ability>
      <abilityName>标点符号检查</abilityName>
      <candidateList/>
      <explain>同一形式括号套用。</explain>
      <paraID>609ED7D1</paraID>
      <start>97</start>
      <end>98</end>
      <status>unmodified</status>
      <modifiedWord/>
      <trackRevisions>false</trackRevisions>
    </reviewItem>
    <reviewItem>
      <errorID>f79488c1-bd29-4c62-9181-653658f996ad</errorID>
      <errorWord>-</errorWord>
      <group>L1_Format</group>
      <groupName>格式问题</groupName>
      <ability>L2_HalfPunc</ability>
      <abilityName>全半角检查</abilityName>
      <candidateList>
        <item>－</item>
      </candidateList>
      <explain>文本全半角错误。</explain>
      <paraID>609ED7D1</paraID>
      <start>110</start>
      <end>111</end>
      <status>unmodified</status>
      <modifiedWord/>
      <trackRevisions>false</trackRevisions>
    </reviewItem>
    <reviewItem>
      <errorID>5b52aff2-7f63-40a5-b1ee-641732103a9e</errorID>
      <errorWord>（</errorWord>
      <group>L1_Punc</group>
      <groupName>标点问题</groupName>
      <ability>L2_Punc</ability>
      <abilityName>标点符号检查</abilityName>
      <candidateList/>
      <explain>同一形式括号套用。</explain>
      <paraID>67AD2B43</paraID>
      <start>70</start>
      <end>71</end>
      <status>unmodified</status>
      <modifiedWord/>
      <trackRevisions>false</trackRevisions>
    </reviewItem>
    <reviewItem>
      <errorID>821c44cf-8a90-40f5-a26a-74a7cf8e616f</errorID>
      <errorWord>）</errorWord>
      <group>L1_Punc</group>
      <groupName>标点问题</groupName>
      <ability>L2_Punc</ability>
      <abilityName>标点符号检查</abilityName>
      <candidateList/>
      <explain>同一形式括号套用。</explain>
      <paraID>67AD2B43</paraID>
      <start>98</start>
      <end>99</end>
      <status>unmodified</status>
      <modifiedWord/>
      <trackRevisions>false</trackRevisions>
    </reviewItem>
    <reviewItem>
      <errorID>6b0d1ca0-8d0c-4ca4-876e-1cc658542c11</errorID>
      <errorWord>-</errorWord>
      <group>L1_Format</group>
      <groupName>格式问题</groupName>
      <ability>L2_HalfPunc</ability>
      <abilityName>全半角检查</abilityName>
      <candidateList>
        <item>－</item>
      </candidateList>
      <explain>文本全半角错误。</explain>
      <paraID>67AD2B43</paraID>
      <start>111</start>
      <end>112</end>
      <status>unmodified</status>
      <modifiedWord/>
      <trackRevisions>false</trackRevisions>
    </reviewItem>
    <reviewItem>
      <errorID>f5f03224-6b7d-4858-a466-31548e7c7645</errorID>
      <errorWord>90~99%</errorWord>
      <group>L1_Knowledge</group>
      <groupName>知识性问题</groupName>
      <ability>L2_Knowledge</ability>
      <abilityName>其他知识</abilityName>
      <candidateList>
        <item>90%～99%</item>
      </candidateList>
      <explain>1. “90~99%”中的单位“%”仅出现在后一个数字上，容易引起歧义；根据《现代汉语标点符号数字用法规范手册》，数字表示范围两边需要使用统一的格式。2. 根据标点国标 4.13 中的规则，数字、时间或地域连接符应使用（视觉上更长的）“—”或“～”。</explain>
      <paraID>1F926F2B</paraID>
      <start>81</start>
      <end>87</end>
      <status>unmodified</status>
      <modifiedWord/>
      <trackRevisions>false</trackRevisions>
    </reviewItem>
    <reviewItem>
      <errorID>1ad4e4c4-58e4-4b20-ada0-30dc95e3b552</errorID>
      <errorWord>-</errorWord>
      <group>L1_Format</group>
      <groupName>格式问题</groupName>
      <ability>L2_HalfPunc</ability>
      <abilityName>全半角检查</abilityName>
      <candidateList>
        <item>－</item>
      </candidateList>
      <explain>文本全半角错误。</explain>
      <paraID>411BB6E7</paraID>
      <start>110</start>
      <end>111</end>
      <status>unmodified</status>
      <modifiedWord/>
      <trackRevisions>false</trackRevisions>
    </reviewItem>
    <reviewItem>
      <errorID>3ace5205-14b0-4c2c-ab59-1492948cf37e</errorID>
      <errorWord>-</errorWord>
      <group>L1_Format</group>
      <groupName>格式问题</groupName>
      <ability>L2_HalfPunc</ability>
      <abilityName>全半角检查</abilityName>
      <candidateList>
        <item>－</item>
      </candidateList>
      <explain>文本全半角错误。</explain>
      <paraID>411BB6E7</paraID>
      <start>116</start>
      <end>117</end>
      <status>unmodified</status>
      <modifiedWord/>
      <trackRevisions>false</trackRevisions>
    </reviewItem>
    <reviewItem>
      <errorID>4647983a-8534-4199-afa0-f65663ca7775</errorID>
      <errorWord>-</errorWord>
      <group>L1_Format</group>
      <groupName>格式问题</groupName>
      <ability>L2_HalfPunc</ability>
      <abilityName>全半角检查</abilityName>
      <candidateList>
        <item>－</item>
      </candidateList>
      <explain>文本全半角错误。</explain>
      <paraID>411BB6E7</paraID>
      <start>139</start>
      <end>140</end>
      <status>unmodified</status>
      <modifiedWord/>
      <trackRevisions>false</trackRevisions>
    </reviewItem>
    <reviewItem>
      <errorID>d941e8da-dc31-48ae-97be-f7941c8abc7a</errorID>
      <errorWord>（</errorWord>
      <group>L1_Format</group>
      <groupName>格式问题</groupName>
      <ability>L2_HalfPunc</ability>
      <abilityName>全半角检查</abilityName>
      <candidateList>
        <item>(</item>
      </candidateList>
      <explain>文本全半角错误。</explain>
      <paraID>13800BE0</paraID>
      <start>0</start>
      <end>1</end>
      <status>unmodified</status>
      <modifiedWord/>
      <trackRevisions>false</trackRevisions>
    </reviewItem>
    <reviewItem>
      <errorID>4fd1cb9e-ace7-42a7-b94c-9d357dfa6988</errorID>
      <errorWord>）</errorWord>
      <group>L1_Format</group>
      <groupName>格式问题</groupName>
      <ability>L2_HalfPunc</ability>
      <abilityName>全半角检查</abilityName>
      <candidateList>
        <item>)</item>
      </candidateList>
      <explain>文本全半角错误。</explain>
      <paraID>13800BE0</paraID>
      <start>5</start>
      <end>6</end>
      <status>unmodified</status>
      <modifiedWord/>
      <trackRevisions>false</trackRevisions>
    </reviewItem>
    <reviewItem>
      <errorID>65c990e9-9052-47bb-89f8-8544051dd2ab</errorID>
      <errorWord>（</errorWord>
      <group>L1_Format</group>
      <groupName>格式问题</groupName>
      <ability>L2_HalfPunc</ability>
      <abilityName>全半角检查</abilityName>
      <candidateList>
        <item>(</item>
      </candidateList>
      <explain>文本全半角错误。</explain>
      <paraID> 4B4BD72</paraID>
      <start>0</start>
      <end>1</end>
      <status>unmodified</status>
      <modifiedWord/>
      <trackRevisions>false</trackRevisions>
    </reviewItem>
    <reviewItem>
      <errorID>03b01a60-3830-49b4-aab7-0277ad933c29</errorID>
      <errorWord>）</errorWord>
      <group>L1_Format</group>
      <groupName>格式问题</groupName>
      <ability>L2_HalfPunc</ability>
      <abilityName>全半角检查</abilityName>
      <candidateList>
        <item>)</item>
      </candidateList>
      <explain>文本全半角错误。</explain>
      <paraID> 4B4BD72</paraID>
      <start>6</start>
      <end>7</end>
      <status>unmodified</status>
      <modifiedWord/>
      <trackRevisions>false</trackRevisions>
    </reviewItem>
    <reviewItem>
      <errorID>109b4862-1f2e-4c21-b5a8-a81d6e0b8f3e</errorID>
      <errorWord>（</errorWord>
      <group>L1_Format</group>
      <groupName>格式问题</groupName>
      <ability>L2_HalfPunc</ability>
      <abilityName>全半角检查</abilityName>
      <candidateList>
        <item>(</item>
      </candidateList>
      <explain>文本全半角错误。</explain>
      <paraID>22D1F8FD</paraID>
      <start>0</start>
      <end>1</end>
      <status>unmodified</status>
      <modifiedWord/>
      <trackRevisions>false</trackRevisions>
    </reviewItem>
    <reviewItem>
      <errorID>d070d709-c9e3-49f5-91b6-9244e2f57463</errorID>
      <errorWord>）</errorWord>
      <group>L1_Format</group>
      <groupName>格式问题</groupName>
      <ability>L2_HalfPunc</ability>
      <abilityName>全半角检查</abilityName>
      <candidateList>
        <item>)</item>
      </candidateList>
      <explain>文本全半角错误。</explain>
      <paraID>22D1F8FD</paraID>
      <start>5</start>
      <end>6</end>
      <status>unmodified</status>
      <modifiedWord/>
      <trackRevisions>false</trackRevisions>
    </reviewItem>
    <reviewItem>
      <errorID>d5973fbf-0ceb-4431-ba39-bb7ac18d43ae</errorID>
      <errorWord>（</errorWord>
      <group>L1_Format</group>
      <groupName>格式问题</groupName>
      <ability>L2_HalfPunc</ability>
      <abilityName>全半角检查</abilityName>
      <candidateList>
        <item>(</item>
      </candidateList>
      <explain>文本全半角错误。</explain>
      <paraID>5EC08CEA</paraID>
      <start>0</start>
      <end>1</end>
      <status>unmodified</status>
      <modifiedWord/>
      <trackRevisions>false</trackRevisions>
    </reviewItem>
    <reviewItem>
      <errorID>b57b8ff7-8871-4f73-8cee-77156a6495f1</errorID>
      <errorWord>）</errorWord>
      <group>L1_Format</group>
      <groupName>格式问题</groupName>
      <ability>L2_HalfPunc</ability>
      <abilityName>全半角检查</abilityName>
      <candidateList>
        <item>)</item>
      </candidateList>
      <explain>文本全半角错误。</explain>
      <paraID>5EC08CEA</paraID>
      <start>4</start>
      <end>5</end>
      <status>unmodified</status>
      <modifiedWord/>
      <trackRevisions>false</trackRevisions>
    </reviewItem>
    <reviewItem>
      <errorID>2ffd5dbe-46b9-43f4-8cfe-c3e52871693c</errorID>
      <errorWord>（</errorWord>
      <group>L1_Format</group>
      <groupName>格式问题</groupName>
      <ability>L2_HalfPunc</ability>
      <abilityName>全半角检查</abilityName>
      <candidateList>
        <item>(</item>
      </candidateList>
      <explain>文本全半角错误。</explain>
      <paraID>3D8C8F58</paraID>
      <start>0</start>
      <end>1</end>
      <status>unmodified</status>
      <modifiedWord/>
      <trackRevisions>false</trackRevisions>
    </reviewItem>
    <reviewItem>
      <errorID>76059969-75c0-4dc3-b9c7-4ff807d5d648</errorID>
      <errorWord>）</errorWord>
      <group>L1_Format</group>
      <groupName>格式问题</groupName>
      <ability>L2_HalfPunc</ability>
      <abilityName>全半角检查</abilityName>
      <candidateList>
        <item>)</item>
      </candidateList>
      <explain>文本全半角错误。</explain>
      <paraID>3D8C8F58</paraID>
      <start>4</start>
      <end>5</end>
      <status>unmodified</status>
      <modifiedWord/>
      <trackRevisions>false</trackRevisions>
    </reviewItem>
    <reviewItem>
      <errorID>0c608406-cc7e-4a9d-bb9e-bca3e56d20bf</errorID>
      <errorWord>（</errorWord>
      <group>L1_Format</group>
      <groupName>格式问题</groupName>
      <ability>L2_HalfPunc</ability>
      <abilityName>全半角检查</abilityName>
      <candidateList>
        <item>(</item>
      </candidateList>
      <explain>文本全半角错误。</explain>
      <paraID>13BF96FF</paraID>
      <start>0</start>
      <end>1</end>
      <status>unmodified</status>
      <modifiedWord/>
      <trackRevisions>false</trackRevisions>
    </reviewItem>
    <reviewItem>
      <errorID>ed014d76-6163-4f77-83c0-6cdfa81b6544</errorID>
      <errorWord>）</errorWord>
      <group>L1_Format</group>
      <groupName>格式问题</groupName>
      <ability>L2_HalfPunc</ability>
      <abilityName>全半角检查</abilityName>
      <candidateList>
        <item>)</item>
      </candidateList>
      <explain>文本全半角错误。</explain>
      <paraID>13BF96FF</paraID>
      <start>6</start>
      <end>7</end>
      <status>unmodified</status>
      <modifiedWord/>
      <trackRevisions>false</trackRevisions>
    </reviewItem>
    <reviewItem>
      <errorID>de7f2c00-a341-4e03-9cc1-d111b8b80b38</errorID>
      <errorWord>（</errorWord>
      <group>L1_Format</group>
      <groupName>格式问题</groupName>
      <ability>L2_HalfPunc</ability>
      <abilityName>全半角检查</abilityName>
      <candidateList>
        <item>(</item>
      </candidateList>
      <explain>文本全半角错误。</explain>
      <paraID>26512C36</paraID>
      <start>0</start>
      <end>1</end>
      <status>unmodified</status>
      <modifiedWord/>
      <trackRevisions>false</trackRevisions>
    </reviewItem>
    <reviewItem>
      <errorID>6422a890-bd99-4670-89e3-83f11e34dd79</errorID>
      <errorWord>）</errorWord>
      <group>L1_Format</group>
      <groupName>格式问题</groupName>
      <ability>L2_HalfPunc</ability>
      <abilityName>全半角检查</abilityName>
      <candidateList>
        <item>)</item>
      </candidateList>
      <explain>文本全半角错误。</explain>
      <paraID>26512C36</paraID>
      <start>4</start>
      <end>5</end>
      <status>unmodified</status>
      <modifiedWord/>
      <trackRevisions>false</trackRevisions>
    </reviewItem>
    <reviewItem>
      <errorID>bb43f6ff-fa58-4687-8cf5-8e884fe6d7dc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37BA7E17</paraID>
      <start>0</start>
      <end>2</end>
      <status>unmodified</status>
      <modifiedWord/>
      <trackRevisions>false</trackRevisions>
    </reviewItem>
    <reviewItem>
      <errorID>fde15555-582c-400f-95c0-40f42bd9e9f9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261D7D98</paraID>
      <start>0</start>
      <end>2</end>
      <status>unmodified</status>
      <modifiedWord/>
      <trackRevisions>false</trackRevisions>
    </reviewItem>
    <reviewItem>
      <errorID>870b9fa0-adaf-41ff-acf0-b00ccae750c9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B9DDD51</paraID>
      <start>0</start>
      <end>2</end>
      <status>unmodified</status>
      <modifiedWord/>
      <trackRevisions>false</trackRevisions>
    </reviewItem>
    <reviewItem>
      <errorID>33a1753b-7242-4a1d-a02a-40585f7602db</errorID>
      <errorWord>：</errorWord>
      <group>L1_Format</group>
      <groupName>格式问题</groupName>
      <ability>L2_HalfPunc</ability>
      <abilityName>全半角检查</abilityName>
      <candidateList>
        <item>:</item>
      </candidateList>
      <explain>文本全半角错误。</explain>
      <paraID>6F0206B3</paraID>
      <start>93</start>
      <end>94</end>
      <status>unmodified</status>
      <modifiedWord/>
      <trackRevisions>false</trackRevisions>
    </reviewItem>
    <reviewItem>
      <errorID>4089ea34-620d-4f55-b2d8-d31d1cfab219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3C528DB2</paraID>
      <start>0</start>
      <end>2</end>
      <status>unmodified</status>
      <modifiedWord/>
      <trackRevisions>false</trackRevisions>
    </reviewItem>
    <reviewItem>
      <errorID>fb3751e7-8c63-4eba-91df-59e1528e4571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43916398</paraID>
      <start>0</start>
      <end>2</end>
      <status>unmodified</status>
      <modifiedWord/>
      <trackRevisions>false</trackRevisions>
    </reviewItem>
    <reviewItem>
      <errorID>4917015c-45a3-4d7b-a3eb-6b38008b5e2a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511150AD</paraID>
      <start>0</start>
      <end>2</end>
      <status>unmodified</status>
      <modifiedWord/>
      <trackRevisions>false</trackRevisions>
    </reviewItem>
    <reviewItem>
      <errorID>c2c806ed-fc83-4248-a3c2-30bb9a92cc4a</errorID>
      <errorWord>（</errorWord>
      <group>L1_Punc</group>
      <groupName>标点问题</groupName>
      <ability>L2_Punc</ability>
      <abilityName>标点符号检查</abilityName>
      <candidateList/>
      <explain>同一形式括号套用。</explain>
      <paraID>2F045035</paraID>
      <start>73</start>
      <end>74</end>
      <status>unmodified</status>
      <modifiedWord/>
      <trackRevisions>false</trackRevisions>
    </reviewItem>
    <reviewItem>
      <errorID>6995b287-cba8-4bb8-b351-2ff7f080d451</errorID>
      <errorWord>）</errorWord>
      <group>L1_Punc</group>
      <groupName>标点问题</groupName>
      <ability>L2_Punc</ability>
      <abilityName>标点符号检查</abilityName>
      <candidateList/>
      <explain>同一形式括号套用。</explain>
      <paraID>2F045035</paraID>
      <start>75</start>
      <end>76</end>
      <status>unmodified</status>
      <modifiedWord/>
      <trackRevisions>false</trackRevisions>
    </reviewItem>
    <reviewItem>
      <errorID>18a6b33f-2450-47df-93d7-03163662aeca</errorID>
      <errorWord>（</errorWord>
      <group>L1_Punc</group>
      <groupName>标点问题</groupName>
      <ability>L2_Punc</ability>
      <abilityName>标点符号检查</abilityName>
      <candidateList/>
      <explain>同一形式括号套用。</explain>
      <paraID>2F045035</paraID>
      <start>84</start>
      <end>85</end>
      <status>unmodified</status>
      <modifiedWord/>
      <trackRevisions>false</trackRevisions>
    </reviewItem>
    <reviewItem>
      <errorID>b98f1a07-759d-481f-83bb-499c3f9825af</errorID>
      <errorWord>）</errorWord>
      <group>L1_Punc</group>
      <groupName>标点问题</groupName>
      <ability>L2_Punc</ability>
      <abilityName>标点符号检查</abilityName>
      <candidateList/>
      <explain>同一形式括号套用。</explain>
      <paraID>2F045035</paraID>
      <start>86</start>
      <end>87</end>
      <status>unmodified</status>
      <modifiedWord/>
      <trackRevisions>false</trackRevisions>
    </reviewItem>
    <reviewItem>
      <errorID>84c9134d-54fd-4de7-8037-dcd56afedf8d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440A77E5</paraID>
      <start>0</start>
      <end>2</end>
      <status>unmodified</status>
      <modifiedWord/>
      <trackRevisions>false</trackRevisions>
    </reviewItem>
    <reviewItem>
      <errorID>2c426099-91c3-4db4-82ec-b313afbb11ee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174D8CB0</paraID>
      <start>0</start>
      <end>2</end>
      <status>unmodified</status>
      <modifiedWord/>
      <trackRevisions>false</trackRevisions>
    </reviewItem>
    <reviewItem>
      <errorID>c92c0e4a-193c-4f8a-892b-2a559e84ed8c</errorID>
      <errorWord>，</errorWord>
      <group>L1_Format</group>
      <groupName>格式问题</groupName>
      <ability>L2_HalfPunc</ability>
      <abilityName>全半角检查</abilityName>
      <candidateList>
        <item>, </item>
      </candidateList>
      <explain>文本全半角错误。</explain>
      <paraID>47ADA8FC</paraID>
      <start>1</start>
      <end>2</end>
      <status>unmodified</status>
      <modifiedWord/>
      <trackRevisions>false</trackRevisions>
    </reviewItem>
    <reviewItem>
      <errorID>0fd86ceb-58ad-42c3-9e75-d51403712d03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57E5B537</paraID>
      <start>0</start>
      <end>2</end>
      <status>unmodified</status>
      <modifiedWord/>
      <trackRevisions>false</trackRevisions>
    </reviewItem>
    <reviewItem>
      <errorID>58602fcc-c9ae-4c62-b1aa-1afa2cf15eaa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149A9AE1</paraID>
      <start>231</start>
      <end>232</end>
      <status>unmodified</status>
      <modifiedWord/>
      <trackRevisions>false</trackRevisions>
    </reviewItem>
    <reviewItem>
      <errorID>48da484f-2272-429e-b34f-eaba294f60b2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678FE40</paraID>
      <start>63</start>
      <end>64</end>
      <status>unmodified</status>
      <modifiedWord/>
      <trackRevisions>false</trackRevisions>
    </reviewItem>
    <reviewItem>
      <errorID>3f0746c3-56c0-4254-832e-b7d8f2d5c338</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3918640B</paraID>
      <start>55</start>
      <end>59</end>
      <status>unmodified</status>
      <modifiedWord/>
      <trackRevisions>false</trackRevisions>
    </reviewItem>
    <reviewItem>
      <errorID>69458cbf-5b82-45e1-9fe3-f7864a8fa71f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1F034C78</paraID>
      <start>0</start>
      <end>2</end>
      <status>unmodified</status>
      <modifiedWord/>
      <trackRevisions>false</trackRevisions>
    </reviewItem>
    <reviewItem>
      <errorID>c65ea4c6-c411-49db-92ef-39540b8a10e2</errorID>
      <errorWord>(</errorWord>
      <group>L1_Format</group>
      <groupName>格式问题</groupName>
      <ability>L2_HalfPunc</ability>
      <abilityName>全半角检查</abilityName>
      <candidateList>
        <item>（</item>
      </candidateList>
      <explain>文本全半角错误。</explain>
      <paraID>15A627BA</paraID>
      <start>51</start>
      <end>52</end>
      <status>unmodified</status>
      <modifiedWord/>
      <trackRevisions>false</trackRevisions>
    </reviewItem>
    <reviewItem>
      <errorID>3b1fff2a-a28c-417b-8585-92dc0bf3cfa5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5A143193</paraID>
      <start>0</start>
      <end>2</end>
      <status>unmodified</status>
      <modifiedWord/>
      <trackRevisions>false</trackRevisions>
    </reviewItem>
    <reviewItem>
      <errorID>36390523-023d-4a82-bd17-0f29c224c00a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346F0DCA</paraID>
      <start>0</start>
      <end>2</end>
      <status>unmodified</status>
      <modifiedWord/>
      <trackRevisions>false</trackRevisions>
    </reviewItem>
    <reviewItem>
      <errorID>06f26eed-57f0-419d-b77d-f8da9a42a54b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6C1C6A14</paraID>
      <start>0</start>
      <end>2</end>
      <status>unmodified</status>
      <modifiedWord/>
      <trackRevisions>false</trackRevisions>
    </reviewItem>
    <reviewItem>
      <errorID>1f2061ac-903a-4707-a955-0bc4943806c4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13E4B1EF</paraID>
      <start>63</start>
      <end>64</end>
      <status>unmodified</status>
      <modifiedWord/>
      <trackRevisions>false</trackRevisions>
    </reviewItem>
    <reviewItem>
      <errorID>57db39e3-54b3-4bd3-9ee6-ffa3bd9bca52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33AF8CF8</paraID>
      <start>0</start>
      <end>2</end>
      <status>unmodified</status>
      <modifiedWord/>
      <trackRevisions>false</trackRevisions>
    </reviewItem>
    <reviewItem>
      <errorID>6d96c1d2-8226-42d0-8697-d8d084b35f0f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4557B901</paraID>
      <start>0</start>
      <end>2</end>
      <status>unmodified</status>
      <modifiedWord/>
      <trackRevisions>false</trackRevisions>
    </reviewItem>
    <reviewItem>
      <errorID>2fbddca0-e307-471d-bea4-6b6d334dbe8e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11BB67D5</paraID>
      <start>0</start>
      <end>2</end>
      <status>unmodified</status>
      <modifiedWord/>
      <trackRevisions>false</trackRevisions>
    </reviewItem>
    <reviewItem>
      <errorID>5afd4858-a98b-44df-a96f-6a60efb50a4f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4AA59137</paraID>
      <start>0</start>
      <end>2</end>
      <status>unmodified</status>
      <modifiedWord/>
      <trackRevisions>false</trackRevisions>
    </reviewItem>
    <reviewItem>
      <errorID>041766af-6bba-4bec-a7b2-4d333e4e0da0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376354A6</paraID>
      <start>0</start>
      <end>2</end>
      <status>unmodified</status>
      <modifiedWord/>
      <trackRevisions>false</trackRevisions>
    </reviewItem>
    <reviewItem>
      <errorID>3c6fa0a7-9789-49b4-a5d6-42e20afb0203</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13358BCD</paraID>
      <start>0</start>
      <end>2</end>
      <status>unmodified</status>
      <modifiedWord/>
      <trackRevisions>false</trackRevisions>
    </reviewItem>
    <reviewItem>
      <errorID>3016e4e9-e01f-4dc7-9718-35d2c8af9ebf</errorID>
      <errorWord>，</errorWord>
      <group>L1_Word</group>
      <groupName>字词问题</groupName>
      <ability>L2_Typo</ability>
      <abilityName>字词错误</abilityName>
      <candidateList>
        <item>，在</item>
      </candidateList>
      <explain/>
      <paraID>577F276A</paraID>
      <start>90</start>
      <end>91</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9cd48a9-7ded-49be-bb00-18c4c694c74f}">
  <ds:schemaRefs/>
</ds:datastoreItem>
</file>

<file path=docProps/app.xml><?xml version="1.0" encoding="utf-8"?>
<Properties xmlns="http://schemas.openxmlformats.org/officeDocument/2006/extended-properties" xmlns:vt="http://schemas.openxmlformats.org/officeDocument/2006/docPropsVTypes">
  <Template>Normal.dotm</Template>
  <Pages>92</Pages>
  <Words>20810</Words>
  <Characters>21929</Characters>
  <Lines>0</Lines>
  <Paragraphs>0</Paragraphs>
  <TotalTime>2</TotalTime>
  <ScaleCrop>false</ScaleCrop>
  <LinksUpToDate>false</LinksUpToDate>
  <CharactersWithSpaces>22011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2023-05-06T08:40:00Z</dcterms:created>
  <dc:creator>Whale Fall</dc:creator>
  <cp:lastModifiedBy>Whale Fall</cp:lastModifiedBy>
  <dcterms:modified xsi:type="dcterms:W3CDTF">2026-04-20T02:33:26Z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80E9984CDA33473C99A62E53D7D226FB_13</vt:lpwstr>
  </property>
  <property fmtid="{D5CDD505-2E9C-101B-9397-08002B2CF9AE}" pid="4" name="KSOTemplateDocerSaveRecord">
    <vt:lpwstr>eyJoZGlkIjoiYzkwY2FmMDI0MmQ1N2Y3NTkyNGY3Y2RjODIxZThlNGYiLCJ1c2VySWQiOiI3MzIyNzcwMjQifQ==</vt:lpwstr>
  </property>
</Properties>
</file>