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F54C62">
      <w:pPr>
        <w:rPr>
          <w:rFonts w:hint="eastAsia" w:ascii="Times New Roman" w:hAnsi="Times New Roman" w:eastAsia="仿宋_GB2312" w:cs="Times New Roman"/>
          <w:color w:val="auto"/>
          <w:sz w:val="36"/>
          <w:szCs w:val="36"/>
          <w:highlight w:val="none"/>
          <w:lang w:val="en-US" w:eastAsia="zh-CN"/>
        </w:rPr>
      </w:pPr>
      <w:r>
        <w:rPr>
          <w:rFonts w:hint="eastAsia" w:eastAsia="仿宋_GB2312" w:cs="Times New Roman"/>
          <w:color w:val="auto"/>
          <w:sz w:val="36"/>
          <w:szCs w:val="36"/>
          <w:highlight w:val="none"/>
          <w:lang w:val="en-US" w:eastAsia="zh-CN"/>
        </w:rPr>
        <w:t xml:space="preserve"> </w:t>
      </w:r>
    </w:p>
    <w:p w14:paraId="6C6521FF">
      <w:pPr>
        <w:rPr>
          <w:rFonts w:hint="default" w:ascii="Times New Roman" w:hAnsi="Times New Roman" w:eastAsia="仿宋_GB2312" w:cs="Times New Roman"/>
          <w:color w:val="auto"/>
          <w:sz w:val="36"/>
          <w:szCs w:val="36"/>
          <w:highlight w:val="none"/>
        </w:rPr>
      </w:pPr>
    </w:p>
    <w:p w14:paraId="6E99BE52">
      <w:pPr>
        <w:pStyle w:val="11"/>
        <w:rPr>
          <w:rFonts w:hint="default" w:ascii="Times New Roman" w:hAnsi="Times New Roman" w:eastAsia="仿宋_GB2312" w:cs="Times New Roman"/>
          <w:color w:val="auto"/>
          <w:sz w:val="36"/>
          <w:szCs w:val="36"/>
          <w:highlight w:val="none"/>
        </w:rPr>
      </w:pPr>
    </w:p>
    <w:p w14:paraId="00C826D8">
      <w:pPr>
        <w:rPr>
          <w:rFonts w:hint="default" w:ascii="Times New Roman" w:hAnsi="Times New Roman" w:eastAsia="仿宋_GB2312" w:cs="Times New Roman"/>
          <w:color w:val="auto"/>
          <w:sz w:val="36"/>
          <w:szCs w:val="36"/>
          <w:highlight w:val="none"/>
        </w:rPr>
      </w:pPr>
    </w:p>
    <w:p w14:paraId="541BFA64">
      <w:pPr>
        <w:pStyle w:val="11"/>
        <w:rPr>
          <w:rFonts w:hint="default"/>
          <w:color w:val="auto"/>
          <w:highlight w:val="none"/>
        </w:rPr>
      </w:pPr>
    </w:p>
    <w:p w14:paraId="54DD6359">
      <w:pPr>
        <w:rPr>
          <w:rFonts w:hint="default" w:ascii="Times New Roman" w:hAnsi="Times New Roman" w:eastAsia="仿宋_GB2312" w:cs="Times New Roman"/>
          <w:color w:val="auto"/>
          <w:sz w:val="36"/>
          <w:szCs w:val="36"/>
          <w:highlight w:val="none"/>
        </w:rPr>
      </w:pPr>
    </w:p>
    <w:p w14:paraId="0C3FF46A">
      <w:pPr>
        <w:pStyle w:val="117"/>
        <w:outlineLvl w:val="9"/>
        <w:rPr>
          <w:rFonts w:hint="eastAsia" w:ascii="黑体" w:hAnsi="黑体" w:eastAsia="黑体" w:cs="黑体"/>
          <w:color w:val="auto"/>
          <w:highlight w:val="none"/>
        </w:rPr>
      </w:pPr>
      <w:bookmarkStart w:id="0" w:name="_Toc1735"/>
      <w:bookmarkStart w:id="1" w:name="_Toc28076"/>
      <w:bookmarkStart w:id="2" w:name="_Toc22884"/>
      <w:bookmarkStart w:id="3" w:name="_Toc19907"/>
      <w:bookmarkStart w:id="4" w:name="_Toc6861"/>
      <w:bookmarkStart w:id="5" w:name="_Toc19645"/>
      <w:bookmarkStart w:id="6" w:name="_Toc28077"/>
      <w:r>
        <w:rPr>
          <w:rFonts w:hint="eastAsia" w:ascii="黑体" w:hAnsi="黑体" w:eastAsia="黑体" w:cs="黑体"/>
          <w:color w:val="auto"/>
          <w:highlight w:val="none"/>
        </w:rPr>
        <w:t>建设项目环境影响报告表</w:t>
      </w:r>
      <w:bookmarkEnd w:id="0"/>
      <w:bookmarkEnd w:id="1"/>
      <w:bookmarkEnd w:id="2"/>
      <w:bookmarkEnd w:id="3"/>
      <w:bookmarkEnd w:id="4"/>
      <w:bookmarkEnd w:id="5"/>
      <w:bookmarkEnd w:id="6"/>
    </w:p>
    <w:p w14:paraId="47736F25">
      <w:pPr>
        <w:pStyle w:val="115"/>
        <w:spacing w:before="192"/>
        <w:rPr>
          <w:color w:val="auto"/>
          <w:highlight w:val="none"/>
        </w:rPr>
      </w:pPr>
      <w:r>
        <w:rPr>
          <w:color w:val="auto"/>
          <w:highlight w:val="none"/>
        </w:rPr>
        <w:t>（污染影响类）</w:t>
      </w:r>
    </w:p>
    <w:p w14:paraId="40F3C255">
      <w:pPr>
        <w:jc w:val="center"/>
        <w:rPr>
          <w:rFonts w:hint="default" w:ascii="Times New Roman" w:hAnsi="Times New Roman" w:eastAsia="仿宋" w:cs="Times New Roman"/>
          <w:color w:val="auto"/>
          <w:sz w:val="52"/>
          <w:szCs w:val="52"/>
          <w:highlight w:val="none"/>
        </w:rPr>
      </w:pPr>
    </w:p>
    <w:p w14:paraId="3BCB43C4">
      <w:pPr>
        <w:pStyle w:val="11"/>
        <w:rPr>
          <w:rFonts w:hint="default"/>
          <w:color w:val="auto"/>
          <w:highlight w:val="none"/>
        </w:rPr>
      </w:pPr>
    </w:p>
    <w:p w14:paraId="6194A97A">
      <w:pPr>
        <w:rPr>
          <w:rFonts w:hint="default"/>
          <w:color w:val="auto"/>
          <w:highlight w:val="none"/>
        </w:rPr>
      </w:pPr>
    </w:p>
    <w:p w14:paraId="4A051774">
      <w:pPr>
        <w:ind w:firstLine="1040"/>
        <w:rPr>
          <w:rFonts w:hint="default" w:ascii="Times New Roman" w:hAnsi="Times New Roman" w:eastAsia="仿宋" w:cs="Times New Roman"/>
          <w:color w:val="auto"/>
          <w:sz w:val="44"/>
          <w:szCs w:val="44"/>
          <w:highlight w:val="none"/>
        </w:rPr>
      </w:pPr>
    </w:p>
    <w:p w14:paraId="45ECEF31">
      <w:pPr>
        <w:ind w:firstLine="1040"/>
        <w:rPr>
          <w:rFonts w:hint="default" w:ascii="Times New Roman" w:hAnsi="Times New Roman" w:eastAsia="仿宋" w:cs="Times New Roman"/>
          <w:color w:val="auto"/>
          <w:sz w:val="44"/>
          <w:szCs w:val="44"/>
          <w:highlight w:val="none"/>
        </w:rPr>
      </w:pPr>
    </w:p>
    <w:p w14:paraId="7E27E859">
      <w:pPr>
        <w:ind w:firstLine="1040"/>
        <w:rPr>
          <w:rFonts w:hint="eastAsia" w:ascii="方正仿宋_GB2312" w:hAnsi="方正仿宋_GB2312" w:eastAsia="方正仿宋_GB2312" w:cs="方正仿宋_GB2312"/>
          <w:color w:val="auto"/>
          <w:sz w:val="44"/>
          <w:szCs w:val="44"/>
          <w:highlight w:val="none"/>
        </w:rPr>
      </w:pPr>
    </w:p>
    <w:p w14:paraId="3C39498E">
      <w:pPr>
        <w:adjustRightInd w:val="0"/>
        <w:snapToGrid w:val="0"/>
        <w:spacing w:line="288" w:lineRule="auto"/>
        <w:ind w:left="2518" w:leftChars="342" w:hanging="1800" w:hangingChars="500"/>
        <w:rPr>
          <w:rFonts w:hint="eastAsia" w:ascii="方正仿宋_GB2312" w:hAnsi="方正仿宋_GB2312" w:eastAsia="方正仿宋_GB2312" w:cs="方正仿宋_GB2312"/>
          <w:color w:val="auto"/>
          <w:sz w:val="36"/>
          <w:szCs w:val="36"/>
          <w:highlight w:val="none"/>
          <w:u w:val="single"/>
          <w:lang w:eastAsia="zh-CN"/>
        </w:rPr>
      </w:pPr>
      <w:r>
        <w:rPr>
          <w:rFonts w:hint="eastAsia" w:ascii="方正仿宋_GB2312" w:hAnsi="方正仿宋_GB2312" w:eastAsia="方正仿宋_GB2312" w:cs="方正仿宋_GB2312"/>
          <w:color w:val="auto"/>
          <w:sz w:val="36"/>
          <w:szCs w:val="36"/>
          <w:highlight w:val="none"/>
        </w:rPr>
        <w:t>项目名称：</w:t>
      </w:r>
      <w:r>
        <w:rPr>
          <w:rFonts w:hint="eastAsia" w:ascii="方正仿宋_GB2312" w:hAnsi="方正仿宋_GB2312" w:eastAsia="方正仿宋_GB2312" w:cs="方正仿宋_GB2312"/>
          <w:color w:val="auto"/>
          <w:sz w:val="36"/>
          <w:szCs w:val="36"/>
          <w:highlight w:val="none"/>
          <w:u w:val="single"/>
        </w:rPr>
        <w:t>双鸭山市松森木材加工厂生态板芯项目</w:t>
      </w:r>
    </w:p>
    <w:p w14:paraId="55CFDBB8">
      <w:pPr>
        <w:adjustRightInd w:val="0"/>
        <w:snapToGrid w:val="0"/>
        <w:spacing w:line="288" w:lineRule="auto"/>
        <w:ind w:left="3958" w:leftChars="342" w:hanging="3240" w:hangingChars="900"/>
        <w:rPr>
          <w:rFonts w:hint="default" w:ascii="Times New Roman" w:hAnsi="Times New Roman" w:eastAsia="方正仿宋_GB2312" w:cs="Times New Roman"/>
          <w:color w:val="auto"/>
          <w:sz w:val="36"/>
          <w:szCs w:val="36"/>
          <w:highlight w:val="none"/>
          <w:u w:val="single"/>
          <w:lang w:val="en-US" w:eastAsia="zh-CN"/>
        </w:rPr>
      </w:pPr>
      <w:r>
        <w:rPr>
          <w:rFonts w:hint="default" w:ascii="方正仿宋_GB2312" w:hAnsi="方正仿宋_GB2312" w:eastAsia="方正仿宋_GB2312" w:cs="方正仿宋_GB2312"/>
          <w:color w:val="auto"/>
          <w:sz w:val="36"/>
          <w:szCs w:val="36"/>
          <w:highlight w:val="none"/>
        </w:rPr>
        <w:t>建设单位（盖章）：</w:t>
      </w:r>
      <w:r>
        <w:rPr>
          <w:rFonts w:hint="eastAsia" w:ascii="方正仿宋_GB2312" w:hAnsi="方正仿宋_GB2312" w:eastAsia="方正仿宋_GB2312" w:cs="方正仿宋_GB2312"/>
          <w:color w:val="auto"/>
          <w:sz w:val="36"/>
          <w:szCs w:val="36"/>
          <w:highlight w:val="none"/>
          <w:u w:val="single"/>
        </w:rPr>
        <w:t>双鸭山市松森木材</w:t>
      </w:r>
      <w:r>
        <w:rPr>
          <w:rFonts w:hint="eastAsia" w:ascii="方正仿宋_GB2312" w:hAnsi="方正仿宋_GB2312" w:eastAsia="方正仿宋_GB2312" w:cs="方正仿宋_GB2312"/>
          <w:color w:val="auto"/>
          <w:sz w:val="36"/>
          <w:szCs w:val="36"/>
          <w:highlight w:val="none"/>
          <w:u w:val="single"/>
          <w:lang w:val="en-US" w:eastAsia="zh-CN"/>
        </w:rPr>
        <w:t>家具</w:t>
      </w:r>
      <w:r>
        <w:rPr>
          <w:rFonts w:hint="eastAsia" w:ascii="方正仿宋_GB2312" w:hAnsi="方正仿宋_GB2312" w:eastAsia="方正仿宋_GB2312" w:cs="方正仿宋_GB2312"/>
          <w:color w:val="auto"/>
          <w:sz w:val="36"/>
          <w:szCs w:val="36"/>
          <w:highlight w:val="none"/>
          <w:u w:val="single"/>
        </w:rPr>
        <w:t>厂</w:t>
      </w:r>
      <w:r>
        <w:rPr>
          <w:rFonts w:hint="eastAsia" w:ascii="方正仿宋_GB2312" w:hAnsi="方正仿宋_GB2312" w:eastAsia="方正仿宋_GB2312" w:cs="方正仿宋_GB2312"/>
          <w:color w:val="auto"/>
          <w:sz w:val="36"/>
          <w:szCs w:val="36"/>
          <w:highlight w:val="none"/>
          <w:u w:val="single"/>
          <w:lang w:val="en-US" w:eastAsia="zh-CN"/>
        </w:rPr>
        <w:t xml:space="preserve">    </w:t>
      </w:r>
    </w:p>
    <w:p w14:paraId="11D83C46">
      <w:pPr>
        <w:adjustRightInd w:val="0"/>
        <w:snapToGrid w:val="0"/>
        <w:spacing w:line="288" w:lineRule="auto"/>
        <w:ind w:firstLine="720" w:firstLineChars="200"/>
        <w:rPr>
          <w:rFonts w:hint="default" w:ascii="Times New Roman" w:hAnsi="Times New Roman" w:eastAsia="仿宋_GB2312" w:cs="Times New Roman"/>
          <w:color w:val="auto"/>
          <w:sz w:val="36"/>
          <w:szCs w:val="36"/>
          <w:highlight w:val="none"/>
          <w:u w:val="single"/>
        </w:rPr>
      </w:pPr>
      <w:r>
        <w:rPr>
          <w:rFonts w:hint="default" w:ascii="方正仿宋_GB2312" w:hAnsi="方正仿宋_GB2312" w:eastAsia="方正仿宋_GB2312" w:cs="方正仿宋_GB2312"/>
          <w:color w:val="auto"/>
          <w:sz w:val="36"/>
          <w:szCs w:val="36"/>
          <w:highlight w:val="none"/>
        </w:rPr>
        <w:t>编制日期：</w:t>
      </w:r>
      <w:r>
        <w:rPr>
          <w:rFonts w:hint="default" w:ascii="Times New Roman" w:hAnsi="Times New Roman" w:eastAsia="仿宋_GB2312" w:cs="Times New Roman"/>
          <w:color w:val="auto"/>
          <w:sz w:val="36"/>
          <w:szCs w:val="36"/>
          <w:highlight w:val="none"/>
          <w:u w:val="single"/>
        </w:rPr>
        <w:t xml:space="preserve"> </w:t>
      </w:r>
      <w:r>
        <w:rPr>
          <w:rFonts w:hint="eastAsia"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lang w:val="en-US" w:eastAsia="zh-CN"/>
        </w:rPr>
        <w:t xml:space="preserve"> </w:t>
      </w:r>
      <w:r>
        <w:rPr>
          <w:rFonts w:hint="eastAsia" w:eastAsia="方正仿宋_GB2312" w:cs="Times New Roman"/>
          <w:color w:val="auto"/>
          <w:sz w:val="36"/>
          <w:szCs w:val="36"/>
          <w:highlight w:val="none"/>
          <w:u w:val="single"/>
          <w:lang w:val="en-US" w:eastAsia="zh-CN"/>
        </w:rPr>
        <w:t>二〇二六</w:t>
      </w:r>
      <w:r>
        <w:rPr>
          <w:rFonts w:hint="default" w:ascii="Times New Roman" w:hAnsi="Times New Roman" w:eastAsia="方正仿宋_GB2312" w:cs="Times New Roman"/>
          <w:color w:val="auto"/>
          <w:sz w:val="36"/>
          <w:szCs w:val="36"/>
          <w:highlight w:val="none"/>
          <w:u w:val="single"/>
        </w:rPr>
        <w:t>年</w:t>
      </w:r>
      <w:r>
        <w:rPr>
          <w:rFonts w:hint="eastAsia" w:eastAsia="方正仿宋_GB2312" w:cs="Times New Roman"/>
          <w:color w:val="auto"/>
          <w:sz w:val="36"/>
          <w:szCs w:val="36"/>
          <w:highlight w:val="none"/>
          <w:u w:val="single"/>
          <w:lang w:val="en-US" w:eastAsia="zh-CN"/>
        </w:rPr>
        <w:t>五</w:t>
      </w:r>
      <w:r>
        <w:rPr>
          <w:rFonts w:hint="default" w:ascii="Times New Roman" w:hAnsi="Times New Roman" w:eastAsia="方正仿宋_GB2312" w:cs="Times New Roman"/>
          <w:color w:val="auto"/>
          <w:sz w:val="36"/>
          <w:szCs w:val="36"/>
          <w:highlight w:val="none"/>
          <w:u w:val="single"/>
        </w:rPr>
        <w:t xml:space="preserve">月  </w:t>
      </w:r>
      <w:r>
        <w:rPr>
          <w:rFonts w:hint="default" w:ascii="Times New Roman" w:hAnsi="Times New Roman" w:eastAsia="仿宋_GB2312" w:cs="Times New Roman"/>
          <w:color w:val="auto"/>
          <w:sz w:val="36"/>
          <w:szCs w:val="36"/>
          <w:highlight w:val="none"/>
          <w:u w:val="single"/>
        </w:rPr>
        <w:t xml:space="preserve">     </w:t>
      </w:r>
      <w:r>
        <w:rPr>
          <w:rFonts w:hint="eastAsia" w:ascii="Times New Roman" w:hAnsi="Times New Roman" w:eastAsia="仿宋_GB2312" w:cs="Times New Roman"/>
          <w:color w:val="auto"/>
          <w:sz w:val="36"/>
          <w:szCs w:val="36"/>
          <w:highlight w:val="none"/>
          <w:u w:val="single"/>
          <w:lang w:val="en-US" w:eastAsia="zh-CN"/>
        </w:rPr>
        <w:t xml:space="preserve">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p>
    <w:p w14:paraId="6ABCD62B">
      <w:pP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bookmarkStart w:id="7" w:name="_Hlk57884087"/>
    </w:p>
    <w:p w14:paraId="2F732728">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085EAA95">
      <w:pPr>
        <w:pStyle w:val="11"/>
        <w:rPr>
          <w:rFonts w:hint="default"/>
          <w:color w:val="auto"/>
        </w:rPr>
      </w:pPr>
    </w:p>
    <w:p w14:paraId="38E1F11F">
      <w:pPr>
        <w:adjustRightInd w:val="0"/>
        <w:snapToGrid w:val="0"/>
        <w:spacing w:line="288" w:lineRule="auto"/>
        <w:rPr>
          <w:rFonts w:hint="default" w:ascii="Times New Roman" w:hAnsi="Times New Roman" w:eastAsia="仿宋_GB2312" w:cs="Times New Roman"/>
          <w:color w:val="auto"/>
          <w:sz w:val="36"/>
          <w:szCs w:val="36"/>
          <w:highlight w:val="none"/>
        </w:rPr>
      </w:pPr>
    </w:p>
    <w:bookmarkEnd w:id="7"/>
    <w:p w14:paraId="0B4EDD1A">
      <w:pPr>
        <w:bidi w:val="0"/>
        <w:jc w:val="center"/>
        <w:rPr>
          <w:rFonts w:hint="default"/>
          <w:color w:val="auto"/>
        </w:rPr>
      </w:pPr>
      <w:bookmarkStart w:id="8" w:name="_Toc6962"/>
      <w:bookmarkStart w:id="9" w:name="_Toc22658"/>
      <w:r>
        <w:rPr>
          <w:rFonts w:hint="eastAsia" w:ascii="楷体" w:hAnsi="楷体" w:eastAsia="楷体" w:cs="楷体"/>
          <w:color w:val="auto"/>
          <w:sz w:val="36"/>
          <w:szCs w:val="36"/>
        </w:rPr>
        <w:t>中华人民共和国生态环境部制</w:t>
      </w:r>
      <w:bookmarkEnd w:id="8"/>
      <w:bookmarkEnd w:id="9"/>
    </w:p>
    <w:p w14:paraId="1DD15D28">
      <w:pPr>
        <w:pStyle w:val="11"/>
        <w:rPr>
          <w:rFonts w:hint="default" w:ascii="Times New Roman" w:hAnsi="Times New Roman" w:eastAsia="楷体_GB2312" w:cs="Times New Roman"/>
          <w:color w:val="auto"/>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33A5077B">
      <w:pPr>
        <w:jc w:val="center"/>
        <w:rPr>
          <w:rFonts w:hint="eastAsia" w:eastAsia="宋体"/>
          <w:color w:val="auto"/>
          <w:highlight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drawing>
          <wp:inline distT="0" distB="0" distL="114300" distR="114300">
            <wp:extent cx="5610225" cy="7344410"/>
            <wp:effectExtent l="0" t="0" r="9525" b="889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11"/>
                    <a:stretch>
                      <a:fillRect/>
                    </a:stretch>
                  </pic:blipFill>
                  <pic:spPr>
                    <a:xfrm>
                      <a:off x="0" y="0"/>
                      <a:ext cx="5610225" cy="7344410"/>
                    </a:xfrm>
                    <a:prstGeom prst="rect">
                      <a:avLst/>
                    </a:prstGeom>
                    <a:noFill/>
                    <a:ln>
                      <a:noFill/>
                    </a:ln>
                  </pic:spPr>
                </pic:pic>
              </a:graphicData>
            </a:graphic>
          </wp:inline>
        </w:drawing>
      </w:r>
    </w:p>
    <w:p w14:paraId="63861FBE">
      <w:pPr>
        <w:keepNext w:val="0"/>
        <w:keepLines w:val="0"/>
        <w:pageBreakBefore w:val="0"/>
        <w:widowControl w:val="0"/>
        <w:kinsoku/>
        <w:wordWrap/>
        <w:overflowPunct/>
        <w:topLinePunct w:val="0"/>
        <w:autoSpaceDE/>
        <w:autoSpaceDN/>
        <w:bidi w:val="0"/>
        <w:adjustRightInd/>
        <w:snapToGrid/>
        <w:spacing w:before="0" w:beforeLines="0" w:after="157" w:afterLines="50" w:line="500" w:lineRule="exact"/>
        <w:ind w:left="0" w:leftChars="0" w:right="0" w:rightChars="0" w:firstLine="0" w:firstLineChars="0"/>
        <w:jc w:val="center"/>
        <w:textAlignment w:val="auto"/>
        <w:outlineLvl w:val="9"/>
        <w:rPr>
          <w:rFonts w:hint="eastAsia" w:ascii="宋体" w:hAnsi="宋体" w:eastAsia="宋体" w:cs="宋体"/>
          <w:b/>
          <w:bCs/>
          <w:color w:val="auto"/>
          <w:sz w:val="30"/>
          <w:szCs w:val="30"/>
          <w:highlight w:val="none"/>
        </w:rPr>
      </w:pPr>
      <w:bookmarkStart w:id="10" w:name="_Toc19274"/>
      <w:bookmarkStart w:id="11" w:name="_Toc16229"/>
      <w:bookmarkStart w:id="12" w:name="_Toc24634"/>
      <w:bookmarkStart w:id="13" w:name="_Toc8846"/>
      <w:r>
        <w:rPr>
          <w:rFonts w:hint="eastAsia" w:ascii="宋体" w:hAnsi="宋体" w:eastAsia="宋体" w:cs="宋体"/>
          <w:b/>
          <w:bCs/>
          <w:color w:val="auto"/>
          <w:sz w:val="30"/>
          <w:szCs w:val="30"/>
          <w:highlight w:val="none"/>
        </w:rPr>
        <w:t>目</w:t>
      </w:r>
      <w:r>
        <w:rPr>
          <w:rFonts w:hint="eastAsia" w:ascii="宋体" w:hAnsi="宋体" w:eastAsia="宋体" w:cs="宋体"/>
          <w:b/>
          <w:bCs/>
          <w:color w:val="auto"/>
          <w:sz w:val="30"/>
          <w:szCs w:val="30"/>
          <w:highlight w:val="none"/>
          <w:lang w:val="en-US" w:eastAsia="zh-CN"/>
        </w:rPr>
        <w:t xml:space="preserve">  </w:t>
      </w:r>
      <w:r>
        <w:rPr>
          <w:rFonts w:hint="eastAsia" w:ascii="宋体" w:hAnsi="宋体" w:eastAsia="宋体" w:cs="宋体"/>
          <w:b/>
          <w:bCs/>
          <w:color w:val="auto"/>
          <w:sz w:val="30"/>
          <w:szCs w:val="30"/>
          <w:highlight w:val="none"/>
        </w:rPr>
        <w:t>录</w:t>
      </w:r>
      <w:bookmarkEnd w:id="10"/>
      <w:bookmarkEnd w:id="11"/>
      <w:bookmarkEnd w:id="12"/>
      <w:bookmarkEnd w:id="13"/>
    </w:p>
    <w:p w14:paraId="075C7460">
      <w:pPr>
        <w:pStyle w:val="22"/>
        <w:tabs>
          <w:tab w:val="right" w:leader="dot" w:pos="8844"/>
        </w:tabs>
      </w:pPr>
      <w:r>
        <w:rPr>
          <w:rFonts w:hint="eastAsia"/>
          <w:color w:val="auto"/>
        </w:rPr>
        <w:fldChar w:fldCharType="begin"/>
      </w:r>
      <w:r>
        <w:rPr>
          <w:rFonts w:hint="eastAsia"/>
          <w:color w:val="auto"/>
        </w:rPr>
        <w:instrText xml:space="preserve">TOC \o "1-2" \h \u </w:instrText>
      </w:r>
      <w:r>
        <w:rPr>
          <w:rFonts w:hint="eastAsia"/>
          <w:color w:val="auto"/>
        </w:rPr>
        <w:fldChar w:fldCharType="separate"/>
      </w:r>
      <w:r>
        <w:rPr>
          <w:rFonts w:hint="eastAsia"/>
          <w:color w:val="auto"/>
        </w:rPr>
        <w:fldChar w:fldCharType="begin"/>
      </w:r>
      <w:r>
        <w:rPr>
          <w:rFonts w:hint="eastAsia"/>
        </w:rPr>
        <w:instrText xml:space="preserve"> HYPERLINK \l _Toc3531 </w:instrText>
      </w:r>
      <w:r>
        <w:rPr>
          <w:rFonts w:hint="eastAsia"/>
        </w:rPr>
        <w:fldChar w:fldCharType="separate"/>
      </w:r>
      <w:r>
        <w:rPr>
          <w:rFonts w:hint="default" w:ascii="Times New Roman" w:hAnsi="Times New Roman" w:eastAsia="黑体" w:cs="Times New Roman"/>
          <w:snapToGrid w:val="0"/>
          <w:szCs w:val="30"/>
          <w:highlight w:val="none"/>
        </w:rPr>
        <w:t>一、建设项目基本情况</w:t>
      </w:r>
      <w:r>
        <w:tab/>
      </w:r>
      <w:r>
        <w:fldChar w:fldCharType="begin"/>
      </w:r>
      <w:r>
        <w:instrText xml:space="preserve"> PAGEREF _Toc3531 \h </w:instrText>
      </w:r>
      <w:r>
        <w:fldChar w:fldCharType="separate"/>
      </w:r>
      <w:r>
        <w:t>1</w:t>
      </w:r>
      <w:r>
        <w:fldChar w:fldCharType="end"/>
      </w:r>
      <w:r>
        <w:rPr>
          <w:rFonts w:hint="eastAsia"/>
          <w:color w:val="auto"/>
        </w:rPr>
        <w:fldChar w:fldCharType="end"/>
      </w:r>
    </w:p>
    <w:p w14:paraId="6B876653">
      <w:pPr>
        <w:pStyle w:val="22"/>
        <w:tabs>
          <w:tab w:val="right" w:leader="dot" w:pos="8844"/>
        </w:tabs>
      </w:pPr>
      <w:r>
        <w:rPr>
          <w:rFonts w:hint="eastAsia"/>
          <w:color w:val="auto"/>
        </w:rPr>
        <w:fldChar w:fldCharType="begin"/>
      </w:r>
      <w:r>
        <w:rPr>
          <w:rFonts w:hint="eastAsia"/>
        </w:rPr>
        <w:instrText xml:space="preserve"> HYPERLINK \l _Toc27498 </w:instrText>
      </w:r>
      <w:r>
        <w:rPr>
          <w:rFonts w:hint="eastAsia"/>
        </w:rPr>
        <w:fldChar w:fldCharType="separate"/>
      </w:r>
      <w:r>
        <w:rPr>
          <w:rFonts w:hint="default" w:ascii="Times New Roman" w:hAnsi="Times New Roman" w:eastAsia="黑体" w:cs="Times New Roman"/>
          <w:snapToGrid w:val="0"/>
          <w:szCs w:val="30"/>
          <w:highlight w:val="none"/>
        </w:rPr>
        <w:t>二、建设项目工程分析</w:t>
      </w:r>
      <w:r>
        <w:tab/>
      </w:r>
      <w:r>
        <w:fldChar w:fldCharType="begin"/>
      </w:r>
      <w:r>
        <w:instrText xml:space="preserve"> PAGEREF _Toc27498 \h </w:instrText>
      </w:r>
      <w:r>
        <w:fldChar w:fldCharType="separate"/>
      </w:r>
      <w:r>
        <w:t>11</w:t>
      </w:r>
      <w:r>
        <w:fldChar w:fldCharType="end"/>
      </w:r>
      <w:r>
        <w:rPr>
          <w:rFonts w:hint="eastAsia"/>
          <w:color w:val="auto"/>
        </w:rPr>
        <w:fldChar w:fldCharType="end"/>
      </w:r>
    </w:p>
    <w:p w14:paraId="0D8C7CBB">
      <w:pPr>
        <w:pStyle w:val="22"/>
        <w:tabs>
          <w:tab w:val="right" w:leader="dot" w:pos="8844"/>
        </w:tabs>
      </w:pPr>
      <w:r>
        <w:rPr>
          <w:rFonts w:hint="eastAsia"/>
          <w:color w:val="auto"/>
        </w:rPr>
        <w:fldChar w:fldCharType="begin"/>
      </w:r>
      <w:r>
        <w:rPr>
          <w:rFonts w:hint="eastAsia"/>
        </w:rPr>
        <w:instrText xml:space="preserve"> HYPERLINK \l _Toc4569 </w:instrText>
      </w:r>
      <w:r>
        <w:rPr>
          <w:rFonts w:hint="eastAsia"/>
        </w:rPr>
        <w:fldChar w:fldCharType="separate"/>
      </w:r>
      <w:r>
        <w:rPr>
          <w:rFonts w:hint="default" w:ascii="Times New Roman" w:hAnsi="Times New Roman" w:eastAsia="黑体" w:cs="Times New Roman"/>
          <w:snapToGrid w:val="0"/>
          <w:szCs w:val="30"/>
          <w:highlight w:val="none"/>
        </w:rPr>
        <w:t>三、区域环境质量现状、环境保护目标及评价标准</w:t>
      </w:r>
      <w:r>
        <w:tab/>
      </w:r>
      <w:r>
        <w:fldChar w:fldCharType="begin"/>
      </w:r>
      <w:r>
        <w:instrText xml:space="preserve"> PAGEREF _Toc4569 \h </w:instrText>
      </w:r>
      <w:r>
        <w:fldChar w:fldCharType="separate"/>
      </w:r>
      <w:r>
        <w:t>20</w:t>
      </w:r>
      <w:r>
        <w:fldChar w:fldCharType="end"/>
      </w:r>
      <w:r>
        <w:rPr>
          <w:rFonts w:hint="eastAsia"/>
          <w:color w:val="auto"/>
        </w:rPr>
        <w:fldChar w:fldCharType="end"/>
      </w:r>
    </w:p>
    <w:p w14:paraId="60A6992E">
      <w:pPr>
        <w:pStyle w:val="22"/>
        <w:tabs>
          <w:tab w:val="right" w:leader="dot" w:pos="8844"/>
        </w:tabs>
      </w:pPr>
      <w:r>
        <w:rPr>
          <w:rFonts w:hint="eastAsia"/>
          <w:color w:val="auto"/>
        </w:rPr>
        <w:fldChar w:fldCharType="begin"/>
      </w:r>
      <w:r>
        <w:rPr>
          <w:rFonts w:hint="eastAsia"/>
        </w:rPr>
        <w:instrText xml:space="preserve"> HYPERLINK \l _Toc15640 </w:instrText>
      </w:r>
      <w:r>
        <w:rPr>
          <w:rFonts w:hint="eastAsia"/>
        </w:rPr>
        <w:fldChar w:fldCharType="separate"/>
      </w:r>
      <w:r>
        <w:rPr>
          <w:rFonts w:hint="default" w:ascii="Times New Roman" w:hAnsi="Times New Roman" w:eastAsia="黑体" w:cs="Times New Roman"/>
          <w:snapToGrid w:val="0"/>
          <w:szCs w:val="30"/>
          <w:highlight w:val="none"/>
        </w:rPr>
        <w:t>四、主要环境影响和保护措施</w:t>
      </w:r>
      <w:r>
        <w:tab/>
      </w:r>
      <w:r>
        <w:fldChar w:fldCharType="begin"/>
      </w:r>
      <w:r>
        <w:instrText xml:space="preserve"> PAGEREF _Toc15640 \h </w:instrText>
      </w:r>
      <w:r>
        <w:fldChar w:fldCharType="separate"/>
      </w:r>
      <w:r>
        <w:t>26</w:t>
      </w:r>
      <w:r>
        <w:fldChar w:fldCharType="end"/>
      </w:r>
      <w:r>
        <w:rPr>
          <w:rFonts w:hint="eastAsia"/>
          <w:color w:val="auto"/>
        </w:rPr>
        <w:fldChar w:fldCharType="end"/>
      </w:r>
    </w:p>
    <w:p w14:paraId="22DE5D6F">
      <w:pPr>
        <w:pStyle w:val="22"/>
        <w:tabs>
          <w:tab w:val="right" w:leader="dot" w:pos="8844"/>
        </w:tabs>
      </w:pPr>
      <w:r>
        <w:rPr>
          <w:rFonts w:hint="eastAsia"/>
          <w:color w:val="auto"/>
        </w:rPr>
        <w:fldChar w:fldCharType="begin"/>
      </w:r>
      <w:r>
        <w:rPr>
          <w:rFonts w:hint="eastAsia"/>
        </w:rPr>
        <w:instrText xml:space="preserve"> HYPERLINK \l _Toc2665 </w:instrText>
      </w:r>
      <w:r>
        <w:rPr>
          <w:rFonts w:hint="eastAsia"/>
        </w:rPr>
        <w:fldChar w:fldCharType="separate"/>
      </w:r>
      <w:r>
        <w:rPr>
          <w:rFonts w:hint="default" w:ascii="Times New Roman" w:hAnsi="Times New Roman" w:eastAsia="黑体" w:cs="Times New Roman"/>
          <w:snapToGrid w:val="0"/>
          <w:szCs w:val="30"/>
          <w:highlight w:val="none"/>
        </w:rPr>
        <w:t>五、环境保护措施监督检查清单</w:t>
      </w:r>
      <w:r>
        <w:tab/>
      </w:r>
      <w:r>
        <w:fldChar w:fldCharType="begin"/>
      </w:r>
      <w:r>
        <w:instrText xml:space="preserve"> PAGEREF _Toc2665 \h </w:instrText>
      </w:r>
      <w:r>
        <w:fldChar w:fldCharType="separate"/>
      </w:r>
      <w:r>
        <w:t>55</w:t>
      </w:r>
      <w:r>
        <w:fldChar w:fldCharType="end"/>
      </w:r>
      <w:r>
        <w:rPr>
          <w:rFonts w:hint="eastAsia"/>
          <w:color w:val="auto"/>
        </w:rPr>
        <w:fldChar w:fldCharType="end"/>
      </w:r>
    </w:p>
    <w:p w14:paraId="5313C2A4">
      <w:pPr>
        <w:pStyle w:val="22"/>
        <w:tabs>
          <w:tab w:val="right" w:leader="dot" w:pos="8844"/>
        </w:tabs>
      </w:pPr>
      <w:r>
        <w:rPr>
          <w:rFonts w:hint="eastAsia"/>
          <w:color w:val="auto"/>
        </w:rPr>
        <w:fldChar w:fldCharType="begin"/>
      </w:r>
      <w:r>
        <w:rPr>
          <w:rFonts w:hint="eastAsia"/>
        </w:rPr>
        <w:instrText xml:space="preserve"> HYPERLINK \l _Toc30010 </w:instrText>
      </w:r>
      <w:r>
        <w:rPr>
          <w:rFonts w:hint="eastAsia"/>
        </w:rPr>
        <w:fldChar w:fldCharType="separate"/>
      </w:r>
      <w:r>
        <w:rPr>
          <w:rFonts w:hint="default" w:ascii="Times New Roman" w:hAnsi="Times New Roman" w:eastAsia="黑体" w:cs="Times New Roman"/>
          <w:snapToGrid w:val="0"/>
          <w:szCs w:val="30"/>
          <w:highlight w:val="none"/>
        </w:rPr>
        <w:t>六、结论</w:t>
      </w:r>
      <w:r>
        <w:tab/>
      </w:r>
      <w:r>
        <w:fldChar w:fldCharType="begin"/>
      </w:r>
      <w:r>
        <w:instrText xml:space="preserve"> PAGEREF _Toc30010 \h </w:instrText>
      </w:r>
      <w:r>
        <w:fldChar w:fldCharType="separate"/>
      </w:r>
      <w:r>
        <w:t>56</w:t>
      </w:r>
      <w:r>
        <w:fldChar w:fldCharType="end"/>
      </w:r>
      <w:r>
        <w:rPr>
          <w:rFonts w:hint="eastAsia"/>
          <w:color w:val="auto"/>
        </w:rPr>
        <w:fldChar w:fldCharType="end"/>
      </w:r>
    </w:p>
    <w:p w14:paraId="23B1E7EA">
      <w:pPr>
        <w:pStyle w:val="22"/>
        <w:tabs>
          <w:tab w:val="right" w:leader="dot" w:pos="8844"/>
        </w:tabs>
        <w:rPr>
          <w:rFonts w:hint="eastAsia"/>
          <w:color w:val="auto"/>
        </w:rPr>
      </w:pPr>
    </w:p>
    <w:p w14:paraId="68F5F183">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_Toc15535 </w:instrText>
      </w:r>
      <w:r>
        <w:rPr>
          <w:rFonts w:hint="eastAsia"/>
          <w:b w:val="0"/>
          <w:bCs w:val="0"/>
        </w:rPr>
        <w:fldChar w:fldCharType="separate"/>
      </w:r>
      <w:r>
        <w:rPr>
          <w:rFonts w:hint="default" w:ascii="Times New Roman" w:hAnsi="Times New Roman" w:eastAsia="宋体" w:cs="Times New Roman"/>
          <w:b w:val="0"/>
          <w:bCs w:val="0"/>
          <w:snapToGrid w:val="0"/>
          <w:szCs w:val="38"/>
        </w:rPr>
        <w:t>建设项目污染物排放量汇总表</w:t>
      </w:r>
      <w:r>
        <w:rPr>
          <w:b w:val="0"/>
          <w:bCs w:val="0"/>
        </w:rPr>
        <w:tab/>
      </w:r>
      <w:r>
        <w:rPr>
          <w:b w:val="0"/>
          <w:bCs w:val="0"/>
        </w:rPr>
        <w:fldChar w:fldCharType="begin"/>
      </w:r>
      <w:r>
        <w:rPr>
          <w:b w:val="0"/>
          <w:bCs w:val="0"/>
        </w:rPr>
        <w:instrText xml:space="preserve"> PAGEREF _Toc15535 \h </w:instrText>
      </w:r>
      <w:r>
        <w:rPr>
          <w:b w:val="0"/>
          <w:bCs w:val="0"/>
        </w:rPr>
        <w:fldChar w:fldCharType="separate"/>
      </w:r>
      <w:r>
        <w:rPr>
          <w:b w:val="0"/>
          <w:bCs w:val="0"/>
        </w:rPr>
        <w:t>57</w:t>
      </w:r>
      <w:r>
        <w:rPr>
          <w:b w:val="0"/>
          <w:bCs w:val="0"/>
        </w:rPr>
        <w:fldChar w:fldCharType="end"/>
      </w:r>
      <w:r>
        <w:rPr>
          <w:rFonts w:hint="eastAsia"/>
          <w:b w:val="0"/>
          <w:bCs w:val="0"/>
          <w:color w:val="auto"/>
        </w:rPr>
        <w:fldChar w:fldCharType="end"/>
      </w:r>
    </w:p>
    <w:p w14:paraId="5EEC807E">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_Toc3588 </w:instrText>
      </w:r>
      <w:r>
        <w:rPr>
          <w:rFonts w:hint="eastAsia"/>
          <w:b w:val="0"/>
          <w:bCs w:val="0"/>
        </w:rPr>
        <w:fldChar w:fldCharType="separate"/>
      </w:r>
      <w:r>
        <w:rPr>
          <w:rFonts w:hint="default" w:ascii="Times New Roman" w:hAnsi="Times New Roman" w:cs="Times New Roman"/>
          <w:b w:val="0"/>
          <w:bCs w:val="0"/>
          <w:snapToGrid w:val="0"/>
          <w:szCs w:val="24"/>
          <w:highlight w:val="none"/>
        </w:rPr>
        <w:t>附图1  项目地理位置图</w:t>
      </w:r>
      <w:r>
        <w:rPr>
          <w:b w:val="0"/>
          <w:bCs w:val="0"/>
        </w:rPr>
        <w:tab/>
      </w:r>
      <w:r>
        <w:rPr>
          <w:b w:val="0"/>
          <w:bCs w:val="0"/>
        </w:rPr>
        <w:fldChar w:fldCharType="begin"/>
      </w:r>
      <w:r>
        <w:rPr>
          <w:b w:val="0"/>
          <w:bCs w:val="0"/>
        </w:rPr>
        <w:instrText xml:space="preserve"> PAGEREF _Toc3588 \h </w:instrText>
      </w:r>
      <w:r>
        <w:rPr>
          <w:b w:val="0"/>
          <w:bCs w:val="0"/>
        </w:rPr>
        <w:fldChar w:fldCharType="separate"/>
      </w:r>
      <w:r>
        <w:rPr>
          <w:b w:val="0"/>
          <w:bCs w:val="0"/>
        </w:rPr>
        <w:t>58</w:t>
      </w:r>
      <w:r>
        <w:rPr>
          <w:b w:val="0"/>
          <w:bCs w:val="0"/>
        </w:rPr>
        <w:fldChar w:fldCharType="end"/>
      </w:r>
      <w:r>
        <w:rPr>
          <w:rFonts w:hint="eastAsia"/>
          <w:b w:val="0"/>
          <w:bCs w:val="0"/>
          <w:color w:val="auto"/>
        </w:rPr>
        <w:fldChar w:fldCharType="end"/>
      </w:r>
    </w:p>
    <w:p w14:paraId="4D610060">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_Toc9367 </w:instrText>
      </w:r>
      <w:r>
        <w:rPr>
          <w:rFonts w:hint="eastAsia"/>
          <w:b w:val="0"/>
          <w:bCs w:val="0"/>
        </w:rPr>
        <w:fldChar w:fldCharType="separate"/>
      </w:r>
      <w:r>
        <w:rPr>
          <w:rFonts w:hint="default" w:ascii="Times New Roman" w:hAnsi="Times New Roman" w:cs="Times New Roman"/>
          <w:b w:val="0"/>
          <w:bCs w:val="0"/>
          <w:snapToGrid w:val="0"/>
          <w:szCs w:val="24"/>
          <w:highlight w:val="none"/>
        </w:rPr>
        <w:t>附图2  环境保护目标图</w:t>
      </w:r>
      <w:r>
        <w:rPr>
          <w:b w:val="0"/>
          <w:bCs w:val="0"/>
        </w:rPr>
        <w:tab/>
      </w:r>
      <w:r>
        <w:rPr>
          <w:b w:val="0"/>
          <w:bCs w:val="0"/>
        </w:rPr>
        <w:fldChar w:fldCharType="begin"/>
      </w:r>
      <w:r>
        <w:rPr>
          <w:b w:val="0"/>
          <w:bCs w:val="0"/>
        </w:rPr>
        <w:instrText xml:space="preserve"> PAGEREF _Toc9367 \h </w:instrText>
      </w:r>
      <w:r>
        <w:rPr>
          <w:b w:val="0"/>
          <w:bCs w:val="0"/>
        </w:rPr>
        <w:fldChar w:fldCharType="separate"/>
      </w:r>
      <w:r>
        <w:rPr>
          <w:b w:val="0"/>
          <w:bCs w:val="0"/>
        </w:rPr>
        <w:t>59</w:t>
      </w:r>
      <w:r>
        <w:rPr>
          <w:b w:val="0"/>
          <w:bCs w:val="0"/>
        </w:rPr>
        <w:fldChar w:fldCharType="end"/>
      </w:r>
      <w:r>
        <w:rPr>
          <w:rFonts w:hint="eastAsia"/>
          <w:b w:val="0"/>
          <w:bCs w:val="0"/>
          <w:color w:val="auto"/>
        </w:rPr>
        <w:fldChar w:fldCharType="end"/>
      </w:r>
    </w:p>
    <w:p w14:paraId="40043D2A">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_Toc31769 </w:instrText>
      </w:r>
      <w:r>
        <w:rPr>
          <w:rFonts w:hint="eastAsia"/>
          <w:b w:val="0"/>
          <w:bCs w:val="0"/>
        </w:rPr>
        <w:fldChar w:fldCharType="separate"/>
      </w:r>
      <w:r>
        <w:rPr>
          <w:rFonts w:hint="default" w:ascii="Times New Roman" w:hAnsi="Times New Roman" w:cs="Times New Roman"/>
          <w:b w:val="0"/>
          <w:bCs w:val="0"/>
          <w:snapToGrid w:val="0"/>
          <w:szCs w:val="24"/>
          <w:highlight w:val="none"/>
        </w:rPr>
        <w:t xml:space="preserve">附图3  </w:t>
      </w:r>
      <w:r>
        <w:rPr>
          <w:rFonts w:hint="default" w:ascii="Times New Roman" w:hAnsi="Times New Roman" w:cs="Times New Roman"/>
          <w:b w:val="0"/>
          <w:bCs w:val="0"/>
          <w:snapToGrid w:val="0"/>
          <w:szCs w:val="24"/>
          <w:highlight w:val="none"/>
          <w:lang w:val="en-US" w:eastAsia="zh-CN"/>
        </w:rPr>
        <w:t>平面布置图</w:t>
      </w:r>
      <w:r>
        <w:rPr>
          <w:b w:val="0"/>
          <w:bCs w:val="0"/>
        </w:rPr>
        <w:tab/>
      </w:r>
      <w:r>
        <w:rPr>
          <w:b w:val="0"/>
          <w:bCs w:val="0"/>
        </w:rPr>
        <w:fldChar w:fldCharType="begin"/>
      </w:r>
      <w:r>
        <w:rPr>
          <w:b w:val="0"/>
          <w:bCs w:val="0"/>
        </w:rPr>
        <w:instrText xml:space="preserve"> PAGEREF _Toc31769 \h </w:instrText>
      </w:r>
      <w:r>
        <w:rPr>
          <w:b w:val="0"/>
          <w:bCs w:val="0"/>
        </w:rPr>
        <w:fldChar w:fldCharType="separate"/>
      </w:r>
      <w:r>
        <w:rPr>
          <w:b w:val="0"/>
          <w:bCs w:val="0"/>
        </w:rPr>
        <w:t>60</w:t>
      </w:r>
      <w:r>
        <w:rPr>
          <w:b w:val="0"/>
          <w:bCs w:val="0"/>
        </w:rPr>
        <w:fldChar w:fldCharType="end"/>
      </w:r>
      <w:r>
        <w:rPr>
          <w:rFonts w:hint="eastAsia"/>
          <w:b w:val="0"/>
          <w:bCs w:val="0"/>
          <w:color w:val="auto"/>
        </w:rPr>
        <w:fldChar w:fldCharType="end"/>
      </w:r>
    </w:p>
    <w:p w14:paraId="579BA15B">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_Toc13076 </w:instrText>
      </w:r>
      <w:r>
        <w:rPr>
          <w:rFonts w:hint="eastAsia"/>
          <w:b w:val="0"/>
          <w:bCs w:val="0"/>
        </w:rPr>
        <w:fldChar w:fldCharType="separate"/>
      </w:r>
      <w:r>
        <w:rPr>
          <w:rFonts w:hint="default" w:ascii="Times New Roman" w:hAnsi="Times New Roman" w:cs="Times New Roman"/>
          <w:b w:val="0"/>
          <w:bCs w:val="0"/>
          <w:szCs w:val="20"/>
          <w:highlight w:val="none"/>
        </w:rPr>
        <w:t>附图</w:t>
      </w:r>
      <w:r>
        <w:rPr>
          <w:rFonts w:hint="eastAsia" w:ascii="Times New Roman" w:hAnsi="Times New Roman" w:cs="Times New Roman"/>
          <w:b w:val="0"/>
          <w:bCs w:val="0"/>
          <w:szCs w:val="20"/>
          <w:highlight w:val="none"/>
          <w:lang w:val="en-US" w:eastAsia="zh-CN"/>
        </w:rPr>
        <w:t>4</w:t>
      </w:r>
      <w:r>
        <w:rPr>
          <w:rFonts w:hint="default" w:ascii="Times New Roman" w:hAnsi="Times New Roman" w:cs="Times New Roman"/>
          <w:b w:val="0"/>
          <w:bCs w:val="0"/>
          <w:szCs w:val="20"/>
          <w:highlight w:val="none"/>
        </w:rPr>
        <w:t xml:space="preserve">  </w:t>
      </w:r>
      <w:r>
        <w:rPr>
          <w:rFonts w:hint="default" w:ascii="Times New Roman" w:hAnsi="Times New Roman" w:cs="Times New Roman"/>
          <w:b w:val="0"/>
          <w:bCs w:val="0"/>
          <w:szCs w:val="20"/>
          <w:highlight w:val="none"/>
          <w:lang w:eastAsia="zh-CN"/>
        </w:rPr>
        <w:t>双鸭山市</w:t>
      </w:r>
      <w:r>
        <w:rPr>
          <w:rFonts w:hint="eastAsia" w:ascii="Times New Roman" w:hAnsi="Times New Roman" w:cs="Times New Roman"/>
          <w:b w:val="0"/>
          <w:bCs w:val="0"/>
          <w:szCs w:val="20"/>
          <w:highlight w:val="none"/>
          <w:lang w:val="en-US" w:eastAsia="zh-CN"/>
        </w:rPr>
        <w:t>生态环境保护单元分布图</w:t>
      </w:r>
      <w:r>
        <w:rPr>
          <w:b w:val="0"/>
          <w:bCs w:val="0"/>
        </w:rPr>
        <w:tab/>
      </w:r>
      <w:r>
        <w:rPr>
          <w:b w:val="0"/>
          <w:bCs w:val="0"/>
        </w:rPr>
        <w:fldChar w:fldCharType="begin"/>
      </w:r>
      <w:r>
        <w:rPr>
          <w:b w:val="0"/>
          <w:bCs w:val="0"/>
        </w:rPr>
        <w:instrText xml:space="preserve"> PAGEREF _Toc13076 \h </w:instrText>
      </w:r>
      <w:r>
        <w:rPr>
          <w:b w:val="0"/>
          <w:bCs w:val="0"/>
        </w:rPr>
        <w:fldChar w:fldCharType="separate"/>
      </w:r>
      <w:r>
        <w:rPr>
          <w:b w:val="0"/>
          <w:bCs w:val="0"/>
        </w:rPr>
        <w:t>61</w:t>
      </w:r>
      <w:r>
        <w:rPr>
          <w:b w:val="0"/>
          <w:bCs w:val="0"/>
        </w:rPr>
        <w:fldChar w:fldCharType="end"/>
      </w:r>
      <w:r>
        <w:rPr>
          <w:rFonts w:hint="eastAsia"/>
          <w:b w:val="0"/>
          <w:bCs w:val="0"/>
          <w:color w:val="auto"/>
        </w:rPr>
        <w:fldChar w:fldCharType="end"/>
      </w:r>
    </w:p>
    <w:p w14:paraId="03D45EEE">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_Toc26638 </w:instrText>
      </w:r>
      <w:r>
        <w:rPr>
          <w:rFonts w:hint="eastAsia"/>
          <w:b w:val="0"/>
          <w:bCs w:val="0"/>
        </w:rPr>
        <w:fldChar w:fldCharType="separate"/>
      </w:r>
      <w:r>
        <w:rPr>
          <w:rFonts w:hint="eastAsia" w:ascii="Times New Roman" w:hAnsi="Times New Roman" w:eastAsia="宋体" w:cs="Times New Roman"/>
          <w:b w:val="0"/>
          <w:bCs w:val="0"/>
          <w:snapToGrid w:val="0"/>
          <w:kern w:val="2"/>
          <w:szCs w:val="24"/>
          <w:highlight w:val="none"/>
          <w:lang w:val="en-US" w:eastAsia="zh-CN" w:bidi="ar-SA"/>
        </w:rPr>
        <w:t>附图</w:t>
      </w:r>
      <w:r>
        <w:rPr>
          <w:rFonts w:hint="eastAsia" w:eastAsia="宋体" w:cs="Times New Roman"/>
          <w:b w:val="0"/>
          <w:bCs w:val="0"/>
          <w:snapToGrid w:val="0"/>
          <w:kern w:val="2"/>
          <w:szCs w:val="24"/>
          <w:highlight w:val="none"/>
          <w:lang w:val="en-US" w:eastAsia="zh-CN" w:bidi="ar-SA"/>
        </w:rPr>
        <w:t>5</w:t>
      </w:r>
      <w:r>
        <w:rPr>
          <w:rFonts w:hint="eastAsia" w:ascii="Times New Roman" w:hAnsi="Times New Roman" w:eastAsia="宋体" w:cs="Times New Roman"/>
          <w:b w:val="0"/>
          <w:bCs w:val="0"/>
          <w:snapToGrid w:val="0"/>
          <w:kern w:val="2"/>
          <w:szCs w:val="24"/>
          <w:highlight w:val="none"/>
          <w:lang w:val="en-US" w:eastAsia="zh-CN" w:bidi="ar-SA"/>
        </w:rPr>
        <w:t xml:space="preserve">  双鸭山声环境功能区划图</w:t>
      </w:r>
      <w:r>
        <w:rPr>
          <w:b w:val="0"/>
          <w:bCs w:val="0"/>
        </w:rPr>
        <w:tab/>
      </w:r>
      <w:r>
        <w:rPr>
          <w:b w:val="0"/>
          <w:bCs w:val="0"/>
        </w:rPr>
        <w:fldChar w:fldCharType="begin"/>
      </w:r>
      <w:r>
        <w:rPr>
          <w:b w:val="0"/>
          <w:bCs w:val="0"/>
        </w:rPr>
        <w:instrText xml:space="preserve"> PAGEREF _Toc26638 \h </w:instrText>
      </w:r>
      <w:r>
        <w:rPr>
          <w:b w:val="0"/>
          <w:bCs w:val="0"/>
        </w:rPr>
        <w:fldChar w:fldCharType="separate"/>
      </w:r>
      <w:r>
        <w:rPr>
          <w:b w:val="0"/>
          <w:bCs w:val="0"/>
        </w:rPr>
        <w:t>62</w:t>
      </w:r>
      <w:r>
        <w:rPr>
          <w:b w:val="0"/>
          <w:bCs w:val="0"/>
        </w:rPr>
        <w:fldChar w:fldCharType="end"/>
      </w:r>
      <w:r>
        <w:rPr>
          <w:rFonts w:hint="eastAsia"/>
          <w:b w:val="0"/>
          <w:bCs w:val="0"/>
          <w:color w:val="auto"/>
        </w:rPr>
        <w:fldChar w:fldCharType="end"/>
      </w:r>
    </w:p>
    <w:p w14:paraId="682E0D1F">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_Toc17424 </w:instrText>
      </w:r>
      <w:r>
        <w:rPr>
          <w:rFonts w:hint="eastAsia"/>
          <w:b w:val="0"/>
          <w:bCs w:val="0"/>
        </w:rPr>
        <w:fldChar w:fldCharType="separate"/>
      </w:r>
      <w:r>
        <w:rPr>
          <w:rFonts w:hint="eastAsia" w:ascii="Times New Roman" w:hAnsi="Times New Roman" w:eastAsia="宋体" w:cs="Times New Roman"/>
          <w:b w:val="0"/>
          <w:bCs w:val="0"/>
          <w:snapToGrid w:val="0"/>
          <w:kern w:val="2"/>
          <w:szCs w:val="24"/>
          <w:highlight w:val="none"/>
          <w:lang w:val="en-US" w:eastAsia="zh-CN" w:bidi="ar-SA"/>
        </w:rPr>
        <w:t>附图</w:t>
      </w:r>
      <w:r>
        <w:rPr>
          <w:rFonts w:hint="eastAsia" w:eastAsia="宋体" w:cs="Times New Roman"/>
          <w:b w:val="0"/>
          <w:bCs w:val="0"/>
          <w:snapToGrid w:val="0"/>
          <w:kern w:val="2"/>
          <w:szCs w:val="24"/>
          <w:highlight w:val="none"/>
          <w:lang w:val="en-US" w:eastAsia="zh-CN" w:bidi="ar-SA"/>
        </w:rPr>
        <w:t>6</w:t>
      </w:r>
      <w:r>
        <w:rPr>
          <w:rFonts w:hint="eastAsia" w:ascii="Times New Roman" w:hAnsi="Times New Roman" w:eastAsia="宋体" w:cs="Times New Roman"/>
          <w:b w:val="0"/>
          <w:bCs w:val="0"/>
          <w:snapToGrid w:val="0"/>
          <w:kern w:val="2"/>
          <w:szCs w:val="24"/>
          <w:highlight w:val="none"/>
          <w:lang w:val="en-US" w:eastAsia="zh-CN" w:bidi="ar-SA"/>
        </w:rPr>
        <w:t xml:space="preserve">  </w:t>
      </w:r>
      <w:r>
        <w:rPr>
          <w:rFonts w:hint="eastAsia" w:eastAsia="宋体" w:cs="Times New Roman"/>
          <w:b w:val="0"/>
          <w:bCs w:val="0"/>
          <w:snapToGrid w:val="0"/>
          <w:kern w:val="2"/>
          <w:szCs w:val="24"/>
          <w:highlight w:val="none"/>
          <w:lang w:val="en-US" w:eastAsia="zh-CN" w:bidi="ar-SA"/>
        </w:rPr>
        <w:t>项目周边环境关系</w:t>
      </w:r>
      <w:r>
        <w:rPr>
          <w:rFonts w:hint="eastAsia" w:ascii="Times New Roman" w:hAnsi="Times New Roman" w:eastAsia="宋体" w:cs="Times New Roman"/>
          <w:b w:val="0"/>
          <w:bCs w:val="0"/>
          <w:snapToGrid w:val="0"/>
          <w:kern w:val="2"/>
          <w:szCs w:val="24"/>
          <w:highlight w:val="none"/>
          <w:lang w:val="en-US" w:eastAsia="zh-CN" w:bidi="ar-SA"/>
        </w:rPr>
        <w:t>图</w:t>
      </w:r>
      <w:r>
        <w:rPr>
          <w:b w:val="0"/>
          <w:bCs w:val="0"/>
        </w:rPr>
        <w:tab/>
      </w:r>
      <w:r>
        <w:rPr>
          <w:b w:val="0"/>
          <w:bCs w:val="0"/>
        </w:rPr>
        <w:fldChar w:fldCharType="begin"/>
      </w:r>
      <w:r>
        <w:rPr>
          <w:b w:val="0"/>
          <w:bCs w:val="0"/>
        </w:rPr>
        <w:instrText xml:space="preserve"> PAGEREF _Toc17424 \h </w:instrText>
      </w:r>
      <w:r>
        <w:rPr>
          <w:b w:val="0"/>
          <w:bCs w:val="0"/>
        </w:rPr>
        <w:fldChar w:fldCharType="separate"/>
      </w:r>
      <w:r>
        <w:rPr>
          <w:b w:val="0"/>
          <w:bCs w:val="0"/>
        </w:rPr>
        <w:t>63</w:t>
      </w:r>
      <w:r>
        <w:rPr>
          <w:b w:val="0"/>
          <w:bCs w:val="0"/>
        </w:rPr>
        <w:fldChar w:fldCharType="end"/>
      </w:r>
      <w:r>
        <w:rPr>
          <w:rFonts w:hint="eastAsia"/>
          <w:b w:val="0"/>
          <w:bCs w:val="0"/>
          <w:color w:val="auto"/>
        </w:rPr>
        <w:fldChar w:fldCharType="end"/>
      </w:r>
    </w:p>
    <w:p w14:paraId="38AFD354">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_Toc25895 </w:instrText>
      </w:r>
      <w:r>
        <w:rPr>
          <w:rFonts w:hint="eastAsia"/>
          <w:b w:val="0"/>
          <w:bCs w:val="0"/>
        </w:rPr>
        <w:fldChar w:fldCharType="separate"/>
      </w:r>
      <w:r>
        <w:rPr>
          <w:rFonts w:hint="default" w:ascii="Times New Roman" w:hAnsi="Times New Roman" w:eastAsia="宋体" w:cs="Times New Roman"/>
          <w:b w:val="0"/>
          <w:bCs w:val="0"/>
          <w:szCs w:val="20"/>
          <w:highlight w:val="none"/>
          <w:lang w:val="en-US" w:eastAsia="zh-CN"/>
        </w:rPr>
        <w:t>附件</w:t>
      </w:r>
      <w:r>
        <w:rPr>
          <w:rFonts w:hint="eastAsia" w:cs="Times New Roman"/>
          <w:b w:val="0"/>
          <w:bCs w:val="0"/>
          <w:szCs w:val="20"/>
          <w:highlight w:val="none"/>
          <w:lang w:val="en-US" w:eastAsia="zh-CN"/>
        </w:rPr>
        <w:t>1</w:t>
      </w:r>
      <w:r>
        <w:rPr>
          <w:rFonts w:hint="default" w:ascii="Times New Roman" w:hAnsi="Times New Roman" w:eastAsia="宋体" w:cs="Times New Roman"/>
          <w:b w:val="0"/>
          <w:bCs w:val="0"/>
          <w:szCs w:val="20"/>
          <w:highlight w:val="none"/>
          <w:lang w:val="en-US" w:eastAsia="zh-CN"/>
        </w:rPr>
        <w:t xml:space="preserve"> 燃料分析单</w:t>
      </w:r>
      <w:r>
        <w:rPr>
          <w:b w:val="0"/>
          <w:bCs w:val="0"/>
        </w:rPr>
        <w:tab/>
      </w:r>
      <w:r>
        <w:rPr>
          <w:b w:val="0"/>
          <w:bCs w:val="0"/>
        </w:rPr>
        <w:fldChar w:fldCharType="begin"/>
      </w:r>
      <w:r>
        <w:rPr>
          <w:b w:val="0"/>
          <w:bCs w:val="0"/>
        </w:rPr>
        <w:instrText xml:space="preserve"> PAGEREF _Toc25895 \h </w:instrText>
      </w:r>
      <w:r>
        <w:rPr>
          <w:b w:val="0"/>
          <w:bCs w:val="0"/>
        </w:rPr>
        <w:fldChar w:fldCharType="separate"/>
      </w:r>
      <w:r>
        <w:rPr>
          <w:b w:val="0"/>
          <w:bCs w:val="0"/>
        </w:rPr>
        <w:t>64</w:t>
      </w:r>
      <w:r>
        <w:rPr>
          <w:b w:val="0"/>
          <w:bCs w:val="0"/>
        </w:rPr>
        <w:fldChar w:fldCharType="end"/>
      </w:r>
      <w:r>
        <w:rPr>
          <w:rFonts w:hint="eastAsia"/>
          <w:b w:val="0"/>
          <w:bCs w:val="0"/>
          <w:color w:val="auto"/>
        </w:rPr>
        <w:fldChar w:fldCharType="end"/>
      </w:r>
    </w:p>
    <w:p w14:paraId="1C7C8F0E">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_Toc12473 </w:instrText>
      </w:r>
      <w:r>
        <w:rPr>
          <w:rFonts w:hint="eastAsia"/>
          <w:b w:val="0"/>
          <w:bCs w:val="0"/>
        </w:rPr>
        <w:fldChar w:fldCharType="separate"/>
      </w:r>
      <w:r>
        <w:rPr>
          <w:rFonts w:hint="default" w:ascii="Times New Roman" w:hAnsi="Times New Roman" w:eastAsia="宋体" w:cs="Times New Roman"/>
          <w:b w:val="0"/>
          <w:bCs w:val="0"/>
          <w:szCs w:val="20"/>
          <w:highlight w:val="none"/>
          <w:lang w:val="en-US" w:eastAsia="zh-CN"/>
        </w:rPr>
        <w:t>附件</w:t>
      </w:r>
      <w:r>
        <w:rPr>
          <w:rFonts w:hint="eastAsia" w:cs="Times New Roman"/>
          <w:b w:val="0"/>
          <w:bCs w:val="0"/>
          <w:szCs w:val="20"/>
          <w:highlight w:val="none"/>
          <w:lang w:val="en-US" w:eastAsia="zh-CN"/>
        </w:rPr>
        <w:t>2</w:t>
      </w:r>
      <w:r>
        <w:rPr>
          <w:rFonts w:hint="eastAsia" w:ascii="Times New Roman" w:hAnsi="Times New Roman" w:eastAsia="宋体" w:cs="Times New Roman"/>
          <w:b w:val="0"/>
          <w:bCs w:val="0"/>
          <w:szCs w:val="20"/>
          <w:highlight w:val="none"/>
          <w:lang w:val="en-US" w:eastAsia="zh-CN"/>
        </w:rPr>
        <w:t xml:space="preserve"> </w:t>
      </w:r>
      <w:r>
        <w:rPr>
          <w:rFonts w:hint="eastAsia" w:cs="Times New Roman"/>
          <w:b w:val="0"/>
          <w:bCs w:val="0"/>
          <w:szCs w:val="20"/>
          <w:highlight w:val="none"/>
          <w:lang w:val="en-US" w:eastAsia="zh-CN"/>
        </w:rPr>
        <w:t>总量核算及其排放总量认定的函</w:t>
      </w:r>
      <w:r>
        <w:rPr>
          <w:b w:val="0"/>
          <w:bCs w:val="0"/>
        </w:rPr>
        <w:tab/>
      </w:r>
      <w:r>
        <w:rPr>
          <w:b w:val="0"/>
          <w:bCs w:val="0"/>
        </w:rPr>
        <w:fldChar w:fldCharType="begin"/>
      </w:r>
      <w:r>
        <w:rPr>
          <w:b w:val="0"/>
          <w:bCs w:val="0"/>
        </w:rPr>
        <w:instrText xml:space="preserve"> PAGEREF _Toc12473 \h </w:instrText>
      </w:r>
      <w:r>
        <w:rPr>
          <w:b w:val="0"/>
          <w:bCs w:val="0"/>
        </w:rPr>
        <w:fldChar w:fldCharType="separate"/>
      </w:r>
      <w:r>
        <w:rPr>
          <w:b w:val="0"/>
          <w:bCs w:val="0"/>
        </w:rPr>
        <w:t>65</w:t>
      </w:r>
      <w:r>
        <w:rPr>
          <w:b w:val="0"/>
          <w:bCs w:val="0"/>
        </w:rPr>
        <w:fldChar w:fldCharType="end"/>
      </w:r>
      <w:r>
        <w:rPr>
          <w:rFonts w:hint="eastAsia"/>
          <w:b w:val="0"/>
          <w:bCs w:val="0"/>
          <w:color w:val="auto"/>
        </w:rPr>
        <w:fldChar w:fldCharType="end"/>
      </w:r>
    </w:p>
    <w:p w14:paraId="493B6886">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_Toc5873 </w:instrText>
      </w:r>
      <w:r>
        <w:rPr>
          <w:rFonts w:hint="eastAsia"/>
          <w:b w:val="0"/>
          <w:bCs w:val="0"/>
        </w:rPr>
        <w:fldChar w:fldCharType="separate"/>
      </w:r>
      <w:r>
        <w:rPr>
          <w:rFonts w:hint="eastAsia" w:ascii="Times New Roman" w:hAnsi="Times New Roman" w:eastAsia="宋体" w:cs="Times New Roman"/>
          <w:b w:val="0"/>
          <w:bCs w:val="0"/>
          <w:szCs w:val="20"/>
          <w:highlight w:val="none"/>
          <w:lang w:val="en-US" w:eastAsia="zh-CN"/>
        </w:rPr>
        <w:t>附件</w:t>
      </w:r>
      <w:r>
        <w:rPr>
          <w:rFonts w:hint="eastAsia" w:eastAsia="宋体" w:cs="Times New Roman"/>
          <w:b w:val="0"/>
          <w:bCs w:val="0"/>
          <w:szCs w:val="20"/>
          <w:highlight w:val="none"/>
          <w:lang w:val="en-US" w:eastAsia="zh-CN"/>
        </w:rPr>
        <w:t xml:space="preserve">3 </w:t>
      </w:r>
      <w:r>
        <w:rPr>
          <w:rFonts w:hint="eastAsia" w:ascii="Times New Roman" w:hAnsi="Times New Roman" w:eastAsia="宋体" w:cs="Times New Roman"/>
          <w:b w:val="0"/>
          <w:bCs w:val="0"/>
          <w:szCs w:val="20"/>
          <w:highlight w:val="none"/>
          <w:lang w:val="en-US" w:eastAsia="zh-CN"/>
        </w:rPr>
        <w:t>引用监测报告</w:t>
      </w:r>
      <w:r>
        <w:rPr>
          <w:b w:val="0"/>
          <w:bCs w:val="0"/>
        </w:rPr>
        <w:tab/>
      </w:r>
      <w:r>
        <w:rPr>
          <w:b w:val="0"/>
          <w:bCs w:val="0"/>
        </w:rPr>
        <w:fldChar w:fldCharType="begin"/>
      </w:r>
      <w:r>
        <w:rPr>
          <w:b w:val="0"/>
          <w:bCs w:val="0"/>
        </w:rPr>
        <w:instrText xml:space="preserve"> PAGEREF _Toc5873 \h </w:instrText>
      </w:r>
      <w:r>
        <w:rPr>
          <w:b w:val="0"/>
          <w:bCs w:val="0"/>
        </w:rPr>
        <w:fldChar w:fldCharType="separate"/>
      </w:r>
      <w:r>
        <w:rPr>
          <w:b w:val="0"/>
          <w:bCs w:val="0"/>
        </w:rPr>
        <w:t>67</w:t>
      </w:r>
      <w:r>
        <w:rPr>
          <w:b w:val="0"/>
          <w:bCs w:val="0"/>
        </w:rPr>
        <w:fldChar w:fldCharType="end"/>
      </w:r>
      <w:r>
        <w:rPr>
          <w:rFonts w:hint="eastAsia"/>
          <w:b w:val="0"/>
          <w:bCs w:val="0"/>
          <w:color w:val="auto"/>
        </w:rPr>
        <w:fldChar w:fldCharType="end"/>
      </w:r>
    </w:p>
    <w:p w14:paraId="6D16E9E2">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_Toc18738 </w:instrText>
      </w:r>
      <w:r>
        <w:rPr>
          <w:rFonts w:hint="eastAsia"/>
          <w:b w:val="0"/>
          <w:bCs w:val="0"/>
        </w:rPr>
        <w:fldChar w:fldCharType="separate"/>
      </w:r>
      <w:r>
        <w:rPr>
          <w:rFonts w:hint="eastAsia" w:ascii="Times New Roman" w:hAnsi="Times New Roman" w:eastAsia="宋体" w:cs="Times New Roman"/>
          <w:b w:val="0"/>
          <w:bCs w:val="0"/>
          <w:szCs w:val="20"/>
          <w:highlight w:val="none"/>
          <w:lang w:val="en-US" w:eastAsia="zh-CN"/>
        </w:rPr>
        <w:t>附件</w:t>
      </w:r>
      <w:r>
        <w:rPr>
          <w:rFonts w:hint="eastAsia" w:cs="Times New Roman"/>
          <w:b w:val="0"/>
          <w:bCs w:val="0"/>
          <w:szCs w:val="20"/>
          <w:highlight w:val="none"/>
          <w:lang w:val="en-US" w:eastAsia="zh-CN"/>
        </w:rPr>
        <w:t>4 土地证</w:t>
      </w:r>
      <w:r>
        <w:rPr>
          <w:b w:val="0"/>
          <w:bCs w:val="0"/>
        </w:rPr>
        <w:tab/>
      </w:r>
      <w:r>
        <w:rPr>
          <w:b w:val="0"/>
          <w:bCs w:val="0"/>
        </w:rPr>
        <w:fldChar w:fldCharType="begin"/>
      </w:r>
      <w:r>
        <w:rPr>
          <w:b w:val="0"/>
          <w:bCs w:val="0"/>
        </w:rPr>
        <w:instrText xml:space="preserve"> PAGEREF _Toc18738 \h </w:instrText>
      </w:r>
      <w:r>
        <w:rPr>
          <w:b w:val="0"/>
          <w:bCs w:val="0"/>
        </w:rPr>
        <w:fldChar w:fldCharType="separate"/>
      </w:r>
      <w:r>
        <w:rPr>
          <w:b w:val="0"/>
          <w:bCs w:val="0"/>
        </w:rPr>
        <w:t>70</w:t>
      </w:r>
      <w:r>
        <w:rPr>
          <w:b w:val="0"/>
          <w:bCs w:val="0"/>
        </w:rPr>
        <w:fldChar w:fldCharType="end"/>
      </w:r>
      <w:r>
        <w:rPr>
          <w:rFonts w:hint="eastAsia"/>
          <w:b w:val="0"/>
          <w:bCs w:val="0"/>
          <w:color w:val="auto"/>
        </w:rPr>
        <w:fldChar w:fldCharType="end"/>
      </w:r>
    </w:p>
    <w:p w14:paraId="5DF42531">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_Toc1182 </w:instrText>
      </w:r>
      <w:r>
        <w:rPr>
          <w:rFonts w:hint="eastAsia"/>
          <w:b w:val="0"/>
          <w:bCs w:val="0"/>
        </w:rPr>
        <w:fldChar w:fldCharType="separate"/>
      </w:r>
      <w:r>
        <w:rPr>
          <w:rFonts w:hint="eastAsia" w:ascii="Times New Roman" w:hAnsi="Times New Roman" w:eastAsia="宋体" w:cs="Times New Roman"/>
          <w:b w:val="0"/>
          <w:bCs w:val="0"/>
          <w:szCs w:val="20"/>
          <w:highlight w:val="none"/>
          <w:lang w:val="en-US" w:eastAsia="zh-CN"/>
        </w:rPr>
        <w:t>附件</w:t>
      </w:r>
      <w:r>
        <w:rPr>
          <w:rFonts w:hint="eastAsia" w:cs="Times New Roman"/>
          <w:b w:val="0"/>
          <w:bCs w:val="0"/>
          <w:szCs w:val="20"/>
          <w:highlight w:val="none"/>
          <w:lang w:val="en-US" w:eastAsia="zh-CN"/>
        </w:rPr>
        <w:t>5</w:t>
      </w:r>
      <w:r>
        <w:rPr>
          <w:rFonts w:hint="eastAsia" w:ascii="Times New Roman" w:hAnsi="Times New Roman" w:eastAsia="宋体" w:cs="Times New Roman"/>
          <w:b w:val="0"/>
          <w:bCs w:val="0"/>
          <w:szCs w:val="20"/>
          <w:highlight w:val="none"/>
          <w:lang w:val="en-US" w:eastAsia="zh-CN"/>
        </w:rPr>
        <w:t xml:space="preserve"> </w:t>
      </w:r>
      <w:r>
        <w:rPr>
          <w:rFonts w:hint="eastAsia" w:cs="Times New Roman"/>
          <w:b w:val="0"/>
          <w:bCs w:val="0"/>
          <w:szCs w:val="20"/>
          <w:highlight w:val="none"/>
          <w:lang w:val="en-US" w:eastAsia="zh-CN"/>
        </w:rPr>
        <w:t>生态环境分区管控分析报告</w:t>
      </w:r>
      <w:r>
        <w:rPr>
          <w:b w:val="0"/>
          <w:bCs w:val="0"/>
        </w:rPr>
        <w:tab/>
      </w:r>
      <w:r>
        <w:rPr>
          <w:b w:val="0"/>
          <w:bCs w:val="0"/>
        </w:rPr>
        <w:fldChar w:fldCharType="begin"/>
      </w:r>
      <w:r>
        <w:rPr>
          <w:b w:val="0"/>
          <w:bCs w:val="0"/>
        </w:rPr>
        <w:instrText xml:space="preserve"> PAGEREF _Toc1182 \h </w:instrText>
      </w:r>
      <w:r>
        <w:rPr>
          <w:b w:val="0"/>
          <w:bCs w:val="0"/>
        </w:rPr>
        <w:fldChar w:fldCharType="separate"/>
      </w:r>
      <w:r>
        <w:rPr>
          <w:b w:val="0"/>
          <w:bCs w:val="0"/>
        </w:rPr>
        <w:t>72</w:t>
      </w:r>
      <w:r>
        <w:rPr>
          <w:b w:val="0"/>
          <w:bCs w:val="0"/>
        </w:rPr>
        <w:fldChar w:fldCharType="end"/>
      </w:r>
      <w:r>
        <w:rPr>
          <w:rFonts w:hint="eastAsia"/>
          <w:b w:val="0"/>
          <w:bCs w:val="0"/>
          <w:color w:val="auto"/>
        </w:rPr>
        <w:fldChar w:fldCharType="end"/>
      </w:r>
    </w:p>
    <w:p w14:paraId="2BFA86CD">
      <w:pPr>
        <w:pStyle w:val="22"/>
        <w:tabs>
          <w:tab w:val="right" w:leader="dot" w:pos="8844"/>
        </w:tabs>
        <w:rPr>
          <w:b w:val="0"/>
          <w:bCs w:val="0"/>
        </w:rPr>
      </w:pPr>
      <w:r>
        <w:rPr>
          <w:rFonts w:hint="eastAsia"/>
          <w:b w:val="0"/>
          <w:bCs w:val="0"/>
          <w:color w:val="auto"/>
        </w:rPr>
        <w:fldChar w:fldCharType="begin"/>
      </w:r>
      <w:r>
        <w:rPr>
          <w:rFonts w:hint="eastAsia"/>
          <w:b w:val="0"/>
          <w:bCs w:val="0"/>
        </w:rPr>
        <w:instrText xml:space="preserve"> HYPERLINK \l _Toc6403 </w:instrText>
      </w:r>
      <w:r>
        <w:rPr>
          <w:rFonts w:hint="eastAsia"/>
          <w:b w:val="0"/>
          <w:bCs w:val="0"/>
        </w:rPr>
        <w:fldChar w:fldCharType="separate"/>
      </w:r>
      <w:r>
        <w:rPr>
          <w:rFonts w:hint="eastAsia" w:ascii="Times New Roman" w:hAnsi="Times New Roman" w:eastAsia="宋体" w:cs="Times New Roman"/>
          <w:b w:val="0"/>
          <w:bCs w:val="0"/>
          <w:szCs w:val="20"/>
          <w:highlight w:val="none"/>
          <w:lang w:val="en-US" w:eastAsia="zh-CN"/>
        </w:rPr>
        <w:t>附件</w:t>
      </w:r>
      <w:r>
        <w:rPr>
          <w:rFonts w:hint="eastAsia" w:cs="Times New Roman"/>
          <w:b w:val="0"/>
          <w:bCs w:val="0"/>
          <w:szCs w:val="20"/>
          <w:highlight w:val="none"/>
          <w:lang w:val="en-US" w:eastAsia="zh-CN"/>
        </w:rPr>
        <w:t>6</w:t>
      </w:r>
      <w:r>
        <w:rPr>
          <w:rFonts w:hint="eastAsia" w:ascii="Times New Roman" w:hAnsi="Times New Roman" w:eastAsia="宋体" w:cs="Times New Roman"/>
          <w:b w:val="0"/>
          <w:bCs w:val="0"/>
          <w:szCs w:val="20"/>
          <w:highlight w:val="none"/>
          <w:lang w:val="en-US" w:eastAsia="zh-CN"/>
        </w:rPr>
        <w:t xml:space="preserve"> </w:t>
      </w:r>
      <w:r>
        <w:rPr>
          <w:rFonts w:hint="eastAsia" w:cs="Times New Roman"/>
          <w:b w:val="0"/>
          <w:bCs w:val="0"/>
          <w:szCs w:val="20"/>
          <w:highlight w:val="none"/>
          <w:lang w:val="en-US" w:eastAsia="zh-CN"/>
        </w:rPr>
        <w:t>大豆胶检测报告</w:t>
      </w:r>
      <w:r>
        <w:rPr>
          <w:b w:val="0"/>
          <w:bCs w:val="0"/>
        </w:rPr>
        <w:tab/>
      </w:r>
      <w:r>
        <w:rPr>
          <w:b w:val="0"/>
          <w:bCs w:val="0"/>
        </w:rPr>
        <w:fldChar w:fldCharType="begin"/>
      </w:r>
      <w:r>
        <w:rPr>
          <w:b w:val="0"/>
          <w:bCs w:val="0"/>
        </w:rPr>
        <w:instrText xml:space="preserve"> PAGEREF _Toc6403 \h </w:instrText>
      </w:r>
      <w:r>
        <w:rPr>
          <w:b w:val="0"/>
          <w:bCs w:val="0"/>
        </w:rPr>
        <w:fldChar w:fldCharType="separate"/>
      </w:r>
      <w:r>
        <w:rPr>
          <w:b w:val="0"/>
          <w:bCs w:val="0"/>
        </w:rPr>
        <w:t>82</w:t>
      </w:r>
      <w:r>
        <w:rPr>
          <w:b w:val="0"/>
          <w:bCs w:val="0"/>
        </w:rPr>
        <w:fldChar w:fldCharType="end"/>
      </w:r>
      <w:r>
        <w:rPr>
          <w:rFonts w:hint="eastAsia"/>
          <w:b w:val="0"/>
          <w:bCs w:val="0"/>
          <w:color w:val="auto"/>
        </w:rPr>
        <w:fldChar w:fldCharType="end"/>
      </w:r>
    </w:p>
    <w:p w14:paraId="5E15978C">
      <w:pPr>
        <w:pStyle w:val="8"/>
        <w:ind w:left="0" w:leftChars="0" w:firstLine="0" w:firstLineChars="0"/>
        <w:outlineLvl w:val="9"/>
        <w:rPr>
          <w:b/>
          <w:color w:val="auto"/>
          <w:sz w:val="28"/>
          <w:szCs w:val="28"/>
        </w:rPr>
      </w:pPr>
      <w:r>
        <w:rPr>
          <w:rFonts w:hint="eastAsia"/>
          <w:color w:val="auto"/>
        </w:rPr>
        <w:fldChar w:fldCharType="end"/>
      </w:r>
    </w:p>
    <w:p w14:paraId="57DDA2AE">
      <w:pPr>
        <w:pStyle w:val="11"/>
        <w:keepNext w:val="0"/>
        <w:keepLines w:val="0"/>
        <w:pageBreakBefore w:val="0"/>
        <w:kinsoku/>
        <w:wordWrap/>
        <w:overflowPunct/>
        <w:topLinePunct w:val="0"/>
        <w:autoSpaceDE/>
        <w:autoSpaceDN/>
        <w:bidi w:val="0"/>
        <w:adjustRightInd/>
        <w:spacing w:line="240" w:lineRule="auto"/>
        <w:textAlignment w:val="auto"/>
        <w:rPr>
          <w:rFonts w:hint="default" w:ascii="Times New Roman" w:hAnsi="Times New Roman" w:eastAsia="仿宋_GB2312" w:cs="Times New Roman"/>
          <w:color w:val="auto"/>
          <w:sz w:val="36"/>
          <w:szCs w:val="36"/>
          <w:highlight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bookmarkStart w:id="65" w:name="_GoBack"/>
      <w:bookmarkEnd w:id="65"/>
    </w:p>
    <w:p w14:paraId="475B3864">
      <w:pPr>
        <w:pStyle w:val="27"/>
        <w:jc w:val="center"/>
        <w:outlineLvl w:val="0"/>
        <w:rPr>
          <w:rFonts w:hint="default" w:ascii="Times New Roman" w:hAnsi="Times New Roman" w:eastAsia="黑体" w:cs="Times New Roman"/>
          <w:snapToGrid w:val="0"/>
          <w:color w:val="auto"/>
          <w:sz w:val="30"/>
          <w:szCs w:val="30"/>
          <w:highlight w:val="none"/>
        </w:rPr>
      </w:pPr>
      <w:bookmarkStart w:id="14" w:name="_Toc5486"/>
      <w:bookmarkStart w:id="15" w:name="_Toc3531"/>
      <w:r>
        <w:rPr>
          <w:rFonts w:hint="default" w:ascii="Times New Roman" w:hAnsi="Times New Roman" w:eastAsia="黑体" w:cs="Times New Roman"/>
          <w:snapToGrid w:val="0"/>
          <w:color w:val="auto"/>
          <w:sz w:val="30"/>
          <w:szCs w:val="30"/>
          <w:highlight w:val="none"/>
        </w:rPr>
        <w:t>一、建设项目基本情况</w:t>
      </w:r>
      <w:bookmarkEnd w:id="14"/>
      <w:bookmarkEnd w:id="15"/>
    </w:p>
    <w:tbl>
      <w:tblPr>
        <w:tblStyle w:val="31"/>
        <w:tblW w:w="90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6"/>
        <w:gridCol w:w="788"/>
        <w:gridCol w:w="1223"/>
        <w:gridCol w:w="2572"/>
        <w:gridCol w:w="413"/>
        <w:gridCol w:w="1733"/>
        <w:gridCol w:w="52"/>
        <w:gridCol w:w="2206"/>
        <w:gridCol w:w="26"/>
      </w:tblGrid>
      <w:tr w14:paraId="472CD0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37" w:type="dxa"/>
            <w:gridSpan w:val="3"/>
            <w:noWrap w:val="0"/>
            <w:tcMar>
              <w:top w:w="16" w:type="dxa"/>
              <w:left w:w="16" w:type="dxa"/>
              <w:right w:w="16" w:type="dxa"/>
            </w:tcMar>
            <w:vAlign w:val="center"/>
          </w:tcPr>
          <w:p w14:paraId="73D592CF">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建设项目名称</w:t>
            </w:r>
          </w:p>
        </w:tc>
        <w:tc>
          <w:tcPr>
            <w:tcW w:w="6976" w:type="dxa"/>
            <w:gridSpan w:val="5"/>
            <w:noWrap w:val="0"/>
            <w:vAlign w:val="center"/>
          </w:tcPr>
          <w:p w14:paraId="70B91FE8">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lang w:eastAsia="zh-CN"/>
              </w:rPr>
              <w:t>双鸭山市松森木材加工厂</w:t>
            </w:r>
            <w:r>
              <w:rPr>
                <w:rFonts w:hint="eastAsia" w:cs="Times New Roman"/>
                <w:color w:val="auto"/>
                <w:sz w:val="24"/>
                <w:lang w:val="en-US" w:eastAsia="zh-CN"/>
              </w:rPr>
              <w:t>生态板芯</w:t>
            </w:r>
            <w:r>
              <w:rPr>
                <w:rFonts w:hint="default" w:ascii="Times New Roman" w:hAnsi="Times New Roman" w:eastAsia="宋体" w:cs="Times New Roman"/>
                <w:color w:val="auto"/>
                <w:sz w:val="24"/>
                <w:lang w:eastAsia="zh-CN"/>
              </w:rPr>
              <w:t>项目</w:t>
            </w:r>
          </w:p>
        </w:tc>
      </w:tr>
      <w:tr w14:paraId="46FBD0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37" w:type="dxa"/>
            <w:gridSpan w:val="3"/>
            <w:noWrap w:val="0"/>
            <w:tcMar>
              <w:top w:w="16" w:type="dxa"/>
              <w:left w:w="16" w:type="dxa"/>
              <w:right w:w="16" w:type="dxa"/>
            </w:tcMar>
            <w:vAlign w:val="center"/>
          </w:tcPr>
          <w:p w14:paraId="3A6D53D0">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项目代码</w:t>
            </w:r>
          </w:p>
        </w:tc>
        <w:tc>
          <w:tcPr>
            <w:tcW w:w="6976" w:type="dxa"/>
            <w:gridSpan w:val="5"/>
            <w:noWrap w:val="0"/>
            <w:vAlign w:val="center"/>
          </w:tcPr>
          <w:p w14:paraId="7051A9BC">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lang w:val="en-US" w:eastAsia="zh-CN"/>
              </w:rPr>
              <w:t>无</w:t>
            </w:r>
          </w:p>
        </w:tc>
      </w:tr>
      <w:tr w14:paraId="1E3660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37" w:type="dxa"/>
            <w:gridSpan w:val="3"/>
            <w:noWrap w:val="0"/>
            <w:tcMar>
              <w:top w:w="16" w:type="dxa"/>
              <w:left w:w="16" w:type="dxa"/>
              <w:right w:w="16" w:type="dxa"/>
            </w:tcMar>
            <w:vAlign w:val="center"/>
          </w:tcPr>
          <w:p w14:paraId="1B5B6C71">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建设单位联系人</w:t>
            </w:r>
          </w:p>
        </w:tc>
        <w:tc>
          <w:tcPr>
            <w:tcW w:w="2572" w:type="dxa"/>
            <w:noWrap w:val="0"/>
            <w:vAlign w:val="center"/>
          </w:tcPr>
          <w:p w14:paraId="6793B805">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lang w:val="en-US" w:eastAsia="zh-CN"/>
              </w:rPr>
              <w:t>张德民</w:t>
            </w:r>
          </w:p>
        </w:tc>
        <w:tc>
          <w:tcPr>
            <w:tcW w:w="2146" w:type="dxa"/>
            <w:gridSpan w:val="2"/>
            <w:noWrap w:val="0"/>
            <w:vAlign w:val="center"/>
          </w:tcPr>
          <w:p w14:paraId="6579B85F">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rPr>
              <w:t>联系方式</w:t>
            </w:r>
          </w:p>
        </w:tc>
        <w:tc>
          <w:tcPr>
            <w:tcW w:w="2258" w:type="dxa"/>
            <w:gridSpan w:val="2"/>
            <w:noWrap w:val="0"/>
            <w:vAlign w:val="center"/>
          </w:tcPr>
          <w:p w14:paraId="335FD3CB">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lang w:val="en-US" w:eastAsia="zh-CN"/>
              </w:rPr>
              <w:t>13</w:t>
            </w:r>
            <w:r>
              <w:rPr>
                <w:rFonts w:hint="eastAsia" w:cs="Times New Roman"/>
                <w:color w:val="auto"/>
                <w:sz w:val="24"/>
                <w:lang w:val="en-US" w:eastAsia="zh-CN"/>
              </w:rPr>
              <w:t xml:space="preserve">846904616 </w:t>
            </w:r>
          </w:p>
        </w:tc>
      </w:tr>
      <w:tr w14:paraId="27B61E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67" w:hRule="atLeast"/>
          <w:jc w:val="center"/>
        </w:trPr>
        <w:tc>
          <w:tcPr>
            <w:tcW w:w="2037" w:type="dxa"/>
            <w:gridSpan w:val="3"/>
            <w:noWrap w:val="0"/>
            <w:tcMar>
              <w:top w:w="16" w:type="dxa"/>
              <w:left w:w="16" w:type="dxa"/>
              <w:right w:w="16" w:type="dxa"/>
            </w:tcMar>
            <w:vAlign w:val="center"/>
          </w:tcPr>
          <w:p w14:paraId="0C03A4D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建设地点</w:t>
            </w:r>
          </w:p>
        </w:tc>
        <w:tc>
          <w:tcPr>
            <w:tcW w:w="6976" w:type="dxa"/>
            <w:gridSpan w:val="5"/>
            <w:noWrap w:val="0"/>
            <w:vAlign w:val="center"/>
          </w:tcPr>
          <w:p w14:paraId="5E427FBA">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rPr>
              <w:t>黑龙江省</w:t>
            </w:r>
            <w:r>
              <w:rPr>
                <w:rFonts w:hint="eastAsia" w:cs="Times New Roman"/>
                <w:color w:val="auto"/>
                <w:sz w:val="24"/>
                <w:lang w:val="en-US" w:eastAsia="zh-CN"/>
              </w:rPr>
              <w:t>双鸭山市</w:t>
            </w:r>
            <w:r>
              <w:rPr>
                <w:rFonts w:hint="eastAsia" w:ascii="宋体" w:hAnsi="宋体" w:eastAsia="宋体"/>
                <w:color w:val="auto"/>
                <w:sz w:val="24"/>
                <w:szCs w:val="24"/>
              </w:rPr>
              <w:t>尖山</w:t>
            </w:r>
            <w:r>
              <w:rPr>
                <w:rFonts w:hint="eastAsia" w:ascii="Times New Roman" w:hAnsi="Times New Roman" w:cs="Times New Roman"/>
                <w:color w:val="auto"/>
                <w:sz w:val="24"/>
                <w:u w:val="none"/>
                <w:lang w:val="en-US" w:eastAsia="zh-CN"/>
              </w:rPr>
              <w:t>区</w:t>
            </w:r>
            <w:r>
              <w:rPr>
                <w:rFonts w:hint="eastAsia" w:cs="Times New Roman"/>
                <w:color w:val="auto"/>
                <w:sz w:val="24"/>
                <w:u w:val="none"/>
                <w:lang w:val="en-US" w:eastAsia="zh-CN"/>
              </w:rPr>
              <w:t>窑地路</w:t>
            </w:r>
          </w:p>
        </w:tc>
      </w:tr>
      <w:tr w14:paraId="4E6FC0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37" w:type="dxa"/>
            <w:gridSpan w:val="3"/>
            <w:noWrap w:val="0"/>
            <w:tcMar>
              <w:top w:w="16" w:type="dxa"/>
              <w:left w:w="16" w:type="dxa"/>
              <w:right w:w="16" w:type="dxa"/>
            </w:tcMar>
            <w:vAlign w:val="center"/>
          </w:tcPr>
          <w:p w14:paraId="67428F1E">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地理坐标</w:t>
            </w:r>
          </w:p>
        </w:tc>
        <w:tc>
          <w:tcPr>
            <w:tcW w:w="6976" w:type="dxa"/>
            <w:gridSpan w:val="5"/>
            <w:noWrap w:val="0"/>
            <w:vAlign w:val="center"/>
          </w:tcPr>
          <w:p w14:paraId="732E1660">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u w:val="single"/>
                <w:lang w:val="en-US" w:eastAsia="zh-CN"/>
              </w:rPr>
              <w:t>1</w:t>
            </w:r>
            <w:r>
              <w:rPr>
                <w:rFonts w:hint="eastAsia" w:ascii="Times New Roman" w:hAnsi="Times New Roman" w:cs="Times New Roman"/>
                <w:color w:val="auto"/>
                <w:sz w:val="24"/>
                <w:u w:val="single"/>
                <w:lang w:val="en-US" w:eastAsia="zh-CN"/>
              </w:rPr>
              <w:t>31</w:t>
            </w:r>
            <w:r>
              <w:rPr>
                <w:rFonts w:hint="default" w:ascii="Times New Roman" w:hAnsi="Times New Roman" w:cs="Times New Roman"/>
                <w:color w:val="auto"/>
                <w:sz w:val="24"/>
              </w:rPr>
              <w:t>度</w:t>
            </w:r>
            <w:r>
              <w:rPr>
                <w:rFonts w:hint="eastAsia" w:cs="Times New Roman"/>
                <w:color w:val="auto"/>
                <w:sz w:val="24"/>
                <w:u w:val="single"/>
                <w:lang w:val="en-US" w:eastAsia="zh-CN"/>
              </w:rPr>
              <w:t>10</w:t>
            </w:r>
            <w:r>
              <w:rPr>
                <w:rFonts w:hint="default" w:ascii="Times New Roman" w:hAnsi="Times New Roman" w:cs="Times New Roman"/>
                <w:color w:val="auto"/>
                <w:sz w:val="24"/>
              </w:rPr>
              <w:t>分</w:t>
            </w:r>
            <w:r>
              <w:rPr>
                <w:rFonts w:hint="eastAsia" w:cs="Times New Roman"/>
                <w:color w:val="auto"/>
                <w:sz w:val="24"/>
                <w:u w:val="single"/>
                <w:lang w:val="en-US" w:eastAsia="zh-CN"/>
              </w:rPr>
              <w:t>13.517</w:t>
            </w:r>
            <w:r>
              <w:rPr>
                <w:rFonts w:hint="default" w:ascii="Times New Roman" w:hAnsi="Times New Roman" w:cs="Times New Roman"/>
                <w:color w:val="auto"/>
                <w:sz w:val="24"/>
              </w:rPr>
              <w:t>秒，</w:t>
            </w:r>
            <w:r>
              <w:rPr>
                <w:rFonts w:hint="default" w:ascii="Times New Roman" w:hAnsi="Times New Roman" w:cs="Times New Roman"/>
                <w:color w:val="auto"/>
                <w:sz w:val="24"/>
                <w:u w:val="single"/>
                <w:lang w:val="en-US" w:eastAsia="zh-CN"/>
              </w:rPr>
              <w:t>4</w:t>
            </w:r>
            <w:r>
              <w:rPr>
                <w:rFonts w:hint="eastAsia" w:ascii="Times New Roman" w:hAnsi="Times New Roman" w:cs="Times New Roman"/>
                <w:color w:val="auto"/>
                <w:sz w:val="24"/>
                <w:u w:val="single"/>
                <w:lang w:val="en-US" w:eastAsia="zh-CN"/>
              </w:rPr>
              <w:t>6</w:t>
            </w:r>
            <w:r>
              <w:rPr>
                <w:rFonts w:hint="default" w:ascii="Times New Roman" w:hAnsi="Times New Roman" w:cs="Times New Roman"/>
                <w:color w:val="auto"/>
                <w:sz w:val="24"/>
              </w:rPr>
              <w:t>度</w:t>
            </w:r>
            <w:r>
              <w:rPr>
                <w:rFonts w:hint="eastAsia" w:ascii="Times New Roman" w:hAnsi="Times New Roman" w:cs="Times New Roman"/>
                <w:color w:val="auto"/>
                <w:sz w:val="24"/>
                <w:u w:val="single"/>
                <w:lang w:val="en-US" w:eastAsia="zh-CN"/>
              </w:rPr>
              <w:t>3</w:t>
            </w:r>
            <w:r>
              <w:rPr>
                <w:rFonts w:hint="eastAsia" w:cs="Times New Roman"/>
                <w:color w:val="auto"/>
                <w:sz w:val="24"/>
                <w:u w:val="single"/>
                <w:lang w:val="en-US" w:eastAsia="zh-CN"/>
              </w:rPr>
              <w:t>6</w:t>
            </w:r>
            <w:r>
              <w:rPr>
                <w:rFonts w:hint="default" w:ascii="Times New Roman" w:hAnsi="Times New Roman" w:cs="Times New Roman"/>
                <w:color w:val="auto"/>
                <w:sz w:val="24"/>
              </w:rPr>
              <w:t>分</w:t>
            </w:r>
            <w:r>
              <w:rPr>
                <w:rFonts w:hint="eastAsia" w:cs="Times New Roman"/>
                <w:color w:val="auto"/>
                <w:sz w:val="24"/>
                <w:u w:val="single"/>
                <w:lang w:val="en-US" w:eastAsia="zh-CN"/>
              </w:rPr>
              <w:t>49.044</w:t>
            </w:r>
            <w:r>
              <w:rPr>
                <w:rFonts w:hint="default" w:ascii="Times New Roman" w:hAnsi="Times New Roman" w:cs="Times New Roman"/>
                <w:color w:val="auto"/>
                <w:sz w:val="24"/>
              </w:rPr>
              <w:t>秒</w:t>
            </w:r>
          </w:p>
        </w:tc>
      </w:tr>
      <w:tr w14:paraId="460ED0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561" w:hRule="atLeast"/>
          <w:jc w:val="center"/>
        </w:trPr>
        <w:tc>
          <w:tcPr>
            <w:tcW w:w="2037" w:type="dxa"/>
            <w:gridSpan w:val="3"/>
            <w:noWrap w:val="0"/>
            <w:tcMar>
              <w:top w:w="16" w:type="dxa"/>
              <w:left w:w="16" w:type="dxa"/>
              <w:right w:w="16" w:type="dxa"/>
            </w:tcMar>
            <w:vAlign w:val="center"/>
          </w:tcPr>
          <w:p w14:paraId="014765DC">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国民经济</w:t>
            </w:r>
          </w:p>
          <w:p w14:paraId="7DEEF81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p>
        </w:tc>
        <w:tc>
          <w:tcPr>
            <w:tcW w:w="2985" w:type="dxa"/>
            <w:gridSpan w:val="2"/>
            <w:noWrap w:val="0"/>
            <w:vAlign w:val="center"/>
          </w:tcPr>
          <w:p w14:paraId="1515DF5C">
            <w:pPr>
              <w:adjustRightInd w:val="0"/>
              <w:snapToGrid w:val="0"/>
              <w:jc w:val="center"/>
              <w:rPr>
                <w:rFonts w:hint="eastAsia" w:ascii="Times New Roman" w:hAnsi="Times New Roman" w:eastAsia="宋体" w:cs="Times New Roman"/>
                <w:color w:val="auto"/>
                <w:sz w:val="24"/>
                <w:szCs w:val="24"/>
                <w:highlight w:val="none"/>
                <w:lang w:val="en-US" w:eastAsia="zh-CN" w:bidi="ar-SA"/>
              </w:rPr>
            </w:pPr>
            <w:r>
              <w:rPr>
                <w:rFonts w:hint="eastAsia" w:ascii="Times New Roman" w:hAnsi="Times New Roman" w:eastAsia="宋体" w:cs="Times New Roman"/>
                <w:color w:val="auto"/>
                <w:sz w:val="24"/>
                <w:szCs w:val="24"/>
                <w:highlight w:val="none"/>
                <w:lang w:val="en-US" w:eastAsia="zh-CN" w:bidi="ar-SA"/>
              </w:rPr>
              <w:t>C2029其他人造板制造</w:t>
            </w:r>
          </w:p>
          <w:p w14:paraId="24BC2604">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rPr>
              <w:t>D4430 热力生产和供应</w:t>
            </w:r>
          </w:p>
        </w:tc>
        <w:tc>
          <w:tcPr>
            <w:tcW w:w="1785" w:type="dxa"/>
            <w:gridSpan w:val="2"/>
            <w:noWrap w:val="0"/>
            <w:vAlign w:val="center"/>
          </w:tcPr>
          <w:p w14:paraId="358CA17D">
            <w:pPr>
              <w:adjustRightInd w:val="0"/>
              <w:snapToGrid w:val="0"/>
              <w:jc w:val="center"/>
              <w:rPr>
                <w:rFonts w:hint="default" w:ascii="Times New Roman" w:hAnsi="Times New Roman" w:cs="Times New Roman"/>
                <w:color w:val="auto"/>
                <w:sz w:val="24"/>
                <w:highlight w:val="none"/>
              </w:rPr>
            </w:pPr>
            <w:bookmarkStart w:id="16" w:name="_Hlk49843745"/>
            <w:r>
              <w:rPr>
                <w:rFonts w:hint="default" w:ascii="Times New Roman" w:hAnsi="Times New Roman" w:cs="Times New Roman"/>
                <w:color w:val="auto"/>
                <w:sz w:val="24"/>
                <w:highlight w:val="none"/>
              </w:rPr>
              <w:t>建设项目</w:t>
            </w:r>
          </w:p>
          <w:p w14:paraId="5745FE2A">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bookmarkEnd w:id="16"/>
          </w:p>
        </w:tc>
        <w:tc>
          <w:tcPr>
            <w:tcW w:w="2206" w:type="dxa"/>
            <w:noWrap w:val="0"/>
            <w:vAlign w:val="center"/>
          </w:tcPr>
          <w:p w14:paraId="40C00246">
            <w:pPr>
              <w:numPr>
                <w:ilvl w:val="0"/>
                <w:numId w:val="2"/>
              </w:num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木材加工和木、竹、藤、棕、草制品业：34、人造板制造-其他</w:t>
            </w:r>
            <w:r>
              <w:rPr>
                <w:rFonts w:hint="eastAsia" w:cs="Times New Roman"/>
                <w:color w:val="auto"/>
                <w:sz w:val="24"/>
                <w:highlight w:val="none"/>
                <w:lang w:eastAsia="zh-CN"/>
              </w:rPr>
              <w:t>；</w:t>
            </w:r>
          </w:p>
          <w:p w14:paraId="59761AE9">
            <w:pPr>
              <w:numPr>
                <w:ilvl w:val="0"/>
                <w:numId w:val="0"/>
              </w:numPr>
              <w:adjustRightInd w:val="0"/>
              <w:snapToGrid w:val="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四十一、电力、热力生产和供应业；91 热力生产和供应工程</w:t>
            </w:r>
          </w:p>
        </w:tc>
      </w:tr>
      <w:tr w14:paraId="34A8B4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1219" w:hRule="atLeast"/>
          <w:jc w:val="center"/>
        </w:trPr>
        <w:tc>
          <w:tcPr>
            <w:tcW w:w="2037" w:type="dxa"/>
            <w:gridSpan w:val="3"/>
            <w:noWrap w:val="0"/>
            <w:tcMar>
              <w:top w:w="16" w:type="dxa"/>
              <w:left w:w="16" w:type="dxa"/>
              <w:right w:w="16" w:type="dxa"/>
            </w:tcMar>
            <w:vAlign w:val="center"/>
          </w:tcPr>
          <w:p w14:paraId="0377330E">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建设性质</w:t>
            </w:r>
          </w:p>
        </w:tc>
        <w:tc>
          <w:tcPr>
            <w:tcW w:w="2985" w:type="dxa"/>
            <w:gridSpan w:val="2"/>
            <w:noWrap w:val="0"/>
            <w:vAlign w:val="center"/>
          </w:tcPr>
          <w:p w14:paraId="658D653D">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w:char="00FE"/>
            </w:r>
            <w:r>
              <w:rPr>
                <w:rFonts w:hint="default" w:ascii="Times New Roman" w:hAnsi="Times New Roman" w:cs="Times New Roman"/>
                <w:color w:val="auto"/>
                <w:sz w:val="24"/>
                <w:highlight w:val="none"/>
              </w:rPr>
              <w:t>新建（迁建）</w:t>
            </w:r>
          </w:p>
          <w:p w14:paraId="4E0FBEA5">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改建</w:t>
            </w:r>
          </w:p>
          <w:p w14:paraId="254F4B42">
            <w:pPr>
              <w:jc w:val="left"/>
              <w:rPr>
                <w:rFonts w:hint="default" w:ascii="Times New Roman" w:hAnsi="Times New Roman" w:cs="Times New Roman"/>
                <w:color w:val="auto"/>
                <w:sz w:val="24"/>
                <w:highlight w:val="none"/>
              </w:rPr>
            </w:pPr>
            <w:r>
              <w:rPr>
                <w:rFonts w:hint="eastAsia" w:cs="Times New Roman"/>
                <w:color w:val="auto"/>
                <w:sz w:val="24"/>
                <w:highlight w:val="none"/>
                <w:lang w:eastAsia="zh-CN"/>
              </w:rPr>
              <w:t>□</w:t>
            </w:r>
            <w:r>
              <w:rPr>
                <w:rFonts w:hint="default" w:ascii="Times New Roman" w:hAnsi="Times New Roman" w:cs="Times New Roman"/>
                <w:color w:val="auto"/>
                <w:sz w:val="24"/>
                <w:highlight w:val="none"/>
              </w:rPr>
              <w:t>扩建</w:t>
            </w:r>
          </w:p>
          <w:p w14:paraId="093C321F">
            <w:pPr>
              <w:jc w:val="left"/>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技术</w:t>
            </w:r>
            <w:r>
              <w:rPr>
                <w:rFonts w:hint="eastAsia" w:ascii="Times New Roman" w:hAnsi="Times New Roman" w:cs="Times New Roman"/>
                <w:color w:val="auto"/>
                <w:sz w:val="24"/>
                <w:highlight w:val="none"/>
                <w:lang w:eastAsia="zh-CN"/>
              </w:rPr>
              <w:t>改建</w:t>
            </w:r>
          </w:p>
        </w:tc>
        <w:tc>
          <w:tcPr>
            <w:tcW w:w="1785" w:type="dxa"/>
            <w:gridSpan w:val="2"/>
            <w:noWrap w:val="0"/>
            <w:vAlign w:val="center"/>
          </w:tcPr>
          <w:p w14:paraId="72D484AF">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w:t>
            </w:r>
          </w:p>
          <w:p w14:paraId="168E40F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申报情形</w:t>
            </w:r>
          </w:p>
        </w:tc>
        <w:tc>
          <w:tcPr>
            <w:tcW w:w="2206" w:type="dxa"/>
            <w:noWrap w:val="0"/>
            <w:vAlign w:val="center"/>
          </w:tcPr>
          <w:p w14:paraId="523F2680">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52"/>
            </w:r>
            <w:r>
              <w:rPr>
                <w:rFonts w:hint="default" w:ascii="Times New Roman" w:hAnsi="Times New Roman" w:cs="Times New Roman"/>
                <w:color w:val="auto"/>
                <w:sz w:val="24"/>
                <w:highlight w:val="none"/>
              </w:rPr>
              <w:t xml:space="preserve">首次申报项目         </w:t>
            </w:r>
          </w:p>
          <w:p w14:paraId="606EFBBE">
            <w:pPr>
              <w:jc w:val="left"/>
              <w:rPr>
                <w:rFonts w:hint="default" w:ascii="Times New Roman" w:hAnsi="Times New Roman" w:cs="Times New Roman"/>
                <w:color w:val="auto"/>
                <w:sz w:val="24"/>
                <w:highlight w:val="none"/>
              </w:rPr>
            </w:pPr>
            <w:r>
              <w:rPr>
                <w:rFonts w:hint="eastAsia" w:cs="Times New Roman"/>
                <w:color w:val="auto"/>
                <w:sz w:val="24"/>
                <w:highlight w:val="none"/>
                <w:lang w:eastAsia="zh-CN"/>
              </w:rPr>
              <w:t>□</w:t>
            </w:r>
            <w:r>
              <w:rPr>
                <w:rFonts w:hint="default" w:ascii="Times New Roman" w:hAnsi="Times New Roman" w:cs="Times New Roman"/>
                <w:color w:val="auto"/>
                <w:sz w:val="24"/>
                <w:highlight w:val="none"/>
              </w:rPr>
              <w:t>不予批准后再次申报项目</w:t>
            </w:r>
          </w:p>
          <w:p w14:paraId="2A87E58B">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 xml:space="preserve">超五年重新审核项目     </w:t>
            </w:r>
          </w:p>
          <w:p w14:paraId="7A3366E0">
            <w:pPr>
              <w:jc w:val="left"/>
              <w:rPr>
                <w:rFonts w:hint="default" w:ascii="Times New Roman" w:hAnsi="Times New Roman" w:cs="Times New Roman"/>
                <w:color w:val="auto"/>
                <w:sz w:val="24"/>
                <w:highlight w:val="none"/>
              </w:rPr>
            </w:pPr>
            <w:r>
              <w:rPr>
                <w:rFonts w:hint="eastAsia" w:cs="Times New Roman"/>
                <w:color w:val="auto"/>
                <w:sz w:val="24"/>
                <w:highlight w:val="none"/>
                <w:lang w:eastAsia="zh-CN"/>
              </w:rPr>
              <w:t>□</w:t>
            </w:r>
            <w:r>
              <w:rPr>
                <w:rFonts w:hint="default" w:ascii="Times New Roman" w:hAnsi="Times New Roman" w:cs="Times New Roman"/>
                <w:color w:val="auto"/>
                <w:sz w:val="24"/>
                <w:highlight w:val="none"/>
              </w:rPr>
              <w:t>重大变动重新报批项目</w:t>
            </w:r>
          </w:p>
        </w:tc>
      </w:tr>
      <w:tr w14:paraId="06BBC9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90" w:hRule="atLeast"/>
          <w:jc w:val="center"/>
        </w:trPr>
        <w:tc>
          <w:tcPr>
            <w:tcW w:w="2037" w:type="dxa"/>
            <w:gridSpan w:val="3"/>
            <w:noWrap w:val="0"/>
            <w:tcMar>
              <w:top w:w="16" w:type="dxa"/>
              <w:left w:w="16" w:type="dxa"/>
              <w:right w:w="16" w:type="dxa"/>
            </w:tcMar>
            <w:vAlign w:val="center"/>
          </w:tcPr>
          <w:p w14:paraId="215175F7">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42FDE9F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备案）部门（选填）</w:t>
            </w:r>
          </w:p>
        </w:tc>
        <w:tc>
          <w:tcPr>
            <w:tcW w:w="2985" w:type="dxa"/>
            <w:gridSpan w:val="2"/>
            <w:noWrap w:val="0"/>
            <w:vAlign w:val="center"/>
          </w:tcPr>
          <w:p w14:paraId="3AB4BA79">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w:t>
            </w:r>
          </w:p>
        </w:tc>
        <w:tc>
          <w:tcPr>
            <w:tcW w:w="1785" w:type="dxa"/>
            <w:gridSpan w:val="2"/>
            <w:noWrap w:val="0"/>
            <w:vAlign w:val="center"/>
          </w:tcPr>
          <w:p w14:paraId="02D8E89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0ED3AD8E">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备案）文号（选填）</w:t>
            </w:r>
          </w:p>
        </w:tc>
        <w:tc>
          <w:tcPr>
            <w:tcW w:w="2206" w:type="dxa"/>
            <w:noWrap w:val="0"/>
            <w:vAlign w:val="center"/>
          </w:tcPr>
          <w:p w14:paraId="4DC7FF00">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val="en-US" w:eastAsia="zh-CN"/>
              </w:rPr>
              <w:t>/</w:t>
            </w:r>
          </w:p>
        </w:tc>
      </w:tr>
      <w:tr w14:paraId="6405A1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37" w:type="dxa"/>
            <w:gridSpan w:val="3"/>
            <w:noWrap w:val="0"/>
            <w:tcMar>
              <w:top w:w="16" w:type="dxa"/>
              <w:left w:w="16" w:type="dxa"/>
              <w:right w:w="16" w:type="dxa"/>
            </w:tcMar>
            <w:vAlign w:val="center"/>
          </w:tcPr>
          <w:p w14:paraId="56DAC34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总投资（万元）</w:t>
            </w:r>
          </w:p>
        </w:tc>
        <w:tc>
          <w:tcPr>
            <w:tcW w:w="2985" w:type="dxa"/>
            <w:gridSpan w:val="2"/>
            <w:noWrap w:val="0"/>
            <w:vAlign w:val="center"/>
          </w:tcPr>
          <w:p w14:paraId="6CBDD61F">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00</w:t>
            </w:r>
          </w:p>
        </w:tc>
        <w:tc>
          <w:tcPr>
            <w:tcW w:w="1785" w:type="dxa"/>
            <w:gridSpan w:val="2"/>
            <w:noWrap w:val="0"/>
            <w:tcMar>
              <w:top w:w="16" w:type="dxa"/>
              <w:left w:w="16" w:type="dxa"/>
              <w:right w:w="16" w:type="dxa"/>
            </w:tcMar>
            <w:vAlign w:val="center"/>
          </w:tcPr>
          <w:p w14:paraId="4218FE66">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shd w:val="clear"/>
              </w:rPr>
              <w:t>环保投资（万元）</w:t>
            </w:r>
          </w:p>
        </w:tc>
        <w:tc>
          <w:tcPr>
            <w:tcW w:w="2206" w:type="dxa"/>
            <w:noWrap w:val="0"/>
            <w:vAlign w:val="center"/>
          </w:tcPr>
          <w:p w14:paraId="679DC98A">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27</w:t>
            </w:r>
          </w:p>
        </w:tc>
      </w:tr>
      <w:tr w14:paraId="0E2628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527" w:hRule="atLeast"/>
          <w:jc w:val="center"/>
        </w:trPr>
        <w:tc>
          <w:tcPr>
            <w:tcW w:w="2037" w:type="dxa"/>
            <w:gridSpan w:val="3"/>
            <w:noWrap w:val="0"/>
            <w:tcMar>
              <w:top w:w="16" w:type="dxa"/>
              <w:left w:w="16" w:type="dxa"/>
              <w:right w:w="16" w:type="dxa"/>
            </w:tcMar>
            <w:vAlign w:val="center"/>
          </w:tcPr>
          <w:p w14:paraId="6B8FF064">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环保投资占比（%）</w:t>
            </w:r>
          </w:p>
        </w:tc>
        <w:tc>
          <w:tcPr>
            <w:tcW w:w="2985" w:type="dxa"/>
            <w:gridSpan w:val="2"/>
            <w:noWrap w:val="0"/>
            <w:vAlign w:val="center"/>
          </w:tcPr>
          <w:p w14:paraId="3300C361">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13.5</w:t>
            </w:r>
          </w:p>
        </w:tc>
        <w:tc>
          <w:tcPr>
            <w:tcW w:w="1785" w:type="dxa"/>
            <w:gridSpan w:val="2"/>
            <w:noWrap w:val="0"/>
            <w:tcMar>
              <w:top w:w="16" w:type="dxa"/>
              <w:left w:w="16" w:type="dxa"/>
              <w:right w:w="16" w:type="dxa"/>
            </w:tcMar>
            <w:vAlign w:val="center"/>
          </w:tcPr>
          <w:p w14:paraId="147DF4D3">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2206" w:type="dxa"/>
            <w:noWrap w:val="0"/>
            <w:vAlign w:val="center"/>
          </w:tcPr>
          <w:p w14:paraId="7B28EC46">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202</w:t>
            </w:r>
            <w:r>
              <w:rPr>
                <w:rFonts w:hint="eastAsia"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-202</w:t>
            </w:r>
            <w:r>
              <w:rPr>
                <w:rFonts w:hint="eastAsia"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7</w:t>
            </w:r>
          </w:p>
        </w:tc>
      </w:tr>
      <w:tr w14:paraId="21B1CE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6" w:type="dxa"/>
          <w:trHeight w:val="497" w:hRule="atLeast"/>
          <w:jc w:val="center"/>
        </w:trPr>
        <w:tc>
          <w:tcPr>
            <w:tcW w:w="2037" w:type="dxa"/>
            <w:gridSpan w:val="3"/>
            <w:noWrap w:val="0"/>
            <w:tcMar>
              <w:top w:w="16" w:type="dxa"/>
              <w:left w:w="16" w:type="dxa"/>
              <w:right w:w="16" w:type="dxa"/>
            </w:tcMar>
            <w:vAlign w:val="center"/>
          </w:tcPr>
          <w:p w14:paraId="0506A3F9">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是否开工建设</w:t>
            </w:r>
          </w:p>
        </w:tc>
        <w:tc>
          <w:tcPr>
            <w:tcW w:w="2985" w:type="dxa"/>
            <w:gridSpan w:val="2"/>
            <w:noWrap w:val="0"/>
            <w:vAlign w:val="center"/>
          </w:tcPr>
          <w:p w14:paraId="03CE05B0">
            <w:pPr>
              <w:adjustRightInd w:val="0"/>
              <w:snapToGrid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52"/>
            </w:r>
            <w:r>
              <w:rPr>
                <w:rFonts w:hint="default" w:ascii="Times New Roman" w:hAnsi="Times New Roman" w:cs="Times New Roman"/>
                <w:color w:val="auto"/>
                <w:sz w:val="24"/>
                <w:highlight w:val="none"/>
              </w:rPr>
              <w:t>否</w:t>
            </w:r>
          </w:p>
          <w:p w14:paraId="135BEF21">
            <w:pPr>
              <w:adjustRightInd w:val="0"/>
              <w:snapToGrid w:val="0"/>
              <w:rPr>
                <w:rFonts w:hint="default" w:ascii="Times New Roman" w:hAnsi="Times New Roman" w:cs="Times New Roman"/>
                <w:color w:val="auto"/>
                <w:sz w:val="24"/>
                <w:highlight w:val="none"/>
                <w:lang w:val="en-US"/>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是</w:t>
            </w:r>
            <w:r>
              <w:rPr>
                <w:rFonts w:hint="default" w:ascii="Times New Roman" w:hAnsi="Times New Roman" w:cs="Times New Roman"/>
                <w:color w:val="auto"/>
                <w:sz w:val="24"/>
                <w:highlight w:val="none"/>
                <w:lang w:eastAsia="zh-CN"/>
              </w:rPr>
              <w:t>：</w:t>
            </w:r>
            <w:r>
              <w:rPr>
                <w:rFonts w:hint="eastAsia" w:ascii="Times New Roman" w:hAnsi="Times New Roman" w:eastAsia="宋体" w:cs="Times New Roman"/>
                <w:color w:val="auto"/>
                <w:sz w:val="21"/>
                <w:szCs w:val="21"/>
                <w:highlight w:val="none"/>
                <w:u w:val="single"/>
                <w:lang w:val="en-US" w:eastAsia="zh-CN"/>
              </w:rPr>
              <w:t>本</w:t>
            </w:r>
            <w:r>
              <w:rPr>
                <w:rFonts w:hint="eastAsia" w:ascii="Times New Roman" w:hAnsi="Times New Roman" w:cs="Times New Roman"/>
                <w:color w:val="auto"/>
                <w:sz w:val="21"/>
                <w:szCs w:val="21"/>
                <w:highlight w:val="none"/>
                <w:u w:val="single"/>
                <w:lang w:val="en-US" w:eastAsia="zh-CN"/>
              </w:rPr>
              <w:t>项目于202</w:t>
            </w:r>
            <w:r>
              <w:rPr>
                <w:rFonts w:hint="eastAsia" w:cs="Times New Roman"/>
                <w:color w:val="auto"/>
                <w:sz w:val="21"/>
                <w:szCs w:val="21"/>
                <w:highlight w:val="none"/>
                <w:u w:val="single"/>
                <w:lang w:val="en-US" w:eastAsia="zh-CN"/>
              </w:rPr>
              <w:t>1</w:t>
            </w:r>
            <w:r>
              <w:rPr>
                <w:rFonts w:hint="eastAsia" w:ascii="Times New Roman" w:hAnsi="Times New Roman" w:cs="Times New Roman"/>
                <w:color w:val="auto"/>
                <w:sz w:val="21"/>
                <w:szCs w:val="21"/>
                <w:highlight w:val="none"/>
                <w:u w:val="single"/>
                <w:lang w:val="en-US" w:eastAsia="zh-CN"/>
              </w:rPr>
              <w:t>年</w:t>
            </w:r>
            <w:r>
              <w:rPr>
                <w:rFonts w:hint="eastAsia" w:cs="Times New Roman"/>
                <w:color w:val="auto"/>
                <w:sz w:val="21"/>
                <w:szCs w:val="21"/>
                <w:highlight w:val="none"/>
                <w:u w:val="single"/>
                <w:lang w:val="en-US" w:eastAsia="zh-CN"/>
              </w:rPr>
              <w:t>6</w:t>
            </w:r>
            <w:r>
              <w:rPr>
                <w:rFonts w:hint="eastAsia" w:ascii="Times New Roman" w:hAnsi="Times New Roman" w:cs="Times New Roman"/>
                <w:color w:val="auto"/>
                <w:sz w:val="21"/>
                <w:szCs w:val="21"/>
                <w:highlight w:val="none"/>
                <w:u w:val="single"/>
                <w:lang w:val="en-US" w:eastAsia="zh-CN"/>
              </w:rPr>
              <w:t>月开始建设，202</w:t>
            </w:r>
            <w:r>
              <w:rPr>
                <w:rFonts w:hint="eastAsia" w:cs="Times New Roman"/>
                <w:color w:val="auto"/>
                <w:sz w:val="21"/>
                <w:szCs w:val="21"/>
                <w:highlight w:val="none"/>
                <w:u w:val="single"/>
                <w:lang w:val="en-US" w:eastAsia="zh-CN"/>
              </w:rPr>
              <w:t>1</w:t>
            </w:r>
            <w:r>
              <w:rPr>
                <w:rFonts w:hint="eastAsia" w:ascii="Times New Roman" w:hAnsi="Times New Roman" w:cs="Times New Roman"/>
                <w:color w:val="auto"/>
                <w:sz w:val="21"/>
                <w:szCs w:val="21"/>
                <w:highlight w:val="none"/>
                <w:u w:val="single"/>
                <w:lang w:val="en-US" w:eastAsia="zh-CN"/>
              </w:rPr>
              <w:t>年10月建成，</w:t>
            </w:r>
            <w:r>
              <w:rPr>
                <w:rFonts w:hint="default" w:ascii="Times New Roman" w:hAnsi="Times New Roman" w:cs="Times New Roman"/>
                <w:color w:val="auto"/>
                <w:sz w:val="21"/>
                <w:szCs w:val="21"/>
                <w:highlight w:val="none"/>
                <w:u w:val="single"/>
              </w:rPr>
              <w:t>已建</w:t>
            </w:r>
            <w:r>
              <w:rPr>
                <w:rFonts w:hint="eastAsia" w:ascii="Times New Roman" w:hAnsi="Times New Roman" w:cs="Times New Roman"/>
                <w:color w:val="auto"/>
                <w:sz w:val="21"/>
                <w:szCs w:val="21"/>
                <w:highlight w:val="none"/>
                <w:u w:val="single"/>
                <w:lang w:val="en-US" w:eastAsia="zh-CN"/>
              </w:rPr>
              <w:t>成1</w:t>
            </w:r>
            <w:r>
              <w:rPr>
                <w:rFonts w:hint="default" w:ascii="Times New Roman" w:hAnsi="Times New Roman" w:cs="Times New Roman"/>
                <w:color w:val="auto"/>
                <w:sz w:val="21"/>
                <w:szCs w:val="21"/>
                <w:highlight w:val="none"/>
                <w:u w:val="single"/>
              </w:rPr>
              <w:t>栋1层</w:t>
            </w:r>
            <w:r>
              <w:rPr>
                <w:rFonts w:hint="eastAsia" w:ascii="Times New Roman" w:hAnsi="Times New Roman" w:cs="Times New Roman"/>
                <w:color w:val="auto"/>
                <w:sz w:val="21"/>
                <w:szCs w:val="21"/>
                <w:highlight w:val="none"/>
                <w:u w:val="single"/>
                <w:lang w:val="en-US" w:eastAsia="zh-CN"/>
              </w:rPr>
              <w:t>生产车间</w:t>
            </w:r>
            <w:r>
              <w:rPr>
                <w:rFonts w:hint="default" w:ascii="Times New Roman" w:hAnsi="Times New Roman" w:cs="Times New Roman"/>
                <w:color w:val="auto"/>
                <w:sz w:val="21"/>
                <w:szCs w:val="21"/>
                <w:highlight w:val="none"/>
                <w:u w:val="single"/>
              </w:rPr>
              <w:t>、1栋1F锅炉房</w:t>
            </w:r>
            <w:r>
              <w:rPr>
                <w:rFonts w:hint="eastAsia" w:ascii="Times New Roman" w:hAnsi="Times New Roman" w:cs="Times New Roman"/>
                <w:color w:val="auto"/>
                <w:sz w:val="21"/>
                <w:szCs w:val="21"/>
                <w:highlight w:val="none"/>
                <w:u w:val="single"/>
                <w:lang w:eastAsia="zh-CN"/>
              </w:rPr>
              <w:t>、</w:t>
            </w:r>
            <w:r>
              <w:rPr>
                <w:rFonts w:hint="eastAsia" w:ascii="Times New Roman" w:hAnsi="Times New Roman" w:cs="Times New Roman"/>
                <w:color w:val="auto"/>
                <w:sz w:val="21"/>
                <w:szCs w:val="21"/>
                <w:highlight w:val="none"/>
                <w:u w:val="single"/>
                <w:lang w:val="en-US" w:eastAsia="zh-CN"/>
              </w:rPr>
              <w:t>烘干房、</w:t>
            </w:r>
            <w:r>
              <w:rPr>
                <w:rFonts w:hint="eastAsia" w:ascii="Times New Roman" w:hAnsi="Times New Roman" w:cs="Times New Roman"/>
                <w:color w:val="auto"/>
                <w:sz w:val="21"/>
                <w:szCs w:val="21"/>
                <w:highlight w:val="none"/>
                <w:u w:val="single"/>
                <w:lang w:eastAsia="zh-CN"/>
              </w:rPr>
              <w:t>原料棚、成品仓库、</w:t>
            </w:r>
            <w:r>
              <w:rPr>
                <w:rFonts w:hint="eastAsia" w:ascii="Times New Roman" w:hAnsi="Times New Roman" w:cs="Times New Roman"/>
                <w:color w:val="auto"/>
                <w:sz w:val="21"/>
                <w:szCs w:val="21"/>
                <w:highlight w:val="none"/>
                <w:u w:val="single"/>
                <w:lang w:val="en-US" w:eastAsia="zh-CN"/>
              </w:rPr>
              <w:t>休息</w:t>
            </w:r>
            <w:r>
              <w:rPr>
                <w:rFonts w:hint="eastAsia" w:ascii="Times New Roman" w:hAnsi="Times New Roman" w:cs="Times New Roman"/>
                <w:color w:val="auto"/>
                <w:sz w:val="21"/>
                <w:szCs w:val="21"/>
                <w:highlight w:val="none"/>
                <w:u w:val="single"/>
                <w:lang w:eastAsia="zh-CN"/>
              </w:rPr>
              <w:t>室，</w:t>
            </w:r>
            <w:r>
              <w:rPr>
                <w:rFonts w:hint="eastAsia" w:cs="Times New Roman"/>
                <w:color w:val="auto"/>
                <w:sz w:val="21"/>
                <w:szCs w:val="21"/>
                <w:highlight w:val="none"/>
                <w:u w:val="single"/>
                <w:lang w:val="en-US" w:eastAsia="zh-CN"/>
              </w:rPr>
              <w:t>3</w:t>
            </w:r>
            <w:r>
              <w:rPr>
                <w:rFonts w:hint="default" w:ascii="Times New Roman" w:hAnsi="Times New Roman" w:cs="Times New Roman"/>
                <w:color w:val="auto"/>
                <w:sz w:val="21"/>
                <w:szCs w:val="21"/>
                <w:highlight w:val="none"/>
                <w:u w:val="single"/>
              </w:rPr>
              <w:t>条生态板芯生产线及其</w:t>
            </w:r>
            <w:r>
              <w:rPr>
                <w:rFonts w:hint="eastAsia" w:cs="Times New Roman"/>
                <w:color w:val="auto"/>
                <w:sz w:val="21"/>
                <w:szCs w:val="21"/>
                <w:highlight w:val="none"/>
                <w:u w:val="single"/>
                <w:lang w:val="en-US" w:eastAsia="zh-CN"/>
              </w:rPr>
              <w:t>环保</w:t>
            </w:r>
            <w:r>
              <w:rPr>
                <w:rFonts w:hint="default" w:ascii="Times New Roman" w:hAnsi="Times New Roman" w:cs="Times New Roman"/>
                <w:color w:val="auto"/>
                <w:sz w:val="21"/>
                <w:szCs w:val="21"/>
                <w:highlight w:val="none"/>
                <w:u w:val="single"/>
              </w:rPr>
              <w:t>配套设施。</w:t>
            </w:r>
            <w:r>
              <w:rPr>
                <w:rFonts w:hint="eastAsia" w:cs="Times New Roman"/>
                <w:color w:val="auto"/>
                <w:sz w:val="22"/>
                <w:szCs w:val="22"/>
                <w:highlight w:val="none"/>
                <w:u w:val="single"/>
                <w:lang w:val="en-US" w:eastAsia="zh-CN"/>
              </w:rPr>
              <w:t>企业因资金问题一直未投产，现</w:t>
            </w:r>
            <w:r>
              <w:rPr>
                <w:rFonts w:hint="eastAsia" w:cs="Times New Roman"/>
                <w:color w:val="auto"/>
                <w:sz w:val="21"/>
                <w:szCs w:val="21"/>
                <w:highlight w:val="none"/>
                <w:u w:val="single"/>
                <w:lang w:val="en-US" w:eastAsia="zh-CN"/>
              </w:rPr>
              <w:t>企业主动</w:t>
            </w:r>
            <w:r>
              <w:rPr>
                <w:rFonts w:hint="default" w:ascii="Times New Roman" w:hAnsi="Times New Roman" w:cs="Times New Roman"/>
                <w:color w:val="auto"/>
                <w:sz w:val="21"/>
                <w:szCs w:val="21"/>
                <w:highlight w:val="none"/>
                <w:u w:val="single"/>
              </w:rPr>
              <w:t>依法完善有关</w:t>
            </w:r>
            <w:r>
              <w:rPr>
                <w:rFonts w:hint="eastAsia" w:cs="Times New Roman"/>
                <w:color w:val="auto"/>
                <w:sz w:val="21"/>
                <w:szCs w:val="21"/>
                <w:highlight w:val="none"/>
                <w:u w:val="single"/>
                <w:lang w:val="en-US" w:eastAsia="zh-CN"/>
              </w:rPr>
              <w:t>环保</w:t>
            </w:r>
            <w:r>
              <w:rPr>
                <w:rFonts w:hint="default" w:ascii="Times New Roman" w:hAnsi="Times New Roman" w:cs="Times New Roman"/>
                <w:color w:val="auto"/>
                <w:sz w:val="21"/>
                <w:szCs w:val="21"/>
                <w:highlight w:val="none"/>
                <w:u w:val="single"/>
              </w:rPr>
              <w:t>手续</w:t>
            </w:r>
            <w:r>
              <w:rPr>
                <w:rFonts w:hint="eastAsia" w:cs="Times New Roman"/>
                <w:color w:val="auto"/>
                <w:sz w:val="21"/>
                <w:szCs w:val="21"/>
                <w:highlight w:val="none"/>
                <w:u w:val="single"/>
                <w:lang w:eastAsia="zh-CN"/>
              </w:rPr>
              <w:t>，</w:t>
            </w:r>
            <w:r>
              <w:rPr>
                <w:rFonts w:hint="eastAsia" w:cs="Times New Roman"/>
                <w:color w:val="auto"/>
                <w:sz w:val="21"/>
                <w:szCs w:val="21"/>
                <w:highlight w:val="none"/>
                <w:u w:val="single"/>
                <w:lang w:val="en-US" w:eastAsia="zh-CN"/>
              </w:rPr>
              <w:t>手续齐全后再投产。</w:t>
            </w:r>
          </w:p>
        </w:tc>
        <w:tc>
          <w:tcPr>
            <w:tcW w:w="1785" w:type="dxa"/>
            <w:gridSpan w:val="2"/>
            <w:noWrap w:val="0"/>
            <w:tcMar>
              <w:top w:w="16" w:type="dxa"/>
              <w:left w:w="16" w:type="dxa"/>
              <w:right w:w="16" w:type="dxa"/>
            </w:tcMar>
            <w:vAlign w:val="center"/>
          </w:tcPr>
          <w:p w14:paraId="02EA9355">
            <w:pPr>
              <w:adjustRightInd w:val="0"/>
              <w:snapToGrid w:val="0"/>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用地（用海）</w:t>
            </w:r>
          </w:p>
          <w:p w14:paraId="6B6EA07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pacing w:val="-6"/>
                <w:sz w:val="24"/>
                <w:highlight w:val="none"/>
              </w:rPr>
              <w:t>面积（m</w:t>
            </w:r>
            <w:r>
              <w:rPr>
                <w:rFonts w:hint="default" w:ascii="Times New Roman" w:hAnsi="Times New Roman" w:cs="Times New Roman"/>
                <w:color w:val="auto"/>
                <w:spacing w:val="-6"/>
                <w:sz w:val="24"/>
                <w:highlight w:val="none"/>
                <w:vertAlign w:val="superscript"/>
              </w:rPr>
              <w:t>2</w:t>
            </w:r>
            <w:r>
              <w:rPr>
                <w:rFonts w:hint="default" w:ascii="Times New Roman" w:hAnsi="Times New Roman" w:cs="Times New Roman"/>
                <w:color w:val="auto"/>
                <w:spacing w:val="-6"/>
                <w:sz w:val="24"/>
                <w:highlight w:val="none"/>
              </w:rPr>
              <w:t>）</w:t>
            </w:r>
          </w:p>
        </w:tc>
        <w:tc>
          <w:tcPr>
            <w:tcW w:w="2206" w:type="dxa"/>
            <w:noWrap w:val="0"/>
            <w:vAlign w:val="center"/>
          </w:tcPr>
          <w:p w14:paraId="76F982F8">
            <w:pPr>
              <w:adjustRightInd w:val="0"/>
              <w:snapToGrid w:val="0"/>
              <w:jc w:val="center"/>
              <w:rPr>
                <w:rFonts w:hint="default" w:ascii="Times New Roman" w:hAnsi="Times New Roman" w:eastAsia="宋体" w:cs="Times New Roman"/>
                <w:color w:val="auto"/>
                <w:sz w:val="24"/>
                <w:highlight w:val="none"/>
                <w:vertAlign w:val="baseline"/>
                <w:lang w:val="en-US" w:eastAsia="zh-CN"/>
              </w:rPr>
            </w:pPr>
            <w:r>
              <w:rPr>
                <w:rFonts w:hint="eastAsia" w:cs="Times New Roman"/>
                <w:color w:val="auto"/>
                <w:sz w:val="24"/>
                <w:highlight w:val="none"/>
                <w:lang w:val="en-US" w:eastAsia="zh-CN"/>
              </w:rPr>
              <w:t>1862.25</w:t>
            </w:r>
          </w:p>
        </w:tc>
      </w:tr>
      <w:tr w14:paraId="790966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6" w:type="dxa"/>
          <w:trHeight w:val="5514" w:hRule="atLeast"/>
          <w:jc w:val="center"/>
        </w:trPr>
        <w:tc>
          <w:tcPr>
            <w:tcW w:w="2037" w:type="dxa"/>
            <w:gridSpan w:val="3"/>
            <w:noWrap w:val="0"/>
            <w:vAlign w:val="center"/>
          </w:tcPr>
          <w:p w14:paraId="4CAB79F2">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专项评价设置情况</w:t>
            </w:r>
          </w:p>
        </w:tc>
        <w:tc>
          <w:tcPr>
            <w:tcW w:w="6976" w:type="dxa"/>
            <w:gridSpan w:val="5"/>
            <w:noWrap w:val="0"/>
            <w:vAlign w:val="center"/>
          </w:tcPr>
          <w:p w14:paraId="58D3F7ED">
            <w:pPr>
              <w:pStyle w:val="143"/>
              <w:spacing w:line="24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表1-1  专项评价设置情况一览表</w:t>
            </w:r>
          </w:p>
          <w:tbl>
            <w:tblPr>
              <w:tblStyle w:val="31"/>
              <w:tblW w:w="697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2"/>
              <w:gridCol w:w="3120"/>
              <w:gridCol w:w="2970"/>
            </w:tblGrid>
            <w:tr w14:paraId="326D7A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pct"/>
                  <w:vAlign w:val="center"/>
                </w:tcPr>
                <w:p w14:paraId="56DB25AC">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专项评价类别</w:t>
                  </w:r>
                </w:p>
              </w:tc>
              <w:tc>
                <w:tcPr>
                  <w:tcW w:w="2237" w:type="pct"/>
                  <w:vAlign w:val="center"/>
                </w:tcPr>
                <w:p w14:paraId="30412AE0">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设置原则</w:t>
                  </w:r>
                </w:p>
              </w:tc>
              <w:tc>
                <w:tcPr>
                  <w:tcW w:w="2129" w:type="pct"/>
                  <w:vAlign w:val="center"/>
                </w:tcPr>
                <w:p w14:paraId="4F16A2B9">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本项目设置情况</w:t>
                  </w:r>
                </w:p>
              </w:tc>
            </w:tr>
            <w:tr w14:paraId="57041E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0" w:hRule="atLeast"/>
              </w:trPr>
              <w:tc>
                <w:tcPr>
                  <w:tcW w:w="632" w:type="pct"/>
                  <w:vAlign w:val="center"/>
                </w:tcPr>
                <w:p w14:paraId="2D0B3F5E">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w:t>
                  </w:r>
                </w:p>
              </w:tc>
              <w:tc>
                <w:tcPr>
                  <w:tcW w:w="2237" w:type="pct"/>
                  <w:vAlign w:val="center"/>
                </w:tcPr>
                <w:p w14:paraId="238AB94A">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排放废气含有毒有害污染物，二噁英、苯并[a]芘、氰化物、氯气且厂界外500m范围内有环境空气保护目标的建设项目</w:t>
                  </w:r>
                  <w:r>
                    <w:rPr>
                      <w:rFonts w:hint="default" w:ascii="Times New Roman" w:hAnsi="Times New Roman" w:cs="Times New Roman"/>
                      <w:color w:val="auto"/>
                      <w:sz w:val="21"/>
                      <w:szCs w:val="21"/>
                      <w:lang w:eastAsia="zh-CN"/>
                    </w:rPr>
                    <w:t>。</w:t>
                  </w:r>
                </w:p>
              </w:tc>
              <w:tc>
                <w:tcPr>
                  <w:tcW w:w="2129" w:type="pct"/>
                  <w:vAlign w:val="center"/>
                </w:tcPr>
                <w:p w14:paraId="1BF311F1">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根据厂家提供的生物质成型燃料分析报告</w:t>
                  </w:r>
                  <w:r>
                    <w:rPr>
                      <w:rFonts w:hint="eastAsia" w:cs="Times New Roman"/>
                      <w:color w:val="auto"/>
                      <w:sz w:val="21"/>
                      <w:szCs w:val="21"/>
                      <w:lang w:val="en-US" w:eastAsia="zh-CN"/>
                    </w:rPr>
                    <w:t>及所用大豆蛋白胶的检测报告</w:t>
                  </w:r>
                  <w:r>
                    <w:rPr>
                      <w:rFonts w:hint="default" w:ascii="Times New Roman" w:hAnsi="Times New Roman" w:cs="Times New Roman"/>
                      <w:color w:val="auto"/>
                      <w:sz w:val="21"/>
                      <w:szCs w:val="21"/>
                      <w:lang w:val="en-US" w:eastAsia="zh-CN"/>
                    </w:rPr>
                    <w:t>可知（见附件），</w:t>
                  </w:r>
                  <w:r>
                    <w:rPr>
                      <w:rFonts w:hint="default" w:ascii="Times New Roman" w:hAnsi="Times New Roman" w:eastAsia="宋体" w:cs="Times New Roman"/>
                      <w:color w:val="auto"/>
                      <w:sz w:val="21"/>
                      <w:szCs w:val="21"/>
                    </w:rPr>
                    <w:t>本项目</w:t>
                  </w:r>
                  <w:r>
                    <w:rPr>
                      <w:rFonts w:hint="default" w:ascii="Times New Roman" w:hAnsi="Times New Roman" w:cs="Times New Roman"/>
                      <w:color w:val="auto"/>
                      <w:sz w:val="21"/>
                      <w:szCs w:val="21"/>
                      <w:lang w:val="en-US" w:eastAsia="zh-CN"/>
                    </w:rPr>
                    <w:t>所拟用生物质成型燃料汞含量未检出，</w:t>
                  </w:r>
                  <w:r>
                    <w:rPr>
                      <w:rFonts w:hint="default" w:ascii="Times New Roman" w:hAnsi="Times New Roman" w:eastAsia="宋体" w:cs="Times New Roman"/>
                      <w:color w:val="auto"/>
                      <w:sz w:val="21"/>
                      <w:szCs w:val="21"/>
                    </w:rPr>
                    <w:t>因此</w:t>
                  </w:r>
                  <w:r>
                    <w:rPr>
                      <w:rFonts w:hint="default" w:ascii="Times New Roman" w:hAnsi="Times New Roman" w:cs="Times New Roman"/>
                      <w:color w:val="auto"/>
                      <w:sz w:val="21"/>
                      <w:szCs w:val="21"/>
                      <w:lang w:val="en-US" w:eastAsia="zh-CN"/>
                    </w:rPr>
                    <w:t>汞含量</w:t>
                  </w:r>
                  <w:r>
                    <w:rPr>
                      <w:rFonts w:hint="default" w:ascii="Times New Roman" w:hAnsi="Times New Roman" w:cs="Times New Roman"/>
                      <w:color w:val="auto"/>
                    </w:rPr>
                    <w:t>不做定量分析</w:t>
                  </w:r>
                  <w:r>
                    <w:rPr>
                      <w:rFonts w:hint="eastAsia" w:cs="Times New Roman"/>
                      <w:color w:val="auto"/>
                      <w:lang w:eastAsia="zh-CN"/>
                    </w:rPr>
                    <w:t>，</w:t>
                  </w:r>
                  <w:r>
                    <w:rPr>
                      <w:rFonts w:hint="eastAsia" w:cs="Times New Roman"/>
                      <w:color w:val="auto"/>
                      <w:sz w:val="21"/>
                      <w:szCs w:val="21"/>
                      <w:lang w:val="en-US" w:eastAsia="zh-CN"/>
                    </w:rPr>
                    <w:t>且胶内未检出甲醛，</w:t>
                  </w:r>
                  <w:r>
                    <w:rPr>
                      <w:rFonts w:hint="default" w:ascii="Times New Roman" w:hAnsi="Times New Roman" w:eastAsia="宋体" w:cs="Times New Roman"/>
                      <w:color w:val="auto"/>
                      <w:sz w:val="21"/>
                      <w:szCs w:val="21"/>
                    </w:rPr>
                    <w:t>不</w:t>
                  </w:r>
                  <w:r>
                    <w:rPr>
                      <w:rFonts w:hint="default" w:ascii="Times New Roman" w:hAnsi="Times New Roman" w:cs="Times New Roman"/>
                      <w:color w:val="auto"/>
                      <w:sz w:val="21"/>
                      <w:szCs w:val="21"/>
                      <w:lang w:val="en-US" w:eastAsia="zh-CN"/>
                    </w:rPr>
                    <w:t>属于</w:t>
                  </w:r>
                  <w:r>
                    <w:rPr>
                      <w:rFonts w:hint="default" w:ascii="Times New Roman" w:hAnsi="Times New Roman" w:eastAsia="宋体" w:cs="Times New Roman"/>
                      <w:color w:val="auto"/>
                      <w:sz w:val="21"/>
                      <w:szCs w:val="21"/>
                    </w:rPr>
                    <w:t>排放有毒有害污染物</w:t>
                  </w:r>
                  <w:r>
                    <w:rPr>
                      <w:rFonts w:hint="default" w:ascii="Times New Roman" w:hAnsi="Times New Roman" w:cs="Times New Roman"/>
                      <w:color w:val="auto"/>
                      <w:sz w:val="21"/>
                      <w:szCs w:val="21"/>
                      <w:lang w:val="en-US" w:eastAsia="zh-CN"/>
                    </w:rPr>
                    <w:t>情况</w:t>
                  </w:r>
                  <w:r>
                    <w:rPr>
                      <w:rFonts w:hint="default" w:ascii="Times New Roman" w:hAnsi="Times New Roman" w:eastAsia="宋体" w:cs="Times New Roman"/>
                      <w:color w:val="auto"/>
                      <w:sz w:val="21"/>
                      <w:szCs w:val="21"/>
                    </w:rPr>
                    <w:t>，不设立大气专项评价</w:t>
                  </w:r>
                  <w:r>
                    <w:rPr>
                      <w:rFonts w:hint="default" w:ascii="Times New Roman" w:hAnsi="Times New Roman" w:cs="Times New Roman"/>
                      <w:color w:val="auto"/>
                      <w:sz w:val="21"/>
                      <w:szCs w:val="21"/>
                      <w:lang w:eastAsia="zh-CN"/>
                    </w:rPr>
                    <w:t>。</w:t>
                  </w:r>
                </w:p>
              </w:tc>
            </w:tr>
            <w:tr w14:paraId="4072B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0" w:hRule="atLeast"/>
              </w:trPr>
              <w:tc>
                <w:tcPr>
                  <w:tcW w:w="632" w:type="pct"/>
                  <w:vAlign w:val="center"/>
                </w:tcPr>
                <w:p w14:paraId="54008CFE">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w:t>
                  </w:r>
                </w:p>
              </w:tc>
              <w:tc>
                <w:tcPr>
                  <w:tcW w:w="2237" w:type="pct"/>
                  <w:vAlign w:val="center"/>
                </w:tcPr>
                <w:p w14:paraId="342DCAAF">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新增工业废水直排建设项目（槽罐车外送污水处理厂的除外）；新增废水直排的污水集中处理厂</w:t>
                  </w:r>
                  <w:r>
                    <w:rPr>
                      <w:rFonts w:hint="default" w:ascii="Times New Roman" w:hAnsi="Times New Roman" w:cs="Times New Roman"/>
                      <w:color w:val="auto"/>
                      <w:sz w:val="21"/>
                      <w:szCs w:val="21"/>
                      <w:lang w:eastAsia="zh-CN"/>
                    </w:rPr>
                    <w:t>。</w:t>
                  </w:r>
                </w:p>
              </w:tc>
              <w:tc>
                <w:tcPr>
                  <w:tcW w:w="2129" w:type="pct"/>
                  <w:vAlign w:val="center"/>
                </w:tcPr>
                <w:p w14:paraId="5BC57051">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eastAsia" w:cs="Times New Roman"/>
                      <w:color w:val="auto"/>
                      <w:szCs w:val="21"/>
                      <w:highlight w:val="none"/>
                      <w:lang w:val="en-US" w:eastAsia="zh-CN"/>
                    </w:rPr>
                    <w:t>不产生工业</w:t>
                  </w:r>
                  <w:r>
                    <w:rPr>
                      <w:rFonts w:hint="eastAsia" w:ascii="Times New Roman" w:hAnsi="Times New Roman" w:eastAsia="宋体" w:cs="Times New Roman"/>
                      <w:color w:val="auto"/>
                      <w:szCs w:val="21"/>
                      <w:highlight w:val="none"/>
                      <w:lang w:val="en-US" w:eastAsia="zh-CN"/>
                    </w:rPr>
                    <w:t>废水</w:t>
                  </w:r>
                  <w:r>
                    <w:rPr>
                      <w:rFonts w:hint="eastAsia" w:cs="Times New Roman"/>
                      <w:color w:val="auto"/>
                      <w:szCs w:val="21"/>
                      <w:highlight w:val="none"/>
                      <w:lang w:val="en-US" w:eastAsia="zh-CN"/>
                    </w:rPr>
                    <w:t>，</w:t>
                  </w:r>
                  <w:r>
                    <w:rPr>
                      <w:rFonts w:hint="default" w:ascii="Times New Roman" w:hAnsi="Times New Roman" w:eastAsia="宋体" w:cs="Times New Roman"/>
                      <w:color w:val="auto"/>
                      <w:sz w:val="21"/>
                      <w:szCs w:val="21"/>
                    </w:rPr>
                    <w:t>不需设置。</w:t>
                  </w:r>
                </w:p>
              </w:tc>
            </w:tr>
            <w:tr w14:paraId="58109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632" w:type="pct"/>
                  <w:vAlign w:val="center"/>
                </w:tcPr>
                <w:p w14:paraId="0CEEDE8A">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w:t>
                  </w:r>
                </w:p>
                <w:p w14:paraId="42DC08E2">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风险</w:t>
                  </w:r>
                </w:p>
              </w:tc>
              <w:tc>
                <w:tcPr>
                  <w:tcW w:w="2237" w:type="pct"/>
                  <w:vAlign w:val="center"/>
                </w:tcPr>
                <w:p w14:paraId="0E4D9B26">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有毒有害和易燃易爆危险物质存储量超过临界量的建设项目</w:t>
                  </w:r>
                  <w:r>
                    <w:rPr>
                      <w:rFonts w:hint="default" w:ascii="Times New Roman" w:hAnsi="Times New Roman" w:cs="Times New Roman"/>
                      <w:color w:val="auto"/>
                      <w:sz w:val="21"/>
                      <w:szCs w:val="21"/>
                      <w:lang w:eastAsia="zh-CN"/>
                    </w:rPr>
                    <w:t>。</w:t>
                  </w:r>
                </w:p>
              </w:tc>
              <w:tc>
                <w:tcPr>
                  <w:tcW w:w="2129" w:type="pct"/>
                  <w:vAlign w:val="center"/>
                </w:tcPr>
                <w:p w14:paraId="5245BA80">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本项目不涉及，不需设置。</w:t>
                  </w:r>
                </w:p>
              </w:tc>
            </w:tr>
            <w:tr w14:paraId="02606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32" w:type="pct"/>
                  <w:vAlign w:val="center"/>
                </w:tcPr>
                <w:p w14:paraId="0F349655">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w:t>
                  </w:r>
                </w:p>
              </w:tc>
              <w:tc>
                <w:tcPr>
                  <w:tcW w:w="2237" w:type="pct"/>
                  <w:vAlign w:val="center"/>
                </w:tcPr>
                <w:p w14:paraId="6F7801D5">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取水口下游500m范围内有重要水生生物的自然产卵场、索饵场、越冬场和洄游通道的新增河道取水的污染类建设项目</w:t>
                  </w:r>
                  <w:r>
                    <w:rPr>
                      <w:rFonts w:hint="default" w:ascii="Times New Roman" w:hAnsi="Times New Roman" w:cs="Times New Roman"/>
                      <w:color w:val="auto"/>
                      <w:sz w:val="21"/>
                      <w:szCs w:val="21"/>
                      <w:lang w:eastAsia="zh-CN"/>
                    </w:rPr>
                    <w:t>。</w:t>
                  </w:r>
                </w:p>
              </w:tc>
              <w:tc>
                <w:tcPr>
                  <w:tcW w:w="2129" w:type="pct"/>
                  <w:vAlign w:val="center"/>
                </w:tcPr>
                <w:p w14:paraId="69EB491A">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本项目不涉及河道取水，不需设置。</w:t>
                  </w:r>
                </w:p>
              </w:tc>
            </w:tr>
            <w:tr w14:paraId="291F4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0" w:hRule="atLeast"/>
              </w:trPr>
              <w:tc>
                <w:tcPr>
                  <w:tcW w:w="632" w:type="pct"/>
                  <w:shd w:val="clear" w:color="auto" w:fill="auto"/>
                  <w:vAlign w:val="center"/>
                </w:tcPr>
                <w:p w14:paraId="6E790954">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海洋</w:t>
                  </w:r>
                </w:p>
              </w:tc>
              <w:tc>
                <w:tcPr>
                  <w:tcW w:w="2237" w:type="pct"/>
                  <w:shd w:val="clear" w:color="auto" w:fill="auto"/>
                  <w:vAlign w:val="center"/>
                </w:tcPr>
                <w:p w14:paraId="57C9AB3B">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直接向海洋排放污染物的海洋工程建设项目</w:t>
                  </w:r>
                  <w:r>
                    <w:rPr>
                      <w:rFonts w:hint="default" w:ascii="Times New Roman" w:hAnsi="Times New Roman" w:cs="Times New Roman"/>
                      <w:color w:val="auto"/>
                      <w:sz w:val="21"/>
                      <w:szCs w:val="21"/>
                      <w:lang w:eastAsia="zh-CN"/>
                    </w:rPr>
                    <w:t>。</w:t>
                  </w:r>
                </w:p>
              </w:tc>
              <w:tc>
                <w:tcPr>
                  <w:tcW w:w="2129" w:type="pct"/>
                  <w:shd w:val="clear" w:color="auto" w:fill="auto"/>
                  <w:vAlign w:val="center"/>
                </w:tcPr>
                <w:p w14:paraId="186613ED">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本项目不涉及海洋，不需设置。</w:t>
                  </w:r>
                </w:p>
              </w:tc>
            </w:tr>
          </w:tbl>
          <w:p w14:paraId="19BE08F5">
            <w:pPr>
              <w:autoSpaceDE w:val="0"/>
              <w:autoSpaceDN w:val="0"/>
              <w:adjustRightInd w:val="0"/>
              <w:snapToGrid w:val="0"/>
              <w:spacing w:line="360" w:lineRule="exact"/>
              <w:jc w:val="center"/>
              <w:rPr>
                <w:rFonts w:hint="default" w:ascii="Times New Roman" w:hAnsi="Times New Roman" w:cs="Times New Roman"/>
                <w:color w:val="auto"/>
                <w:kern w:val="0"/>
                <w:sz w:val="24"/>
                <w:highlight w:val="none"/>
              </w:rPr>
            </w:pPr>
          </w:p>
        </w:tc>
      </w:tr>
      <w:tr w14:paraId="1172AF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6" w:type="dxa"/>
          <w:trHeight w:val="1021" w:hRule="atLeast"/>
          <w:jc w:val="center"/>
        </w:trPr>
        <w:tc>
          <w:tcPr>
            <w:tcW w:w="2037" w:type="dxa"/>
            <w:gridSpan w:val="3"/>
            <w:noWrap w:val="0"/>
            <w:vAlign w:val="center"/>
          </w:tcPr>
          <w:p w14:paraId="1E00033A">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规划情况</w:t>
            </w:r>
          </w:p>
        </w:tc>
        <w:tc>
          <w:tcPr>
            <w:tcW w:w="6976" w:type="dxa"/>
            <w:gridSpan w:val="5"/>
            <w:noWrap w:val="0"/>
            <w:vAlign w:val="center"/>
          </w:tcPr>
          <w:p w14:paraId="7CD02EAE">
            <w:pPr>
              <w:autoSpaceDE w:val="0"/>
              <w:autoSpaceDN w:val="0"/>
              <w:adjustRightInd w:val="0"/>
              <w:snapToGrid w:val="0"/>
              <w:spacing w:line="360" w:lineRule="exact"/>
              <w:jc w:val="center"/>
              <w:rPr>
                <w:rFonts w:hint="eastAsia" w:ascii="Times New Roman" w:hAnsi="Times New Roman" w:eastAsia="宋体" w:cs="Times New Roman"/>
                <w:color w:val="auto"/>
                <w:kern w:val="0"/>
                <w:sz w:val="24"/>
                <w:highlight w:val="none"/>
                <w:lang w:eastAsia="zh-CN"/>
              </w:rPr>
            </w:pPr>
            <w:r>
              <w:rPr>
                <w:rFonts w:hint="eastAsia" w:ascii="Times New Roman" w:hAnsi="Times New Roman" w:eastAsia="宋体" w:cs="Times New Roman"/>
                <w:color w:val="auto"/>
                <w:kern w:val="0"/>
                <w:sz w:val="24"/>
                <w:highlight w:val="none"/>
                <w:lang w:val="en-US" w:eastAsia="zh-CN"/>
              </w:rPr>
              <w:t>无</w:t>
            </w:r>
          </w:p>
        </w:tc>
      </w:tr>
      <w:tr w14:paraId="58B243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6" w:type="dxa"/>
          <w:trHeight w:val="1021" w:hRule="atLeast"/>
          <w:jc w:val="center"/>
        </w:trPr>
        <w:tc>
          <w:tcPr>
            <w:tcW w:w="2037" w:type="dxa"/>
            <w:gridSpan w:val="3"/>
            <w:noWrap w:val="0"/>
            <w:vAlign w:val="center"/>
          </w:tcPr>
          <w:p w14:paraId="5E768A5A">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规划环境影响</w:t>
            </w:r>
          </w:p>
          <w:p w14:paraId="23FB39C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评价情况</w:t>
            </w:r>
          </w:p>
        </w:tc>
        <w:tc>
          <w:tcPr>
            <w:tcW w:w="6976" w:type="dxa"/>
            <w:gridSpan w:val="5"/>
            <w:noWrap w:val="0"/>
            <w:vAlign w:val="center"/>
          </w:tcPr>
          <w:p w14:paraId="55D02745">
            <w:pPr>
              <w:autoSpaceDE w:val="0"/>
              <w:autoSpaceDN w:val="0"/>
              <w:adjustRightInd w:val="0"/>
              <w:snapToGrid w:val="0"/>
              <w:spacing w:line="36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30C3A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6" w:type="dxa"/>
          <w:trHeight w:val="1021" w:hRule="atLeast"/>
          <w:jc w:val="center"/>
        </w:trPr>
        <w:tc>
          <w:tcPr>
            <w:tcW w:w="2037" w:type="dxa"/>
            <w:gridSpan w:val="3"/>
            <w:noWrap w:val="0"/>
            <w:vAlign w:val="center"/>
          </w:tcPr>
          <w:p w14:paraId="7E345B92">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规划及规划环境</w:t>
            </w:r>
          </w:p>
          <w:p w14:paraId="2C1FED0B">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影响评价符合性分析</w:t>
            </w:r>
          </w:p>
        </w:tc>
        <w:tc>
          <w:tcPr>
            <w:tcW w:w="6976" w:type="dxa"/>
            <w:gridSpan w:val="5"/>
            <w:noWrap w:val="0"/>
            <w:vAlign w:val="center"/>
          </w:tcPr>
          <w:p w14:paraId="643E9862">
            <w:pPr>
              <w:autoSpaceDE w:val="0"/>
              <w:autoSpaceDN w:val="0"/>
              <w:adjustRightInd w:val="0"/>
              <w:snapToGrid w:val="0"/>
              <w:spacing w:line="360" w:lineRule="exact"/>
              <w:jc w:val="center"/>
              <w:rPr>
                <w:rFonts w:hint="default" w:ascii="Times New Roman" w:hAnsi="Times New Roman" w:eastAsia="宋体" w:cs="Times New Roman"/>
                <w:color w:val="auto"/>
                <w:kern w:val="0"/>
                <w:sz w:val="24"/>
                <w:highlight w:val="none"/>
                <w:lang w:val="en-US" w:eastAsia="zh-CN"/>
              </w:rPr>
            </w:pPr>
            <w:r>
              <w:rPr>
                <w:rFonts w:hint="eastAsia" w:ascii="Times New Roman" w:hAnsi="Times New Roman" w:cs="Times New Roman"/>
                <w:color w:val="auto"/>
                <w:kern w:val="0"/>
                <w:sz w:val="24"/>
                <w:highlight w:val="none"/>
                <w:lang w:val="en-US" w:eastAsia="zh-CN"/>
              </w:rPr>
              <w:t>无</w:t>
            </w:r>
          </w:p>
        </w:tc>
      </w:tr>
      <w:tr w14:paraId="6924F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6" w:type="dxa"/>
          <w:jc w:val="center"/>
        </w:trPr>
        <w:tc>
          <w:tcPr>
            <w:tcW w:w="788" w:type="dxa"/>
            <w:noWrap w:val="0"/>
            <w:vAlign w:val="center"/>
          </w:tcPr>
          <w:p w14:paraId="1AF79BA6">
            <w:pPr>
              <w:bidi w:val="0"/>
              <w:jc w:val="center"/>
              <w:rPr>
                <w:rFonts w:hint="default" w:ascii="Times New Roman" w:hAnsi="Times New Roman" w:eastAsia="黑体" w:cs="Times New Roman"/>
                <w:snapToGrid w:val="0"/>
                <w:color w:val="auto"/>
                <w:szCs w:val="30"/>
                <w:highlight w:val="none"/>
                <w:lang w:eastAsia="zh-CN"/>
              </w:rPr>
            </w:pPr>
            <w:bookmarkStart w:id="17" w:name="_Toc14264"/>
            <w:bookmarkStart w:id="18" w:name="_Toc836"/>
            <w:bookmarkStart w:id="19" w:name="_Toc18763"/>
            <w:bookmarkStart w:id="20" w:name="_Toc24158"/>
            <w:r>
              <w:rPr>
                <w:rFonts w:hint="default" w:ascii="Times New Roman" w:hAnsi="Times New Roman" w:eastAsia="宋体" w:cs="Times New Roman"/>
                <w:color w:val="auto"/>
                <w:sz w:val="24"/>
                <w:highlight w:val="none"/>
              </w:rPr>
              <w:t>其他符合性分析</w:t>
            </w:r>
            <w:bookmarkEnd w:id="17"/>
            <w:bookmarkEnd w:id="18"/>
            <w:bookmarkEnd w:id="19"/>
            <w:bookmarkEnd w:id="20"/>
          </w:p>
        </w:tc>
        <w:tc>
          <w:tcPr>
            <w:tcW w:w="8225" w:type="dxa"/>
            <w:gridSpan w:val="7"/>
            <w:noWrap w:val="0"/>
            <w:vAlign w:val="top"/>
          </w:tcPr>
          <w:p w14:paraId="3A37DE7D">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color w:val="auto"/>
                <w:kern w:val="0"/>
                <w:sz w:val="24"/>
                <w:highlight w:val="none"/>
                <w:lang w:val="en-US" w:eastAsia="zh-CN"/>
              </w:rPr>
            </w:pPr>
            <w:r>
              <w:rPr>
                <w:rFonts w:hint="default" w:ascii="Times New Roman" w:hAnsi="Times New Roman" w:cs="Times New Roman"/>
                <w:b/>
                <w:color w:val="auto"/>
                <w:kern w:val="0"/>
                <w:sz w:val="24"/>
                <w:highlight w:val="none"/>
              </w:rPr>
              <w:t>1、</w:t>
            </w:r>
            <w:r>
              <w:rPr>
                <w:rFonts w:hint="default" w:ascii="Times New Roman" w:hAnsi="Times New Roman" w:cs="Times New Roman"/>
                <w:b/>
                <w:color w:val="auto"/>
                <w:kern w:val="0"/>
                <w:sz w:val="24"/>
                <w:highlight w:val="none"/>
                <w:lang w:val="en-US" w:eastAsia="zh-CN"/>
              </w:rPr>
              <w:t>产业政策符合性分析</w:t>
            </w:r>
          </w:p>
          <w:p w14:paraId="11310E4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本项目为人造板制造，属于木材加工业，根据《产业结构调整指导目录（2024年本）》，本项目</w:t>
            </w:r>
            <w:r>
              <w:rPr>
                <w:rFonts w:hint="eastAsia" w:cs="Times New Roman"/>
                <w:color w:val="auto"/>
                <w:kern w:val="0"/>
                <w:sz w:val="24"/>
                <w:highlight w:val="none"/>
                <w:lang w:val="en-US" w:eastAsia="zh-CN"/>
              </w:rPr>
              <w:t>属于</w:t>
            </w:r>
            <w:r>
              <w:rPr>
                <w:rFonts w:hint="default" w:ascii="Times New Roman" w:hAnsi="Times New Roman" w:cs="Times New Roman"/>
                <w:color w:val="auto"/>
                <w:kern w:val="0"/>
                <w:sz w:val="24"/>
                <w:highlight w:val="none"/>
              </w:rPr>
              <w:t>第一类 鼓励类中的</w:t>
            </w:r>
            <w:r>
              <w:rPr>
                <w:rFonts w:hint="eastAsia" w:cs="Times New Roman"/>
                <w:color w:val="auto"/>
                <w:kern w:val="0"/>
                <w:sz w:val="24"/>
                <w:highlight w:val="none"/>
                <w:lang w:val="en-US" w:eastAsia="zh-CN"/>
              </w:rPr>
              <w:t>“7．农林产品深加工：木、竹、草（包括秸秆、芦苇）人造板及其复合材料技术开发及应用”，不属于胶合板及细木工板</w:t>
            </w:r>
            <w:r>
              <w:rPr>
                <w:rFonts w:hint="default" w:ascii="Times New Roman" w:hAnsi="Times New Roman" w:cs="Times New Roman"/>
                <w:color w:val="auto"/>
                <w:kern w:val="0"/>
                <w:sz w:val="24"/>
                <w:highlight w:val="none"/>
              </w:rPr>
              <w:t>。本项目</w:t>
            </w:r>
            <w:r>
              <w:rPr>
                <w:rFonts w:hint="eastAsia" w:ascii="宋体" w:hAnsi="宋体" w:eastAsia="宋体"/>
                <w:sz w:val="24"/>
                <w:szCs w:val="24"/>
              </w:rPr>
              <w:t>不属于限制类和淘汰类，</w:t>
            </w:r>
            <w:r>
              <w:rPr>
                <w:rFonts w:hint="default" w:ascii="Times New Roman" w:hAnsi="Times New Roman" w:cs="Times New Roman"/>
                <w:color w:val="auto"/>
                <w:kern w:val="0"/>
                <w:sz w:val="24"/>
                <w:highlight w:val="none"/>
              </w:rPr>
              <w:t>所需设备均采购正规或专业厂家，所使用的锅炉为其配套的</w:t>
            </w:r>
            <w:r>
              <w:rPr>
                <w:rFonts w:hint="eastAsia" w:cs="Times New Roman"/>
                <w:color w:val="auto"/>
                <w:kern w:val="0"/>
                <w:sz w:val="24"/>
                <w:highlight w:val="none"/>
                <w:lang w:val="en-US" w:eastAsia="zh-CN"/>
              </w:rPr>
              <w:t>加</w:t>
            </w:r>
            <w:r>
              <w:rPr>
                <w:rFonts w:hint="default" w:ascii="Times New Roman" w:hAnsi="Times New Roman" w:cs="Times New Roman"/>
                <w:color w:val="auto"/>
                <w:kern w:val="0"/>
                <w:sz w:val="24"/>
                <w:highlight w:val="none"/>
              </w:rPr>
              <w:t>热设备，配套锅炉属于《国民经济行业分类与代码》（GB/4754-2017）中</w:t>
            </w:r>
            <w:r>
              <w:rPr>
                <w:rFonts w:hint="eastAsia" w:cs="Times New Roman"/>
                <w:color w:val="auto"/>
                <w:kern w:val="0"/>
                <w:sz w:val="24"/>
                <w:highlight w:val="none"/>
                <w:lang w:eastAsia="zh-CN"/>
              </w:rPr>
              <w:t>“</w:t>
            </w:r>
            <w:r>
              <w:rPr>
                <w:rFonts w:hint="default" w:ascii="Times New Roman" w:hAnsi="Times New Roman" w:cs="Times New Roman"/>
                <w:color w:val="auto"/>
                <w:kern w:val="0"/>
                <w:sz w:val="24"/>
                <w:highlight w:val="none"/>
              </w:rPr>
              <w:t>D4430 热力生产和供应</w:t>
            </w:r>
            <w:r>
              <w:rPr>
                <w:rFonts w:hint="eastAsia" w:cs="Times New Roman"/>
                <w:color w:val="auto"/>
                <w:kern w:val="0"/>
                <w:sz w:val="24"/>
                <w:highlight w:val="none"/>
                <w:lang w:eastAsia="zh-CN"/>
              </w:rPr>
              <w:t>”</w:t>
            </w:r>
            <w:r>
              <w:rPr>
                <w:rFonts w:hint="default" w:ascii="Times New Roman" w:hAnsi="Times New Roman" w:cs="Times New Roman"/>
                <w:color w:val="auto"/>
                <w:kern w:val="0"/>
                <w:sz w:val="24"/>
                <w:highlight w:val="none"/>
              </w:rPr>
              <w:t>，项目锅炉使用</w:t>
            </w:r>
            <w:r>
              <w:rPr>
                <w:rFonts w:hint="eastAsia" w:cs="Times New Roman"/>
                <w:color w:val="auto"/>
                <w:kern w:val="0"/>
                <w:sz w:val="24"/>
                <w:highlight w:val="none"/>
                <w:lang w:val="en-US" w:eastAsia="zh-CN"/>
              </w:rPr>
              <w:t>生物质</w:t>
            </w:r>
            <w:r>
              <w:rPr>
                <w:rFonts w:hint="default" w:ascii="Times New Roman" w:hAnsi="Times New Roman" w:cs="Times New Roman"/>
                <w:color w:val="auto"/>
                <w:kern w:val="0"/>
                <w:sz w:val="24"/>
                <w:highlight w:val="none"/>
              </w:rPr>
              <w:t>为燃料，额定蒸发能力2.5t/h，根据《产业结构调整指导目录（2024年本）》，本</w:t>
            </w:r>
            <w:r>
              <w:rPr>
                <w:rFonts w:hint="eastAsia" w:cs="Times New Roman"/>
                <w:color w:val="auto"/>
                <w:kern w:val="0"/>
                <w:sz w:val="24"/>
                <w:highlight w:val="none"/>
                <w:lang w:val="en-US" w:eastAsia="zh-CN"/>
              </w:rPr>
              <w:t>项目</w:t>
            </w:r>
            <w:r>
              <w:rPr>
                <w:rFonts w:hint="default" w:ascii="Times New Roman" w:hAnsi="Times New Roman" w:cs="Times New Roman"/>
                <w:color w:val="auto"/>
                <w:kern w:val="0"/>
                <w:sz w:val="24"/>
                <w:highlight w:val="none"/>
              </w:rPr>
              <w:t>属于指导目录中鼓励类项目，</w:t>
            </w:r>
            <w:r>
              <w:rPr>
                <w:rFonts w:hint="eastAsia" w:cs="Times New Roman"/>
                <w:color w:val="auto"/>
                <w:kern w:val="0"/>
                <w:sz w:val="24"/>
                <w:highlight w:val="none"/>
                <w:lang w:val="en-US" w:eastAsia="zh-CN"/>
              </w:rPr>
              <w:t>且</w:t>
            </w:r>
            <w:r>
              <w:rPr>
                <w:rFonts w:hint="default" w:ascii="Times New Roman" w:hAnsi="Times New Roman" w:cs="Times New Roman"/>
                <w:color w:val="auto"/>
                <w:kern w:val="0"/>
                <w:sz w:val="24"/>
                <w:highlight w:val="none"/>
                <w:lang w:val="en-US" w:eastAsia="zh-CN"/>
              </w:rPr>
              <w:t>符合国家有关法律、法规和政策规定。</w:t>
            </w:r>
            <w:r>
              <w:rPr>
                <w:rFonts w:hint="eastAsia" w:ascii="Times New Roman" w:hAnsi="Times New Roman" w:cs="Times New Roman"/>
                <w:color w:val="auto"/>
                <w:kern w:val="0"/>
                <w:sz w:val="24"/>
                <w:highlight w:val="none"/>
                <w:lang w:val="en-US" w:eastAsia="zh-CN"/>
              </w:rPr>
              <w:t>故</w:t>
            </w:r>
            <w:r>
              <w:rPr>
                <w:rFonts w:hint="eastAsia" w:cs="Times New Roman"/>
                <w:color w:val="auto"/>
                <w:kern w:val="0"/>
                <w:sz w:val="24"/>
                <w:highlight w:val="none"/>
                <w:lang w:val="en-US" w:eastAsia="zh-CN"/>
              </w:rPr>
              <w:t>本</w:t>
            </w:r>
            <w:r>
              <w:rPr>
                <w:rFonts w:hint="default" w:ascii="Times New Roman" w:hAnsi="Times New Roman" w:cs="Times New Roman"/>
                <w:color w:val="auto"/>
                <w:kern w:val="0"/>
                <w:sz w:val="24"/>
                <w:highlight w:val="none"/>
              </w:rPr>
              <w:t>项目建设符合国家产业政策。</w:t>
            </w:r>
          </w:p>
          <w:p w14:paraId="2D17A465">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color w:val="auto"/>
                <w:kern w:val="0"/>
                <w:sz w:val="24"/>
                <w:highlight w:val="none"/>
              </w:rPr>
            </w:pPr>
            <w:r>
              <w:rPr>
                <w:rFonts w:hint="eastAsia" w:cs="Times New Roman"/>
                <w:b/>
                <w:color w:val="auto"/>
                <w:kern w:val="0"/>
                <w:sz w:val="24"/>
                <w:highlight w:val="none"/>
                <w:lang w:val="en-US" w:eastAsia="zh-CN"/>
              </w:rPr>
              <w:t>2</w:t>
            </w:r>
            <w:r>
              <w:rPr>
                <w:rFonts w:hint="default" w:ascii="Times New Roman" w:hAnsi="Times New Roman" w:cs="Times New Roman"/>
                <w:b/>
                <w:color w:val="auto"/>
                <w:kern w:val="0"/>
                <w:sz w:val="24"/>
                <w:highlight w:val="none"/>
              </w:rPr>
              <w:t>、选址符合性分析</w:t>
            </w:r>
          </w:p>
          <w:p w14:paraId="656C0E4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项目选址位于双鸭山市尖山区</w:t>
            </w:r>
            <w:r>
              <w:rPr>
                <w:rFonts w:hint="eastAsia" w:cs="Times New Roman"/>
                <w:color w:val="auto"/>
                <w:sz w:val="24"/>
                <w:highlight w:val="none"/>
                <w:lang w:val="en-US" w:eastAsia="zh-CN"/>
              </w:rPr>
              <w:t>窑地路</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为自家</w:t>
            </w:r>
            <w:r>
              <w:rPr>
                <w:rFonts w:hint="eastAsia" w:ascii="Times New Roman" w:hAnsi="Times New Roman" w:cs="Times New Roman"/>
                <w:color w:val="auto"/>
                <w:sz w:val="24"/>
                <w:highlight w:val="none"/>
                <w:lang w:val="en-US" w:eastAsia="zh-CN"/>
              </w:rPr>
              <w:t>厂房，本项目</w:t>
            </w:r>
            <w:r>
              <w:rPr>
                <w:rFonts w:hint="eastAsia" w:cs="Times New Roman"/>
                <w:color w:val="auto"/>
                <w:sz w:val="24"/>
                <w:highlight w:val="none"/>
                <w:lang w:val="en-US" w:eastAsia="zh-CN"/>
              </w:rPr>
              <w:t>厂界</w:t>
            </w:r>
            <w:r>
              <w:rPr>
                <w:rFonts w:hint="eastAsia" w:ascii="Times New Roman" w:hAnsi="Times New Roman" w:cs="Times New Roman"/>
                <w:color w:val="auto"/>
                <w:sz w:val="24"/>
                <w:highlight w:val="none"/>
                <w:lang w:val="en-US" w:eastAsia="zh-CN"/>
              </w:rPr>
              <w:t>北侧为</w:t>
            </w:r>
            <w:r>
              <w:rPr>
                <w:rFonts w:hint="eastAsia" w:cs="Times New Roman"/>
                <w:color w:val="auto"/>
                <w:sz w:val="24"/>
                <w:highlight w:val="none"/>
                <w:lang w:val="en-US" w:eastAsia="zh-CN"/>
              </w:rPr>
              <w:t>空地，</w:t>
            </w:r>
            <w:r>
              <w:rPr>
                <w:rFonts w:hint="eastAsia" w:ascii="Times New Roman" w:hAnsi="Times New Roman" w:cs="Times New Roman"/>
                <w:color w:val="auto"/>
                <w:sz w:val="24"/>
                <w:highlight w:val="none"/>
                <w:lang w:val="en-US" w:eastAsia="zh-CN"/>
              </w:rPr>
              <w:t>东侧为</w:t>
            </w:r>
            <w:r>
              <w:rPr>
                <w:rFonts w:hint="eastAsia" w:cs="Times New Roman"/>
                <w:color w:val="auto"/>
                <w:sz w:val="24"/>
                <w:highlight w:val="none"/>
                <w:lang w:val="en-US" w:eastAsia="zh-CN"/>
              </w:rPr>
              <w:t>窑地路，</w:t>
            </w:r>
            <w:r>
              <w:rPr>
                <w:rFonts w:hint="eastAsia" w:ascii="Times New Roman" w:hAnsi="Times New Roman" w:cs="Times New Roman"/>
                <w:color w:val="auto"/>
                <w:sz w:val="24"/>
                <w:highlight w:val="none"/>
                <w:lang w:val="en-US" w:eastAsia="zh-CN"/>
              </w:rPr>
              <w:t>南侧为</w:t>
            </w:r>
            <w:r>
              <w:rPr>
                <w:rFonts w:hint="eastAsia" w:cs="Times New Roman"/>
                <w:color w:val="auto"/>
                <w:sz w:val="24"/>
                <w:highlight w:val="none"/>
                <w:lang w:val="en-US" w:eastAsia="zh-CN"/>
              </w:rPr>
              <w:t>宝成家具厂，</w:t>
            </w:r>
            <w:r>
              <w:rPr>
                <w:rFonts w:hint="eastAsia" w:ascii="Times New Roman" w:hAnsi="Times New Roman" w:cs="Times New Roman"/>
                <w:color w:val="auto"/>
                <w:sz w:val="24"/>
                <w:highlight w:val="none"/>
                <w:lang w:val="en-US" w:eastAsia="zh-CN"/>
              </w:rPr>
              <w:t>西侧为</w:t>
            </w:r>
            <w:r>
              <w:rPr>
                <w:rFonts w:hint="eastAsia" w:cs="Times New Roman"/>
                <w:color w:val="auto"/>
                <w:sz w:val="24"/>
                <w:highlight w:val="none"/>
                <w:lang w:val="en-US" w:eastAsia="zh-CN"/>
              </w:rPr>
              <w:t>大蒜厂</w:t>
            </w:r>
            <w:r>
              <w:rPr>
                <w:rFonts w:hint="eastAsia" w:ascii="Times New Roman" w:hAnsi="Times New Roman" w:cs="Times New Roman"/>
                <w:color w:val="auto"/>
                <w:sz w:val="24"/>
                <w:highlight w:val="none"/>
                <w:lang w:val="en-US" w:eastAsia="zh-CN"/>
              </w:rPr>
              <w:t>，交通运输和水电条件便利，本项目类型及选址、布局、规模均符合环境保护法律法规和相关法定规划。</w:t>
            </w:r>
          </w:p>
          <w:p w14:paraId="6F059AD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本项目评价范围内无特殊保护文物古迹、自然保护区特殊环境制约因素。在采取相应的环保措施，项目污染物全部达标排放，不会对厂区外环境造成明显影响，经过与</w:t>
            </w:r>
            <w:r>
              <w:rPr>
                <w:rFonts w:hint="eastAsia" w:cs="Times New Roman"/>
                <w:color w:val="auto"/>
                <w:kern w:val="0"/>
                <w:sz w:val="24"/>
                <w:highlight w:val="none"/>
                <w:lang w:eastAsia="zh-CN"/>
              </w:rPr>
              <w:t>“黑龙江省生态环境分区管控数据应用平台”</w:t>
            </w:r>
            <w:r>
              <w:rPr>
                <w:rFonts w:hint="default" w:ascii="Times New Roman" w:hAnsi="Times New Roman" w:cs="Times New Roman"/>
                <w:color w:val="auto"/>
                <w:kern w:val="0"/>
                <w:sz w:val="24"/>
                <w:highlight w:val="none"/>
              </w:rPr>
              <w:t>进行对照后，项目不在生态保护红线内、</w:t>
            </w:r>
            <w:r>
              <w:rPr>
                <w:rFonts w:hint="eastAsia" w:cs="Times New Roman"/>
                <w:color w:val="auto"/>
                <w:kern w:val="0"/>
                <w:sz w:val="24"/>
                <w:highlight w:val="none"/>
                <w:lang w:val="en-US" w:eastAsia="zh-CN"/>
              </w:rPr>
              <w:t>不在保护地内、</w:t>
            </w:r>
            <w:r>
              <w:rPr>
                <w:rFonts w:hint="default" w:ascii="Times New Roman" w:hAnsi="Times New Roman" w:cs="Times New Roman"/>
                <w:color w:val="auto"/>
                <w:kern w:val="0"/>
                <w:sz w:val="24"/>
                <w:highlight w:val="none"/>
              </w:rPr>
              <w:t>未超出环境质量底线及资源利用上线、未列入环境准入负面清单内。因此本项目厂址环境敏感性较低，周围无重大的环境制约因素，选址合理。</w:t>
            </w:r>
          </w:p>
          <w:p w14:paraId="0912553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综上所述，本项目选址可行。</w:t>
            </w:r>
          </w:p>
          <w:p w14:paraId="4BE39723">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color w:val="auto"/>
                <w:kern w:val="0"/>
                <w:sz w:val="24"/>
                <w:highlight w:val="none"/>
              </w:rPr>
            </w:pPr>
            <w:r>
              <w:rPr>
                <w:rFonts w:hint="eastAsia" w:cs="Times New Roman"/>
                <w:b/>
                <w:color w:val="auto"/>
                <w:kern w:val="0"/>
                <w:sz w:val="24"/>
                <w:highlight w:val="none"/>
                <w:lang w:val="en-US" w:eastAsia="zh-CN"/>
              </w:rPr>
              <w:t>3</w:t>
            </w:r>
            <w:r>
              <w:rPr>
                <w:rFonts w:hint="default" w:ascii="Times New Roman" w:hAnsi="Times New Roman" w:cs="Times New Roman"/>
                <w:b/>
                <w:color w:val="auto"/>
                <w:kern w:val="0"/>
                <w:sz w:val="24"/>
                <w:highlight w:val="none"/>
              </w:rPr>
              <w:t>、</w:t>
            </w:r>
            <w:r>
              <w:rPr>
                <w:rFonts w:hint="eastAsia" w:cs="Times New Roman"/>
                <w:b/>
                <w:color w:val="auto"/>
                <w:kern w:val="0"/>
                <w:sz w:val="24"/>
                <w:highlight w:val="none"/>
                <w:lang w:val="en-US" w:eastAsia="zh-CN"/>
              </w:rPr>
              <w:t>生态环境分区管控</w:t>
            </w:r>
            <w:r>
              <w:rPr>
                <w:rFonts w:hint="default" w:ascii="Times New Roman" w:hAnsi="Times New Roman" w:cs="Times New Roman"/>
                <w:b/>
                <w:color w:val="auto"/>
                <w:kern w:val="0"/>
                <w:sz w:val="24"/>
                <w:highlight w:val="none"/>
              </w:rPr>
              <w:t>符合性分析</w:t>
            </w:r>
          </w:p>
          <w:p w14:paraId="2C0900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本项目位于黑龙江省</w:t>
            </w:r>
            <w:r>
              <w:rPr>
                <w:rFonts w:hint="default" w:ascii="Times New Roman" w:hAnsi="Times New Roman" w:cs="Times New Roman"/>
                <w:color w:val="auto"/>
                <w:sz w:val="24"/>
                <w:highlight w:val="none"/>
                <w:lang w:val="en-US" w:eastAsia="zh-CN"/>
              </w:rPr>
              <w:t>双鸭山</w:t>
            </w:r>
            <w:r>
              <w:rPr>
                <w:rFonts w:hint="default" w:ascii="Times New Roman" w:hAnsi="Times New Roman" w:cs="Times New Roman"/>
                <w:color w:val="auto"/>
                <w:sz w:val="24"/>
                <w:highlight w:val="none"/>
              </w:rPr>
              <w:t>市</w:t>
            </w:r>
            <w:r>
              <w:rPr>
                <w:rFonts w:hint="eastAsia" w:cs="Times New Roman"/>
                <w:color w:val="auto"/>
                <w:sz w:val="24"/>
                <w:highlight w:val="none"/>
                <w:lang w:val="en-US" w:eastAsia="zh-CN"/>
              </w:rPr>
              <w:t>尖山</w:t>
            </w:r>
            <w:r>
              <w:rPr>
                <w:rFonts w:hint="default" w:ascii="Times New Roman" w:hAnsi="Times New Roman" w:cs="Times New Roman"/>
                <w:color w:val="auto"/>
                <w:sz w:val="24"/>
                <w:highlight w:val="none"/>
              </w:rPr>
              <w:t>区</w:t>
            </w:r>
            <w:r>
              <w:rPr>
                <w:rFonts w:hint="eastAsia" w:cs="Times New Roman"/>
                <w:color w:val="auto"/>
                <w:sz w:val="24"/>
                <w:highlight w:val="none"/>
                <w:lang w:val="en-US" w:eastAsia="zh-CN"/>
              </w:rPr>
              <w:t>窑地路</w:t>
            </w:r>
            <w:r>
              <w:rPr>
                <w:rFonts w:hint="default" w:ascii="Times New Roman" w:hAnsi="Times New Roman" w:cs="Times New Roman"/>
                <w:color w:val="auto"/>
                <w:sz w:val="24"/>
                <w:highlight w:val="none"/>
              </w:rPr>
              <w:t>，根据黑龙江省人民政府《关于实施“三线一单”生态环境分区管控的意见》</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双鸭山</w:t>
            </w:r>
            <w:r>
              <w:rPr>
                <w:rFonts w:hint="default" w:ascii="Times New Roman" w:hAnsi="Times New Roman" w:cs="Times New Roman"/>
                <w:color w:val="auto"/>
                <w:sz w:val="24"/>
                <w:highlight w:val="none"/>
              </w:rPr>
              <w:t>市发布的《</w:t>
            </w:r>
            <w:r>
              <w:rPr>
                <w:rFonts w:hint="default" w:ascii="Times New Roman" w:hAnsi="Times New Roman" w:cs="Times New Roman"/>
                <w:color w:val="auto"/>
                <w:sz w:val="24"/>
                <w:highlight w:val="none"/>
                <w:lang w:val="en-US" w:eastAsia="zh-CN"/>
              </w:rPr>
              <w:t>双鸭山</w:t>
            </w:r>
            <w:r>
              <w:rPr>
                <w:rFonts w:hint="default" w:ascii="Times New Roman" w:hAnsi="Times New Roman" w:cs="Times New Roman"/>
                <w:color w:val="auto"/>
                <w:sz w:val="24"/>
                <w:highlight w:val="none"/>
              </w:rPr>
              <w:t>人民政府关于实施“三线一单”生态环境分区管控的意见》（</w:t>
            </w:r>
            <w:r>
              <w:rPr>
                <w:rFonts w:hint="default" w:ascii="Times New Roman" w:hAnsi="Times New Roman" w:cs="Times New Roman"/>
                <w:color w:val="auto"/>
                <w:sz w:val="24"/>
                <w:highlight w:val="none"/>
                <w:lang w:val="en-US" w:eastAsia="zh-CN"/>
              </w:rPr>
              <w:t>双</w:t>
            </w:r>
            <w:r>
              <w:rPr>
                <w:rFonts w:hint="default" w:ascii="Times New Roman" w:hAnsi="Times New Roman" w:cs="Times New Roman"/>
                <w:color w:val="auto"/>
                <w:sz w:val="24"/>
                <w:highlight w:val="none"/>
              </w:rPr>
              <w:t>政</w:t>
            </w:r>
            <w:r>
              <w:rPr>
                <w:rFonts w:hint="default" w:ascii="Times New Roman" w:hAnsi="Times New Roman" w:cs="Times New Roman"/>
                <w:color w:val="auto"/>
                <w:sz w:val="24"/>
                <w:highlight w:val="none"/>
                <w:lang w:val="en-US" w:eastAsia="zh-CN"/>
              </w:rPr>
              <w:t>规</w:t>
            </w:r>
            <w:r>
              <w:rPr>
                <w:rFonts w:hint="default" w:ascii="Times New Roman" w:hAnsi="Times New Roman" w:cs="Times New Roman"/>
                <w:color w:val="auto"/>
                <w:sz w:val="24"/>
                <w:highlight w:val="none"/>
              </w:rPr>
              <w:t>〔2021〕</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号）</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《关于发布双鸭山市生态环境准入清单（2023年版）的通知》</w:t>
            </w:r>
            <w:r>
              <w:rPr>
                <w:rFonts w:hint="default" w:ascii="Times New Roman" w:hAnsi="Times New Roman" w:cs="Times New Roman"/>
                <w:color w:val="000000" w:themeColor="text1"/>
                <w:sz w:val="24"/>
                <w:szCs w:val="24"/>
                <w:highlight w:val="none"/>
                <w:lang w:val="en-US" w:eastAsia="zh-CN" w:bidi="ar"/>
                <w14:textFill>
                  <w14:solidFill>
                    <w14:schemeClr w14:val="tx1"/>
                  </w14:solidFill>
                </w14:textFill>
              </w:rPr>
              <w:t>及黑龙江省生态环境分区管控数据应用平台出具的《生态环境分区管控分析报告》</w:t>
            </w:r>
            <w:r>
              <w:rPr>
                <w:rFonts w:hint="default" w:ascii="Times New Roman" w:hAnsi="Times New Roman" w:cs="Times New Roman"/>
                <w:color w:val="auto"/>
                <w:sz w:val="24"/>
                <w:highlight w:val="none"/>
              </w:rPr>
              <w:t>，结合本项目生产工艺、排污状况和区域环境及环境质量现状进行调查的基础上，本工程与</w:t>
            </w:r>
            <w:r>
              <w:rPr>
                <w:rFonts w:hint="eastAsia" w:cs="Times New Roman"/>
                <w:color w:val="auto"/>
                <w:sz w:val="24"/>
                <w:highlight w:val="none"/>
                <w:lang w:eastAsia="zh-CN"/>
              </w:rPr>
              <w:t>“</w:t>
            </w:r>
            <w:r>
              <w:rPr>
                <w:rFonts w:hint="eastAsia" w:cs="Times New Roman"/>
                <w:b w:val="0"/>
                <w:bCs/>
                <w:color w:val="auto"/>
                <w:kern w:val="0"/>
                <w:sz w:val="24"/>
                <w:highlight w:val="none"/>
                <w:lang w:val="en-US" w:eastAsia="zh-CN"/>
              </w:rPr>
              <w:t>生态环境分区管控分析报告</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符合性分析如下：</w:t>
            </w:r>
          </w:p>
          <w:p w14:paraId="74017967">
            <w:pPr>
              <w:pStyle w:val="25"/>
              <w:keepNext w:val="0"/>
              <w:keepLines w:val="0"/>
              <w:pageBreakBefore w:val="0"/>
              <w:numPr>
                <w:ilvl w:val="0"/>
                <w:numId w:val="0"/>
              </w:numPr>
              <w:suppressLineNumbers w:val="0"/>
              <w:tabs>
                <w:tab w:val="right" w:leader="dot" w:pos="8190"/>
              </w:tabs>
              <w:kinsoku/>
              <w:wordWrap/>
              <w:overflowPunct/>
              <w:topLinePunct w:val="0"/>
              <w:bidi w:val="0"/>
              <w:spacing w:before="0" w:beforeAutospacing="0" w:after="0" w:afterAutospacing="0" w:line="360" w:lineRule="auto"/>
              <w:ind w:left="0" w:leftChars="0" w:right="0"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w:t>
            </w:r>
            <w:r>
              <w:rPr>
                <w:rFonts w:hint="default" w:ascii="Times New Roman" w:hAnsi="Times New Roman" w:cs="Times New Roman"/>
                <w:color w:val="000000" w:themeColor="text1"/>
                <w:sz w:val="24"/>
                <w:szCs w:val="24"/>
                <w:highlight w:val="none"/>
                <w:lang w:eastAsia="zh-CN"/>
                <w14:textFill>
                  <w14:solidFill>
                    <w14:schemeClr w14:val="tx1"/>
                  </w14:solidFill>
                </w14:textFill>
              </w:rPr>
              <w:t>“一图”</w:t>
            </w:r>
          </w:p>
          <w:p w14:paraId="5E9587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根据《双鸭山市松森木材加工厂生态板芯项目生态环境分区管控分析报告》，项目与环境管控单元叠加图见图1-1。</w:t>
            </w:r>
          </w:p>
          <w:p w14:paraId="4F62784E">
            <w:pPr>
              <w:spacing w:line="360" w:lineRule="auto"/>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drawing>
                <wp:inline distT="0" distB="0" distL="114300" distR="114300">
                  <wp:extent cx="5081905" cy="2609850"/>
                  <wp:effectExtent l="0" t="0" r="4445" b="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12"/>
                          <a:stretch>
                            <a:fillRect/>
                          </a:stretch>
                        </pic:blipFill>
                        <pic:spPr>
                          <a:xfrm>
                            <a:off x="0" y="0"/>
                            <a:ext cx="5081905" cy="2609850"/>
                          </a:xfrm>
                          <a:prstGeom prst="rect">
                            <a:avLst/>
                          </a:prstGeom>
                          <a:noFill/>
                          <a:ln>
                            <a:noFill/>
                          </a:ln>
                        </pic:spPr>
                      </pic:pic>
                    </a:graphicData>
                  </a:graphic>
                </wp:inline>
              </w:drawing>
            </w:r>
          </w:p>
          <w:p w14:paraId="6D927E66">
            <w:pPr>
              <w:spacing w:line="360" w:lineRule="auto"/>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图1-1本项目与环境管控单元叠加图</w:t>
            </w:r>
          </w:p>
          <w:p w14:paraId="10B67434">
            <w:pPr>
              <w:pStyle w:val="131"/>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一表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p>
          <w:p w14:paraId="73CA433E">
            <w:pPr>
              <w:pStyle w:val="131"/>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本项目与生态环境准入清单符合性情况见表1-</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4CA1C9CB">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000000" w:themeColor="text1"/>
                <w:sz w:val="24"/>
                <w:szCs w:val="24"/>
                <w:highlight w:val="none"/>
                <w14:textFill>
                  <w14:solidFill>
                    <w14:schemeClr w14:val="tx1"/>
                  </w14:solidFill>
                </w14:textFill>
              </w:rPr>
            </w:pPr>
            <w:r>
              <w:rPr>
                <w:rFonts w:hint="default" w:ascii="Times New Roman" w:hAnsi="Times New Roman" w:cs="Times New Roman"/>
                <w:b/>
                <w:bCs/>
                <w:color w:val="000000" w:themeColor="text1"/>
                <w:sz w:val="24"/>
                <w:szCs w:val="24"/>
                <w:highlight w:val="none"/>
                <w14:textFill>
                  <w14:solidFill>
                    <w14:schemeClr w14:val="tx1"/>
                  </w14:solidFill>
                </w14:textFill>
              </w:rPr>
              <w:t>表1-</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 w:val="24"/>
                <w:szCs w:val="24"/>
                <w:highlight w:val="none"/>
                <w14:textFill>
                  <w14:solidFill>
                    <w14:schemeClr w14:val="tx1"/>
                  </w14:solidFill>
                </w14:textFill>
              </w:rPr>
              <w:t>生态环境准入清单符合性分析</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5"/>
              <w:gridCol w:w="243"/>
              <w:gridCol w:w="4083"/>
              <w:gridCol w:w="3088"/>
            </w:tblGrid>
            <w:tr w14:paraId="560DE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bottom w:val="single" w:color="auto" w:sz="4" w:space="0"/>
                  </w:tcBorders>
                  <w:noWrap w:val="0"/>
                  <w:vAlign w:val="center"/>
                </w:tcPr>
                <w:p w14:paraId="5CAB4B4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一、生态保护红线</w:t>
                  </w:r>
                </w:p>
              </w:tc>
            </w:tr>
            <w:tr w14:paraId="2545C3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745AF25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生态保护红线：</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根据</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黑龙江省生态环境分区管控数据应用平台出具的《生态环境分区管控分析报告》</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本项目不涉及生态保护红线。</w:t>
                  </w:r>
                </w:p>
              </w:tc>
            </w:tr>
            <w:tr w14:paraId="256D07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257415C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二、环境质量底线</w:t>
                  </w:r>
                </w:p>
              </w:tc>
            </w:tr>
            <w:tr w14:paraId="2ECB9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185F0205">
                  <w:pPr>
                    <w:pStyle w:val="156"/>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24D957DC">
                  <w:pPr>
                    <w:pStyle w:val="156"/>
                    <w:keepNext w:val="0"/>
                    <w:keepLines w:val="0"/>
                    <w:suppressLineNumbers w:val="0"/>
                    <w:spacing w:before="0" w:beforeAutospacing="0" w:after="0" w:afterAutospacing="0"/>
                    <w:ind w:left="0" w:right="0" w:firstLine="482"/>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大气环境</w:t>
                  </w:r>
                </w:p>
                <w:p w14:paraId="258E809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本项目位于</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黑龙江省双鸭山市</w:t>
                  </w:r>
                  <w:r>
                    <w:rPr>
                      <w:rFonts w:hint="eastAsia" w:cs="Times New Roman" w:eastAsiaTheme="minorEastAsia"/>
                      <w:color w:val="000000" w:themeColor="text1"/>
                      <w:sz w:val="21"/>
                      <w:szCs w:val="21"/>
                      <w:highlight w:val="none"/>
                      <w:lang w:val="en-US" w:eastAsia="zh-CN"/>
                      <w14:textFill>
                        <w14:solidFill>
                          <w14:schemeClr w14:val="tx1"/>
                        </w14:solidFill>
                      </w14:textFill>
                    </w:rPr>
                    <w:t>尖山</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区</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。根据《2024年双鸭山市环境空气质量状况》，双鸭山市202</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年PM</w:t>
                  </w:r>
                  <w:r>
                    <w:rPr>
                      <w:rFonts w:hint="default" w:ascii="Times New Roman" w:hAnsi="Times New Roman" w:eastAsia="宋体" w:cs="Times New Roman"/>
                      <w:bCs/>
                      <w:color w:val="000000" w:themeColor="text1"/>
                      <w:sz w:val="21"/>
                      <w:szCs w:val="21"/>
                      <w:highlight w:val="none"/>
                      <w:vertAlign w:val="subscript"/>
                      <w:lang w:val="en-US" w:eastAsia="zh-CN"/>
                      <w14:textFill>
                        <w14:solidFill>
                          <w14:schemeClr w14:val="tx1"/>
                        </w14:solidFill>
                      </w14:textFill>
                    </w:rPr>
                    <w:t>2.5</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、PM</w:t>
                  </w:r>
                  <w:r>
                    <w:rPr>
                      <w:rFonts w:hint="default" w:ascii="Times New Roman" w:hAnsi="Times New Roman" w:eastAsia="宋体" w:cs="Times New Roman"/>
                      <w:bCs/>
                      <w:color w:val="000000" w:themeColor="text1"/>
                      <w:sz w:val="21"/>
                      <w:szCs w:val="21"/>
                      <w:highlight w:val="none"/>
                      <w:vertAlign w:val="subscript"/>
                      <w:lang w:val="en-US" w:eastAsia="zh-CN"/>
                      <w14:textFill>
                        <w14:solidFill>
                          <w14:schemeClr w14:val="tx1"/>
                        </w14:solidFill>
                      </w14:textFill>
                    </w:rPr>
                    <w:t>10</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、SO</w:t>
                  </w:r>
                  <w:r>
                    <w:rPr>
                      <w:rFonts w:hint="default" w:ascii="Times New Roman" w:hAnsi="Times New Roman" w:eastAsia="宋体" w:cs="Times New Roman"/>
                      <w:bCs/>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、NO</w:t>
                  </w:r>
                  <w:r>
                    <w:rPr>
                      <w:rFonts w:hint="default" w:ascii="Times New Roman" w:hAnsi="Times New Roman" w:eastAsia="宋体" w:cs="Times New Roman"/>
                      <w:bCs/>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年均浓度分别为2</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11</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；CO24小时平均第95百分位数为0.</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9</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mg/m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，O3日最大8小时平均第90百分位数为</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105</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21"/>
                      <w:sz w:val="21"/>
                      <w:szCs w:val="21"/>
                      <w:highlight w:val="none"/>
                      <w14:textFill>
                        <w14:solidFill>
                          <w14:schemeClr w14:val="tx1"/>
                        </w14:solidFill>
                      </w14:textFill>
                    </w:rPr>
                    <w:t>项目所在区域为达标区。</w:t>
                  </w:r>
                </w:p>
                <w:p w14:paraId="34A8E2F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本项目投产后锅炉烟气满足《锅炉大气污染物排放标准》（GB13271-2014）表2标准要求</w:t>
                  </w:r>
                  <w:r>
                    <w:rPr>
                      <w:rFonts w:hint="eastAsia" w:eastAsia="宋体" w:cs="Times New Roman"/>
                      <w:color w:val="000000" w:themeColor="text1"/>
                      <w:kern w:val="0"/>
                      <w:sz w:val="21"/>
                      <w:szCs w:val="21"/>
                      <w:highlight w:val="none"/>
                      <w:lang w:val="en-US" w:eastAsia="zh-CN"/>
                      <w14:textFill>
                        <w14:solidFill>
                          <w14:schemeClr w14:val="tx1"/>
                        </w14:solidFill>
                      </w14:textFill>
                    </w:rPr>
                    <w:t>，有机废气满足</w:t>
                  </w:r>
                  <w:r>
                    <w:rPr>
                      <w:rFonts w:hint="eastAsia" w:ascii="Times New Roman" w:hAnsi="Times New Roman" w:eastAsia="宋体" w:cs="Times New Roman"/>
                      <w:iCs/>
                      <w:color w:val="auto"/>
                      <w:kern w:val="2"/>
                      <w:sz w:val="21"/>
                      <w:szCs w:val="24"/>
                      <w:highlight w:val="none"/>
                      <w:lang w:val="en-US" w:eastAsia="zh-CN" w:bidi="ar-SA"/>
                    </w:rPr>
                    <w:t>《大气污染物综合排放标准》（GB16297-1996）</w:t>
                  </w:r>
                  <w:r>
                    <w:rPr>
                      <w:rFonts w:hint="eastAsia" w:ascii="Times New Roman" w:hAnsi="Times New Roman" w:eastAsia="宋体" w:cs="Times New Roman"/>
                      <w:color w:val="auto"/>
                      <w:szCs w:val="24"/>
                      <w:highlight w:val="none"/>
                      <w:lang w:val="en-US" w:eastAsia="zh-CN"/>
                    </w:rPr>
                    <w:t>表2中排放限值</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p>
                <w:p w14:paraId="2DE68415">
                  <w:pPr>
                    <w:pStyle w:val="156"/>
                    <w:keepNext w:val="0"/>
                    <w:keepLines w:val="0"/>
                    <w:suppressLineNumbers w:val="0"/>
                    <w:spacing w:before="0" w:beforeAutospacing="0" w:after="0" w:afterAutospacing="0"/>
                    <w:ind w:left="0" w:right="0" w:firstLine="482"/>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水环境</w:t>
                  </w:r>
                </w:p>
                <w:p w14:paraId="6FFCE85E">
                  <w:pPr>
                    <w:spacing w:before="29" w:line="360" w:lineRule="auto"/>
                    <w:ind w:left="4" w:firstLine="479"/>
                    <w:jc w:val="both"/>
                    <w:rPr>
                      <w:rFonts w:hint="default" w:ascii="Times New Roman" w:hAnsi="Times New Roman" w:cs="Times New Roman" w:eastAsiaTheme="minorEastAsia"/>
                      <w:color w:val="000000" w:themeColor="text1"/>
                      <w:spacing w:val="-3"/>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pacing w:val="-3"/>
                      <w:sz w:val="21"/>
                      <w:szCs w:val="21"/>
                      <w:highlight w:val="none"/>
                      <w:lang w:val="en-US" w:eastAsia="zh-CN"/>
                      <w14:textFill>
                        <w14:solidFill>
                          <w14:schemeClr w14:val="tx1"/>
                        </w14:solidFill>
                      </w14:textFill>
                    </w:rPr>
                    <w:t>本项目位于黑龙江省双鸭山市尖山区，本项目西侧1</w:t>
                  </w:r>
                  <w:r>
                    <w:rPr>
                      <w:rFonts w:hint="eastAsia" w:cs="Times New Roman" w:eastAsiaTheme="minorEastAsia"/>
                      <w:color w:val="000000" w:themeColor="text1"/>
                      <w:spacing w:val="-3"/>
                      <w:sz w:val="21"/>
                      <w:szCs w:val="21"/>
                      <w:highlight w:val="none"/>
                      <w:lang w:val="en-US" w:eastAsia="zh-CN"/>
                      <w14:textFill>
                        <w14:solidFill>
                          <w14:schemeClr w14:val="tx1"/>
                        </w14:solidFill>
                      </w14:textFill>
                    </w:rPr>
                    <w:t>43</w:t>
                  </w:r>
                  <w:r>
                    <w:rPr>
                      <w:rFonts w:hint="default" w:ascii="Times New Roman" w:hAnsi="Times New Roman" w:cs="Times New Roman" w:eastAsiaTheme="minorEastAsia"/>
                      <w:color w:val="000000" w:themeColor="text1"/>
                      <w:spacing w:val="-3"/>
                      <w:sz w:val="21"/>
                      <w:szCs w:val="21"/>
                      <w:highlight w:val="none"/>
                      <w:lang w:val="en-US" w:eastAsia="zh-CN"/>
                      <w14:textFill>
                        <w14:solidFill>
                          <w14:schemeClr w14:val="tx1"/>
                        </w14:solidFill>
                      </w14:textFill>
                    </w:rPr>
                    <w:t>0m为安邦河。</w:t>
                  </w:r>
                </w:p>
                <w:p w14:paraId="586B5ABF">
                  <w:pPr>
                    <w:pStyle w:val="72"/>
                    <w:keepNext w:val="0"/>
                    <w:keepLines w:val="0"/>
                    <w:pageBreakBefore w:val="0"/>
                    <w:widowControl w:val="0"/>
                    <w:kinsoku/>
                    <w:wordWrap/>
                    <w:overflowPunct/>
                    <w:topLinePunct w:val="0"/>
                    <w:bidi w:val="0"/>
                    <w:snapToGrid/>
                    <w:spacing w:line="360" w:lineRule="auto"/>
                    <w:ind w:firstLine="420" w:firstLineChars="200"/>
                    <w:outlineLvl w:val="2"/>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根据《全国重要江河湖泊水功能区划（2011-2030年）》，本项目所在区域安邦河为</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窑地村至福富大桥段</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，规划水体类别为Ⅲ类水体，执行《地表水环境质量标准》（GB3838-2002）Ⅲ类标准。</w:t>
                  </w:r>
                </w:p>
                <w:p w14:paraId="0A9185A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根据《202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年黑龙江省生态环境质量状况》可知：双鸭山地表水国家考核断面共6个，Ⅰ-Ⅲ类水质比例上升66.7%，无劣Ⅴ类水质断面。与上年同期相比，Ⅰ-Ⅲ类水质</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比例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保持不变，均无劣Ⅴ类水质断面。双鸭山市饮用水水源地水量达标率为100%。</w:t>
                  </w:r>
                </w:p>
                <w:p w14:paraId="2200217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w:t>
                  </w:r>
                  <w:r>
                    <w:rPr>
                      <w:rFonts w:hint="eastAsia" w:cs="Times New Roman"/>
                      <w:color w:val="000000" w:themeColor="text1"/>
                      <w:kern w:val="0"/>
                      <w:sz w:val="21"/>
                      <w:szCs w:val="21"/>
                      <w:highlight w:val="none"/>
                      <w:lang w:val="en-US" w:eastAsia="zh-CN"/>
                      <w14:textFill>
                        <w14:solidFill>
                          <w14:schemeClr w14:val="tx1"/>
                        </w14:solidFill>
                      </w14:textFill>
                    </w:rPr>
                    <w:t>无生产废水</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，对周围环境影响</w:t>
                  </w:r>
                  <w:r>
                    <w:rPr>
                      <w:rFonts w:hint="eastAsia" w:eastAsia="宋体" w:cs="Times New Roman"/>
                      <w:color w:val="000000" w:themeColor="text1"/>
                      <w:kern w:val="0"/>
                      <w:sz w:val="21"/>
                      <w:szCs w:val="21"/>
                      <w:highlight w:val="none"/>
                      <w:lang w:val="en-US" w:eastAsia="zh-CN"/>
                      <w14:textFill>
                        <w14:solidFill>
                          <w14:schemeClr w14:val="tx1"/>
                        </w14:solidFill>
                      </w14:textFill>
                    </w:rPr>
                    <w:t>极小</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p>
                <w:p w14:paraId="666B00B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声环境</w:t>
                  </w:r>
                </w:p>
                <w:p w14:paraId="5DD486C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选取低噪声设备，采取减振、隔声等措施</w:t>
                  </w:r>
                  <w:r>
                    <w:rPr>
                      <w:rFonts w:hint="default" w:ascii="Times New Roman" w:hAnsi="Times New Roman"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厂界噪声满足</w:t>
                  </w:r>
                  <w:r>
                    <w:rPr>
                      <w:rFonts w:hint="default" w:ascii="Times New Roman" w:hAnsi="Times New Roman" w:cs="Times New Roman"/>
                      <w:color w:val="000000" w:themeColor="text1"/>
                      <w:kern w:val="0"/>
                      <w:sz w:val="21"/>
                      <w:szCs w:val="21"/>
                      <w:highlight w:val="none"/>
                      <w:lang w:eastAsia="zh-CN"/>
                      <w14:textFill>
                        <w14:solidFill>
                          <w14:schemeClr w14:val="tx1"/>
                        </w14:solidFill>
                      </w14:textFill>
                    </w:rPr>
                    <w:t>《工业企业厂界环境噪声排放标准》（GB12348-2008）表1中</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highlight w:val="none"/>
                      <w:lang w:eastAsia="zh-CN"/>
                      <w14:textFill>
                        <w14:solidFill>
                          <w14:schemeClr w14:val="tx1"/>
                        </w14:solidFill>
                      </w14:textFill>
                    </w:rPr>
                    <w:t>类标准。</w:t>
                  </w:r>
                </w:p>
                <w:p w14:paraId="0D138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本项目运营期各类污染物经环境保护措施治理后均可达标排放，对区域环境造成的不利影响较小，不会改变区域环境质量现状，因此，</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本项目</w:t>
                  </w:r>
                  <w:r>
                    <w:rPr>
                      <w:rFonts w:hint="default" w:ascii="Times New Roman" w:hAnsi="Times New Roman" w:cs="Times New Roman"/>
                      <w:color w:val="000000" w:themeColor="text1"/>
                      <w:kern w:val="0"/>
                      <w:sz w:val="21"/>
                      <w:szCs w:val="21"/>
                      <w:highlight w:val="none"/>
                      <w14:textFill>
                        <w14:solidFill>
                          <w14:schemeClr w14:val="tx1"/>
                        </w14:solidFill>
                      </w14:textFill>
                    </w:rPr>
                    <w:t>符合环境质量底线要求。</w:t>
                  </w:r>
                </w:p>
              </w:tc>
            </w:tr>
            <w:tr w14:paraId="7CAC2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6F29DB8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三、资源利用上线</w:t>
                  </w:r>
                </w:p>
              </w:tc>
            </w:tr>
            <w:tr w14:paraId="5874BE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3B86D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本项目员</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工</w:t>
                  </w:r>
                  <w:r>
                    <w:rPr>
                      <w:rFonts w:hint="eastAsia" w:cs="Times New Roman"/>
                      <w:color w:val="auto"/>
                      <w:szCs w:val="21"/>
                      <w:highlight w:val="none"/>
                      <w:lang w:val="en-US" w:eastAsia="zh-CN"/>
                    </w:rPr>
                    <w:t>职工如厕依托附近宝成家具厂</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，无生活污水；电源依托市政设施。综上，本项目不会突破资源利用上线。</w:t>
                  </w:r>
                </w:p>
              </w:tc>
            </w:tr>
            <w:tr w14:paraId="3F4D3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2517D0D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四、环境准入清单</w:t>
                  </w:r>
                </w:p>
              </w:tc>
            </w:tr>
            <w:tr w14:paraId="1C9FF6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2857B74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环境管控单元编码</w:t>
                  </w:r>
                </w:p>
              </w:tc>
              <w:tc>
                <w:tcPr>
                  <w:tcW w:w="1927" w:type="pct"/>
                  <w:tcBorders>
                    <w:top w:val="single" w:color="auto" w:sz="4" w:space="0"/>
                    <w:left w:val="single" w:color="auto" w:sz="4" w:space="0"/>
                    <w:bottom w:val="single" w:color="auto" w:sz="4" w:space="0"/>
                  </w:tcBorders>
                  <w:noWrap w:val="0"/>
                  <w:vAlign w:val="center"/>
                </w:tcPr>
                <w:p w14:paraId="61D32EC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YS2305026310001</w:t>
                  </w:r>
                </w:p>
              </w:tc>
            </w:tr>
            <w:tr w14:paraId="24B23C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1B355E60">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环境管控单元名称</w:t>
                  </w:r>
                </w:p>
              </w:tc>
              <w:tc>
                <w:tcPr>
                  <w:tcW w:w="1927" w:type="pct"/>
                  <w:tcBorders>
                    <w:top w:val="single" w:color="auto" w:sz="4" w:space="0"/>
                    <w:left w:val="single" w:color="auto" w:sz="4" w:space="0"/>
                    <w:bottom w:val="single" w:color="auto" w:sz="4" w:space="0"/>
                  </w:tcBorders>
                  <w:noWrap w:val="0"/>
                  <w:vAlign w:val="center"/>
                </w:tcPr>
                <w:p w14:paraId="4306CFB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尖山区地下水环境</w:t>
                  </w:r>
                </w:p>
              </w:tc>
            </w:tr>
            <w:tr w14:paraId="677D3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19360B3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管控单元类别</w:t>
                  </w:r>
                </w:p>
              </w:tc>
              <w:tc>
                <w:tcPr>
                  <w:tcW w:w="1927" w:type="pct"/>
                  <w:tcBorders>
                    <w:top w:val="single" w:color="auto" w:sz="4" w:space="0"/>
                    <w:left w:val="single" w:color="auto" w:sz="4" w:space="0"/>
                    <w:bottom w:val="single" w:color="auto" w:sz="4" w:space="0"/>
                  </w:tcBorders>
                  <w:noWrap w:val="0"/>
                  <w:vAlign w:val="center"/>
                </w:tcPr>
                <w:p w14:paraId="4B8FCA7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一般管控单元</w:t>
                  </w:r>
                </w:p>
              </w:tc>
            </w:tr>
            <w:tr w14:paraId="7F73B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4AE9AC5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管控要求</w:t>
                  </w:r>
                </w:p>
              </w:tc>
              <w:tc>
                <w:tcPr>
                  <w:tcW w:w="1927" w:type="pct"/>
                  <w:tcBorders>
                    <w:top w:val="single" w:color="auto" w:sz="4" w:space="0"/>
                    <w:left w:val="single" w:color="auto" w:sz="4" w:space="0"/>
                    <w:bottom w:val="single" w:color="auto" w:sz="4" w:space="0"/>
                  </w:tcBorders>
                  <w:noWrap w:val="0"/>
                  <w:vAlign w:val="center"/>
                </w:tcPr>
                <w:p w14:paraId="71FAE95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符合性分析</w:t>
                  </w:r>
                </w:p>
              </w:tc>
            </w:tr>
            <w:tr w14:paraId="32330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8" w:type="pct"/>
                  <w:gridSpan w:val="2"/>
                  <w:tcBorders>
                    <w:top w:val="single" w:color="auto" w:sz="4" w:space="0"/>
                    <w:bottom w:val="single" w:color="auto" w:sz="4" w:space="0"/>
                    <w:right w:val="single" w:color="auto" w:sz="4" w:space="0"/>
                  </w:tcBorders>
                  <w:shd w:val="clear" w:color="auto" w:fill="auto"/>
                  <w:noWrap w:val="0"/>
                  <w:vAlign w:val="center"/>
                </w:tcPr>
                <w:p w14:paraId="2E79BC9D">
                  <w:pPr>
                    <w:keepNext w:val="0"/>
                    <w:keepLines w:val="0"/>
                    <w:widowControl/>
                    <w:suppressLineNumbers w:val="0"/>
                    <w:jc w:val="left"/>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环境风险管控</w:t>
                  </w:r>
                </w:p>
              </w:tc>
              <w:tc>
                <w:tcPr>
                  <w:tcW w:w="2443" w:type="pct"/>
                  <w:tcBorders>
                    <w:top w:val="single" w:color="auto" w:sz="4" w:space="0"/>
                    <w:bottom w:val="single" w:color="auto" w:sz="4" w:space="0"/>
                    <w:right w:val="single" w:color="auto" w:sz="4" w:space="0"/>
                  </w:tcBorders>
                  <w:shd w:val="clear" w:color="auto" w:fill="auto"/>
                  <w:noWrap w:val="0"/>
                  <w:vAlign w:val="center"/>
                </w:tcPr>
                <w:p w14:paraId="704EC47B">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p>
                <w:p w14:paraId="2E1164B0">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2.重点单位新、改、扩建项目地下储罐储存有毒有害物质的，应当在项目投入生产或者使用之前，将地下储罐的信息报所在地设区的市级生态环境主管部门备案。</w:t>
                  </w:r>
                </w:p>
                <w:p w14:paraId="47420BAD">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w:t>
                  </w:r>
                </w:p>
                <w:p w14:paraId="635582A7">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4.化学品生产企业以及工业集聚区、矿山开采区、尾矿库、危险废物处置场、垃圾填埋场等的运营、管理单位，应当采取防渗漏等措施，并建设地下水水质监测井进行监测，防止地下水污染。</w:t>
                  </w:r>
                </w:p>
                <w:p w14:paraId="04E9C683">
                  <w:pPr>
                    <w:keepNext w:val="0"/>
                    <w:keepLines w:val="0"/>
                    <w:widowControl/>
                    <w:suppressLineNumbers w:val="0"/>
                    <w:jc w:val="left"/>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927" w:type="pct"/>
                  <w:tcBorders>
                    <w:top w:val="single" w:color="auto" w:sz="4" w:space="0"/>
                    <w:left w:val="single" w:color="auto" w:sz="4" w:space="0"/>
                    <w:bottom w:val="single" w:color="auto" w:sz="4" w:space="0"/>
                  </w:tcBorders>
                  <w:shd w:val="clear" w:color="auto" w:fill="auto"/>
                  <w:noWrap w:val="0"/>
                  <w:vAlign w:val="center"/>
                </w:tcPr>
                <w:p w14:paraId="37359B14">
                  <w:pPr>
                    <w:keepNext w:val="0"/>
                    <w:keepLines w:val="0"/>
                    <w:pageBreakBefore w:val="0"/>
                    <w:widowControl w:val="0"/>
                    <w:numPr>
                      <w:ilvl w:val="0"/>
                      <w:numId w:val="0"/>
                    </w:numPr>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1.</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本项目不属于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土壤污染重点监管单位</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w:t>
                  </w:r>
                </w:p>
                <w:p w14:paraId="596E561F">
                  <w:pPr>
                    <w:keepNext w:val="0"/>
                    <w:keepLines w:val="0"/>
                    <w:pageBreakBefore w:val="0"/>
                    <w:widowControl w:val="0"/>
                    <w:numPr>
                      <w:ilvl w:val="0"/>
                      <w:numId w:val="0"/>
                    </w:numPr>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2.</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w:t>
                  </w: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不属于新建</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、改、扩建项目地下储罐储存有毒有害物质的</w:t>
                  </w: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w:t>
                  </w:r>
                </w:p>
                <w:p w14:paraId="338E15AF">
                  <w:pPr>
                    <w:keepNext w:val="0"/>
                    <w:keepLines w:val="0"/>
                    <w:pageBreakBefore w:val="0"/>
                    <w:widowControl w:val="0"/>
                    <w:numPr>
                      <w:ilvl w:val="0"/>
                      <w:numId w:val="0"/>
                    </w:numPr>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3.</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本项目不属于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重点监管单位</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w:t>
                  </w:r>
                </w:p>
                <w:p w14:paraId="07CEAF75">
                  <w:pPr>
                    <w:keepNext w:val="0"/>
                    <w:keepLines w:val="0"/>
                    <w:pageBreakBefore w:val="0"/>
                    <w:widowControl w:val="0"/>
                    <w:numPr>
                      <w:ilvl w:val="0"/>
                      <w:numId w:val="0"/>
                    </w:numPr>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4.</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本项目不属于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化学品生产企业以及工业集聚区、矿山开采区、尾矿库、危险废物处置场、垃圾填埋场等的运营、管理单位</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w:t>
                  </w:r>
                </w:p>
                <w:p w14:paraId="6AB8B373">
                  <w:pPr>
                    <w:keepNext w:val="0"/>
                    <w:keepLines w:val="0"/>
                    <w:pageBreakBefore w:val="0"/>
                    <w:widowControl w:val="0"/>
                    <w:numPr>
                      <w:ilvl w:val="0"/>
                      <w:numId w:val="0"/>
                    </w:numPr>
                    <w:kinsoku/>
                    <w:wordWrap/>
                    <w:overflowPunct/>
                    <w:topLinePunct w:val="0"/>
                    <w:autoSpaceDE w:val="0"/>
                    <w:autoSpaceDN w:val="0"/>
                    <w:bidi w:val="0"/>
                    <w:adjustRightInd w:val="0"/>
                    <w:snapToGrid w:val="0"/>
                    <w:ind w:left="0" w:leftChars="0" w:firstLine="0" w:firstLineChars="0"/>
                    <w:jc w:val="both"/>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5.</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本项目不属于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重点监管单位</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w:t>
                  </w:r>
                </w:p>
              </w:tc>
            </w:tr>
            <w:tr w14:paraId="5AD1F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47A1F9A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环境管控单元编码</w:t>
                  </w:r>
                </w:p>
              </w:tc>
              <w:tc>
                <w:tcPr>
                  <w:tcW w:w="1927" w:type="pct"/>
                  <w:tcBorders>
                    <w:top w:val="single" w:color="auto" w:sz="4" w:space="0"/>
                    <w:left w:val="single" w:color="auto" w:sz="4" w:space="0"/>
                    <w:bottom w:val="single" w:color="auto" w:sz="4" w:space="0"/>
                  </w:tcBorders>
                  <w:noWrap w:val="0"/>
                  <w:vAlign w:val="center"/>
                </w:tcPr>
                <w:p w14:paraId="7FAF314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ZH23050220001</w:t>
                  </w:r>
                </w:p>
              </w:tc>
            </w:tr>
            <w:tr w14:paraId="3D65D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703401D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环境管控单元名称</w:t>
                  </w:r>
                </w:p>
              </w:tc>
              <w:tc>
                <w:tcPr>
                  <w:tcW w:w="1927" w:type="pct"/>
                  <w:tcBorders>
                    <w:top w:val="single" w:color="auto" w:sz="4" w:space="0"/>
                    <w:left w:val="single" w:color="auto" w:sz="4" w:space="0"/>
                    <w:bottom w:val="single" w:color="auto" w:sz="4" w:space="0"/>
                  </w:tcBorders>
                  <w:noWrap w:val="0"/>
                  <w:vAlign w:val="center"/>
                </w:tcPr>
                <w:p w14:paraId="5F2618C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尖山区城镇空间</w:t>
                  </w:r>
                </w:p>
              </w:tc>
            </w:tr>
            <w:tr w14:paraId="2BE6F2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4438D49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管控单元类别</w:t>
                  </w:r>
                </w:p>
              </w:tc>
              <w:tc>
                <w:tcPr>
                  <w:tcW w:w="1927" w:type="pct"/>
                  <w:tcBorders>
                    <w:top w:val="single" w:color="auto" w:sz="4" w:space="0"/>
                    <w:left w:val="single" w:color="auto" w:sz="4" w:space="0"/>
                    <w:bottom w:val="single" w:color="auto" w:sz="4" w:space="0"/>
                  </w:tcBorders>
                  <w:noWrap w:val="0"/>
                  <w:vAlign w:val="center"/>
                </w:tcPr>
                <w:p w14:paraId="151CE51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重点管控单元</w:t>
                  </w:r>
                </w:p>
              </w:tc>
            </w:tr>
            <w:tr w14:paraId="1815C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348CE6E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管控要求</w:t>
                  </w:r>
                </w:p>
              </w:tc>
              <w:tc>
                <w:tcPr>
                  <w:tcW w:w="1927" w:type="pct"/>
                  <w:tcBorders>
                    <w:top w:val="single" w:color="auto" w:sz="4" w:space="0"/>
                    <w:left w:val="single" w:color="auto" w:sz="4" w:space="0"/>
                    <w:bottom w:val="single" w:color="auto" w:sz="4" w:space="0"/>
                  </w:tcBorders>
                  <w:noWrap w:val="0"/>
                  <w:vAlign w:val="center"/>
                </w:tcPr>
                <w:p w14:paraId="6181D69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符合性分析</w:t>
                  </w:r>
                </w:p>
              </w:tc>
            </w:tr>
            <w:tr w14:paraId="0A924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71" w:type="pct"/>
                  <w:tcBorders>
                    <w:top w:val="single" w:color="auto" w:sz="4" w:space="0"/>
                    <w:bottom w:val="single" w:color="auto" w:sz="4" w:space="0"/>
                    <w:right w:val="single" w:color="auto" w:sz="4" w:space="0"/>
                  </w:tcBorders>
                  <w:noWrap w:val="0"/>
                  <w:vAlign w:val="center"/>
                </w:tcPr>
                <w:p w14:paraId="2BF21E3C">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空间布局约束</w:t>
                  </w:r>
                </w:p>
                <w:p w14:paraId="6FC8F604">
                  <w:pPr>
                    <w:keepNext w:val="0"/>
                    <w:keepLines w:val="0"/>
                    <w:widowControl/>
                    <w:suppressLineNumbers w:val="0"/>
                    <w:jc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p>
              </w:tc>
              <w:tc>
                <w:tcPr>
                  <w:tcW w:w="2700" w:type="pct"/>
                  <w:gridSpan w:val="2"/>
                  <w:tcBorders>
                    <w:top w:val="single" w:color="auto" w:sz="4" w:space="0"/>
                    <w:left w:val="single" w:color="auto" w:sz="4" w:space="0"/>
                    <w:bottom w:val="single" w:color="auto" w:sz="4" w:space="0"/>
                    <w:right w:val="single" w:color="auto" w:sz="4" w:space="0"/>
                  </w:tcBorders>
                  <w:noWrap w:val="0"/>
                  <w:vAlign w:val="center"/>
                </w:tcPr>
                <w:p w14:paraId="006FC320">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执行“1）严禁在人口密集区新建危险化学品生产项目，城镇人口密集区危险化学品生产企业应搬迁改造。2）禁止在城镇居民区、文化教育科学研究区等人口集中区域建设畜禽养殖场、养殖小区。”2.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927" w:type="pct"/>
                  <w:tcBorders>
                    <w:top w:val="single" w:color="auto" w:sz="4" w:space="0"/>
                    <w:left w:val="single" w:color="auto" w:sz="4" w:space="0"/>
                    <w:bottom w:val="single" w:color="auto" w:sz="4" w:space="0"/>
                  </w:tcBorders>
                  <w:noWrap w:val="0"/>
                  <w:vAlign w:val="center"/>
                </w:tcPr>
                <w:p w14:paraId="2737079B">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1.本项目为</w:t>
                  </w:r>
                  <w:r>
                    <w:rPr>
                      <w:rFonts w:hint="eastAsia" w:eastAsia="宋体" w:cs="Times New Roman"/>
                      <w:color w:val="000000" w:themeColor="text1"/>
                      <w:kern w:val="0"/>
                      <w:sz w:val="21"/>
                      <w:szCs w:val="21"/>
                      <w:highlight w:val="none"/>
                      <w:lang w:val="en-US" w:eastAsia="zh-CN" w:bidi="ar"/>
                      <w14:textFill>
                        <w14:solidFill>
                          <w14:schemeClr w14:val="tx1"/>
                        </w14:solidFill>
                      </w14:textFill>
                    </w:rPr>
                    <w:t>木材加工人造板</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项目，不属于危化品项目，不属于畜禽养殖场、养殖小区。</w:t>
                  </w:r>
                </w:p>
                <w:p w14:paraId="4521F89D">
                  <w:pPr>
                    <w:pStyle w:val="157"/>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2.本项目为</w:t>
                  </w:r>
                  <w:r>
                    <w:rPr>
                      <w:rFonts w:hint="eastAsia" w:eastAsia="宋体" w:cs="Times New Roman"/>
                      <w:color w:val="000000" w:themeColor="text1"/>
                      <w:kern w:val="0"/>
                      <w:sz w:val="21"/>
                      <w:szCs w:val="21"/>
                      <w:highlight w:val="none"/>
                      <w:lang w:val="en-US" w:eastAsia="zh-CN" w:bidi="ar"/>
                      <w14:textFill>
                        <w14:solidFill>
                          <w14:schemeClr w14:val="tx1"/>
                        </w14:solidFill>
                      </w14:textFill>
                    </w:rPr>
                    <w:t>木材加工人造板</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项目，不属于两高行业，不属于固废伴生水泥项目。</w:t>
                  </w:r>
                </w:p>
              </w:tc>
            </w:tr>
            <w:tr w14:paraId="3C0EBA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71" w:type="pct"/>
                  <w:tcBorders>
                    <w:top w:val="single" w:color="auto" w:sz="4" w:space="0"/>
                    <w:bottom w:val="single" w:color="auto" w:sz="4" w:space="0"/>
                    <w:right w:val="single" w:color="auto" w:sz="4" w:space="0"/>
                  </w:tcBorders>
                  <w:noWrap w:val="0"/>
                  <w:vAlign w:val="center"/>
                </w:tcPr>
                <w:p w14:paraId="44AF3250">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污染物排放管控</w:t>
                  </w:r>
                </w:p>
                <w:p w14:paraId="6B9DAB2F">
                  <w:pPr>
                    <w:keepNext w:val="0"/>
                    <w:keepLines w:val="0"/>
                    <w:widowControl/>
                    <w:suppressLineNumbers w:val="0"/>
                    <w:jc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p>
              </w:tc>
              <w:tc>
                <w:tcPr>
                  <w:tcW w:w="2700" w:type="pct"/>
                  <w:gridSpan w:val="2"/>
                  <w:tcBorders>
                    <w:top w:val="single" w:color="auto" w:sz="4" w:space="0"/>
                    <w:left w:val="single" w:color="auto" w:sz="4" w:space="0"/>
                    <w:bottom w:val="single" w:color="auto" w:sz="4" w:space="0"/>
                    <w:right w:val="single" w:color="auto" w:sz="4" w:space="0"/>
                  </w:tcBorders>
                  <w:noWrap w:val="0"/>
                  <w:vAlign w:val="center"/>
                </w:tcPr>
                <w:p w14:paraId="3FFC1604">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执行“加快65t/h以上燃煤锅炉（含电力）超低排放改造。”2.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927" w:type="pct"/>
                  <w:tcBorders>
                    <w:top w:val="single" w:color="auto" w:sz="4" w:space="0"/>
                    <w:left w:val="single" w:color="auto" w:sz="4" w:space="0"/>
                    <w:bottom w:val="single" w:color="auto" w:sz="4" w:space="0"/>
                  </w:tcBorders>
                  <w:noWrap w:val="0"/>
                  <w:vAlign w:val="center"/>
                </w:tcPr>
                <w:p w14:paraId="266A3038">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w:t>
                  </w:r>
                  <w:r>
                    <w:rPr>
                      <w:rFonts w:hint="eastAsia" w:eastAsia="宋体" w:cs="Times New Roman"/>
                      <w:color w:val="000000" w:themeColor="text1"/>
                      <w:kern w:val="0"/>
                      <w:sz w:val="21"/>
                      <w:szCs w:val="21"/>
                      <w:highlight w:val="none"/>
                      <w:lang w:val="en-US" w:eastAsia="zh-CN" w:bidi="ar"/>
                      <w14:textFill>
                        <w14:solidFill>
                          <w14:schemeClr w14:val="tx1"/>
                        </w14:solidFill>
                      </w14:textFill>
                    </w:rPr>
                    <w:t>新</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建</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1.75MW燃生物质锅炉，不属于65t/h以上燃煤锅炉。</w:t>
                  </w:r>
                </w:p>
              </w:tc>
            </w:tr>
            <w:tr w14:paraId="441D5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71" w:type="pct"/>
                  <w:tcBorders>
                    <w:top w:val="single" w:color="auto" w:sz="4" w:space="0"/>
                    <w:bottom w:val="single" w:color="auto" w:sz="4" w:space="0"/>
                    <w:right w:val="single" w:color="auto" w:sz="4" w:space="0"/>
                  </w:tcBorders>
                  <w:noWrap w:val="0"/>
                  <w:vAlign w:val="center"/>
                </w:tcPr>
                <w:p w14:paraId="17C4A236">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环境风险</w:t>
                  </w:r>
                </w:p>
                <w:p w14:paraId="68C14536">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防</w:t>
                  </w:r>
                </w:p>
                <w:p w14:paraId="1DDE4990">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控</w:t>
                  </w:r>
                </w:p>
                <w:p w14:paraId="71496A84">
                  <w:pPr>
                    <w:keepNext w:val="0"/>
                    <w:keepLines w:val="0"/>
                    <w:widowControl/>
                    <w:suppressLineNumbers w:val="0"/>
                    <w:jc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p>
              </w:tc>
              <w:tc>
                <w:tcPr>
                  <w:tcW w:w="2700" w:type="pct"/>
                  <w:gridSpan w:val="2"/>
                  <w:tcBorders>
                    <w:top w:val="single" w:color="auto" w:sz="4" w:space="0"/>
                    <w:left w:val="single" w:color="auto" w:sz="4" w:space="0"/>
                    <w:bottom w:val="single" w:color="auto" w:sz="4" w:space="0"/>
                    <w:right w:val="single" w:color="auto" w:sz="4" w:space="0"/>
                  </w:tcBorders>
                  <w:noWrap w:val="0"/>
                  <w:vAlign w:val="center"/>
                </w:tcPr>
                <w:p w14:paraId="043ABDC1">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执行“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2.大气环境布局敏感重点管控区同时执行“禁止在居民区、学校、医疗和养老机构等周边新建有色金属冶炼、焦化等行业企业。”</w:t>
                  </w:r>
                </w:p>
              </w:tc>
              <w:tc>
                <w:tcPr>
                  <w:tcW w:w="1927" w:type="pct"/>
                  <w:tcBorders>
                    <w:top w:val="single" w:color="auto" w:sz="4" w:space="0"/>
                    <w:left w:val="single" w:color="auto" w:sz="4" w:space="0"/>
                    <w:bottom w:val="single" w:color="auto" w:sz="4" w:space="0"/>
                  </w:tcBorders>
                  <w:noWrap w:val="0"/>
                  <w:vAlign w:val="center"/>
                </w:tcPr>
                <w:p w14:paraId="6DBEE869">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本项目为</w:t>
                  </w:r>
                  <w:r>
                    <w:rPr>
                      <w:rFonts w:hint="eastAsia" w:eastAsia="宋体" w:cs="Times New Roman"/>
                      <w:color w:val="000000" w:themeColor="text1"/>
                      <w:kern w:val="0"/>
                      <w:sz w:val="21"/>
                      <w:szCs w:val="21"/>
                      <w:highlight w:val="none"/>
                      <w:lang w:val="en-US" w:eastAsia="zh-CN" w:bidi="ar"/>
                      <w14:textFill>
                        <w14:solidFill>
                          <w14:schemeClr w14:val="tx1"/>
                        </w14:solidFill>
                      </w14:textFill>
                    </w:rPr>
                    <w:t>木材加工人造板</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项目，不属于化工园区，不属于有色金属冶炼、焦化等行业</w:t>
                  </w:r>
                  <w:r>
                    <w:rPr>
                      <w:rFonts w:hint="eastAsia" w:eastAsia="宋体" w:cs="Times New Roman"/>
                      <w:color w:val="000000" w:themeColor="text1"/>
                      <w:kern w:val="0"/>
                      <w:sz w:val="21"/>
                      <w:szCs w:val="21"/>
                      <w:highlight w:val="none"/>
                      <w:lang w:val="en-US" w:eastAsia="zh-CN" w:bidi="ar"/>
                      <w14:textFill>
                        <w14:solidFill>
                          <w14:schemeClr w14:val="tx1"/>
                        </w14:solidFill>
                      </w14:textFill>
                    </w:rPr>
                    <w:t>。</w:t>
                  </w:r>
                </w:p>
              </w:tc>
            </w:tr>
            <w:tr w14:paraId="5A588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71" w:type="pct"/>
                  <w:tcBorders>
                    <w:top w:val="single" w:color="auto" w:sz="4" w:space="0"/>
                    <w:bottom w:val="single" w:color="auto" w:sz="4" w:space="0"/>
                    <w:right w:val="single" w:color="auto" w:sz="4" w:space="0"/>
                  </w:tcBorders>
                  <w:noWrap w:val="0"/>
                  <w:vAlign w:val="center"/>
                </w:tcPr>
                <w:p w14:paraId="40BFEC0F">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资源开发效率要求</w:t>
                  </w:r>
                </w:p>
                <w:p w14:paraId="545A0C15">
                  <w:pPr>
                    <w:keepNext w:val="0"/>
                    <w:keepLines w:val="0"/>
                    <w:widowControl/>
                    <w:suppressLineNumbers w:val="0"/>
                    <w:jc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p>
              </w:tc>
              <w:tc>
                <w:tcPr>
                  <w:tcW w:w="2700" w:type="pct"/>
                  <w:gridSpan w:val="2"/>
                  <w:tcBorders>
                    <w:top w:val="single" w:color="auto" w:sz="4" w:space="0"/>
                    <w:left w:val="single" w:color="auto" w:sz="4" w:space="0"/>
                    <w:bottom w:val="single" w:color="auto" w:sz="4" w:space="0"/>
                    <w:right w:val="single" w:color="auto" w:sz="4" w:space="0"/>
                  </w:tcBorders>
                  <w:noWrap w:val="0"/>
                  <w:vAlign w:val="center"/>
                </w:tcPr>
                <w:p w14:paraId="51CE385A">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执行“1）推进污水再生利用设施建设。2）公共建筑必须采用节水器具，限期淘汰公共建筑中不符合节水标准的水嘴、便器水箱等生活用水器具。”2.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927" w:type="pct"/>
                  <w:tcBorders>
                    <w:top w:val="single" w:color="auto" w:sz="4" w:space="0"/>
                    <w:left w:val="single" w:color="auto" w:sz="4" w:space="0"/>
                    <w:bottom w:val="single" w:color="auto" w:sz="4" w:space="0"/>
                  </w:tcBorders>
                  <w:noWrap w:val="0"/>
                  <w:vAlign w:val="center"/>
                </w:tcPr>
                <w:p w14:paraId="410ADC8C">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1本项目</w:t>
                  </w:r>
                  <w:r>
                    <w:rPr>
                      <w:rFonts w:hint="eastAsia" w:eastAsia="宋体" w:cs="Times New Roman"/>
                      <w:color w:val="000000" w:themeColor="text1"/>
                      <w:kern w:val="0"/>
                      <w:sz w:val="21"/>
                      <w:szCs w:val="21"/>
                      <w:highlight w:val="none"/>
                      <w:lang w:val="en-US" w:eastAsia="zh-CN" w:bidi="ar"/>
                      <w14:textFill>
                        <w14:solidFill>
                          <w14:schemeClr w14:val="tx1"/>
                        </w14:solidFill>
                      </w14:textFill>
                    </w:rPr>
                    <w:t>无生产废水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eastAsia="宋体" w:cs="Times New Roman"/>
                      <w:color w:val="000000" w:themeColor="text1"/>
                      <w:kern w:val="0"/>
                      <w:sz w:val="21"/>
                      <w:szCs w:val="21"/>
                      <w:highlight w:val="none"/>
                      <w:lang w:val="en-US" w:eastAsia="zh-CN" w:bidi="ar"/>
                      <w14:textFill>
                        <w14:solidFill>
                          <w14:schemeClr w14:val="tx1"/>
                        </w14:solidFill>
                      </w14:textFill>
                    </w:rPr>
                    <w:t>无</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外排。</w:t>
                  </w:r>
                </w:p>
                <w:p w14:paraId="008087C8">
                  <w:pPr>
                    <w:pStyle w:val="157"/>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2本项目燃料为生物质压块燃料。</w:t>
                  </w:r>
                </w:p>
              </w:tc>
            </w:tr>
          </w:tbl>
          <w:p w14:paraId="7C770571">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因此，本项目符合生态环境分区管控相关要求。</w:t>
            </w:r>
          </w:p>
          <w:p w14:paraId="06F155D7">
            <w:pPr>
              <w:spacing w:line="360" w:lineRule="auto"/>
              <w:ind w:firstLine="482" w:firstLineChars="200"/>
              <w:rPr>
                <w:rFonts w:hint="default" w:ascii="Times New Roman" w:hAnsi="Times New Roman" w:cs="Times New Roman"/>
                <w:b/>
                <w:color w:val="auto"/>
                <w:sz w:val="24"/>
                <w:highlight w:val="none"/>
              </w:rPr>
            </w:pPr>
            <w:r>
              <w:rPr>
                <w:rFonts w:hint="eastAsia" w:cs="Times New Roman"/>
                <w:b/>
                <w:color w:val="auto"/>
                <w:sz w:val="24"/>
                <w:highlight w:val="none"/>
                <w:lang w:val="en-US" w:eastAsia="zh-CN"/>
              </w:rPr>
              <w:t>4</w:t>
            </w:r>
            <w:r>
              <w:rPr>
                <w:rFonts w:hint="default" w:ascii="Times New Roman" w:hAnsi="Times New Roman" w:cs="Times New Roman"/>
                <w:b/>
                <w:color w:val="auto"/>
                <w:sz w:val="24"/>
                <w:highlight w:val="none"/>
              </w:rPr>
              <w:t>、</w:t>
            </w:r>
            <w:r>
              <w:rPr>
                <w:rFonts w:hint="eastAsia" w:ascii="Times New Roman" w:hAnsi="Times New Roman" w:cs="Times New Roman"/>
                <w:b/>
                <w:color w:val="auto"/>
                <w:sz w:val="24"/>
                <w:highlight w:val="none"/>
                <w:lang w:eastAsia="zh-CN"/>
              </w:rPr>
              <w:t>项目</w:t>
            </w:r>
            <w:r>
              <w:rPr>
                <w:rFonts w:hint="default" w:ascii="Times New Roman" w:hAnsi="Times New Roman" w:cs="Times New Roman"/>
                <w:b/>
                <w:color w:val="auto"/>
                <w:sz w:val="24"/>
                <w:highlight w:val="none"/>
              </w:rPr>
              <w:t>与相关规划符合性分析</w:t>
            </w:r>
          </w:p>
          <w:p w14:paraId="588B1438">
            <w:pPr>
              <w:spacing w:line="360" w:lineRule="auto"/>
              <w:ind w:firstLine="480" w:firstLineChars="200"/>
              <w:rPr>
                <w:rFonts w:hint="default" w:ascii="Times New Roman" w:hAnsi="Times New Roman" w:eastAsia="宋体" w:cs="Times New Roman"/>
                <w:b w:val="0"/>
                <w:bCs/>
                <w:color w:val="auto"/>
                <w:kern w:val="2"/>
                <w:sz w:val="24"/>
                <w:szCs w:val="24"/>
                <w:highlight w:val="none"/>
                <w:u w:val="none"/>
                <w:lang w:val="en-US" w:eastAsia="zh-CN" w:bidi="ar-SA"/>
              </w:rPr>
            </w:pPr>
            <w:r>
              <w:rPr>
                <w:rFonts w:hint="default" w:ascii="Times New Roman" w:hAnsi="Times New Roman" w:cs="Times New Roman"/>
                <w:b w:val="0"/>
                <w:bCs/>
                <w:color w:val="auto"/>
                <w:sz w:val="24"/>
                <w:highlight w:val="none"/>
              </w:rPr>
              <w:t>（1）</w:t>
            </w:r>
            <w:r>
              <w:rPr>
                <w:rFonts w:hint="default" w:cs="Times New Roman"/>
                <w:b w:val="0"/>
                <w:bCs/>
                <w:color w:val="auto"/>
                <w:sz w:val="24"/>
                <w:highlight w:val="none"/>
                <w:lang w:val="en-US" w:eastAsia="zh-CN"/>
              </w:rPr>
              <w:t>与《空气质量持续改善行动计划》</w:t>
            </w:r>
            <w:r>
              <w:rPr>
                <w:rFonts w:hint="eastAsia" w:cs="Times New Roman"/>
                <w:b w:val="0"/>
                <w:bCs/>
                <w:color w:val="auto"/>
                <w:sz w:val="24"/>
                <w:highlight w:val="none"/>
                <w:lang w:val="en-US" w:eastAsia="zh-CN"/>
              </w:rPr>
              <w:t>（</w:t>
            </w:r>
            <w:r>
              <w:rPr>
                <w:rFonts w:hint="default" w:cs="Times New Roman"/>
                <w:b w:val="0"/>
                <w:bCs/>
                <w:color w:val="auto"/>
                <w:sz w:val="24"/>
                <w:highlight w:val="none"/>
                <w:lang w:val="en-US" w:eastAsia="zh-CN"/>
              </w:rPr>
              <w:t>国发〔</w:t>
            </w:r>
            <w:r>
              <w:rPr>
                <w:rFonts w:hint="default" w:ascii="Times New Roman" w:hAnsi="Times New Roman" w:eastAsia="宋体" w:cs="Times New Roman"/>
                <w:b w:val="0"/>
                <w:bCs/>
                <w:color w:val="auto"/>
                <w:kern w:val="2"/>
                <w:sz w:val="24"/>
                <w:szCs w:val="24"/>
                <w:highlight w:val="none"/>
                <w:u w:val="none"/>
                <w:lang w:val="en-US" w:eastAsia="zh-CN" w:bidi="ar-SA"/>
              </w:rPr>
              <w:t>2023〕24号</w:t>
            </w:r>
            <w:r>
              <w:rPr>
                <w:rFonts w:hint="eastAsia" w:ascii="Times New Roman" w:hAnsi="Times New Roman" w:eastAsia="宋体" w:cs="Times New Roman"/>
                <w:b w:val="0"/>
                <w:bCs/>
                <w:color w:val="auto"/>
                <w:kern w:val="2"/>
                <w:sz w:val="24"/>
                <w:szCs w:val="24"/>
                <w:highlight w:val="none"/>
                <w:u w:val="none"/>
                <w:lang w:val="en-US" w:eastAsia="zh-CN" w:bidi="ar-SA"/>
              </w:rPr>
              <w:t>）的符合性</w:t>
            </w:r>
          </w:p>
          <w:p w14:paraId="5F2B043F">
            <w:pPr>
              <w:autoSpaceDE w:val="0"/>
              <w:autoSpaceDN w:val="0"/>
              <w:adjustRightInd w:val="0"/>
              <w:snapToGrid w:val="0"/>
              <w:spacing w:line="360" w:lineRule="auto"/>
              <w:ind w:firstLine="480" w:firstLineChars="200"/>
              <w:jc w:val="left"/>
              <w:rPr>
                <w:rFonts w:hint="eastAsia" w:ascii="Times New Roman" w:hAnsi="Times New Roman" w:eastAsia="宋体" w:cs="Times New Roman"/>
                <w:b w:val="0"/>
                <w:bCs/>
                <w:color w:val="auto"/>
                <w:kern w:val="2"/>
                <w:sz w:val="24"/>
                <w:szCs w:val="24"/>
                <w:highlight w:val="none"/>
                <w:u w:val="none"/>
                <w:lang w:val="en-US" w:eastAsia="zh-CN" w:bidi="ar-SA"/>
              </w:rPr>
            </w:pPr>
            <w:r>
              <w:rPr>
                <w:rFonts w:hint="eastAsia" w:ascii="Times New Roman" w:hAnsi="Times New Roman" w:eastAsia="宋体" w:cs="Times New Roman"/>
                <w:b w:val="0"/>
                <w:bCs/>
                <w:color w:val="auto"/>
                <w:kern w:val="2"/>
                <w:sz w:val="24"/>
                <w:szCs w:val="24"/>
                <w:highlight w:val="none"/>
                <w:u w:val="none"/>
                <w:lang w:val="en-US" w:eastAsia="zh-CN" w:bidi="ar-SA"/>
              </w:rPr>
              <w:t>计划指出：推进重点行业污染深度治理。确保工业企业全面稳定达标排放。推进玻璃、石灰、矿棉、有色等行业深度治理。全面开展锅炉和工业炉窑简易低效污染治理设施排查，通过清洁能源替代、升级改造、整合退出等方式实施分类处置。推进燃气锅炉低氮燃烧改造。生物质锅炉采用专用锅炉，配套布袋等高效除尘设施，禁止掺烧煤炭、生活垃圾等其他物料。推进整合小型生物质锅炉，积极引导城市建成区内生物质锅炉（含电力）超低排放改造。强化治污设施运行维护，减少非正常工况排放。重点涉气企业逐步取消烟气和含VOCs废气旁路，因安全生产需要无法取消的，安装在线监控系统及备用处置设施。</w:t>
            </w:r>
          </w:p>
          <w:p w14:paraId="20360CF0">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本项目建1台</w:t>
            </w:r>
            <w:r>
              <w:rPr>
                <w:rFonts w:hint="eastAsia" w:cs="Times New Roman"/>
                <w:color w:val="auto"/>
                <w:kern w:val="0"/>
                <w:sz w:val="24"/>
                <w:highlight w:val="none"/>
                <w:lang w:val="en-US" w:eastAsia="zh-CN"/>
              </w:rPr>
              <w:t>1.75MW燃生物质导热油</w:t>
            </w:r>
            <w:r>
              <w:rPr>
                <w:rFonts w:hint="eastAsia" w:ascii="Times New Roman" w:hAnsi="Times New Roman" w:eastAsia="宋体" w:cs="Times New Roman"/>
                <w:color w:val="auto"/>
                <w:kern w:val="0"/>
                <w:sz w:val="24"/>
                <w:highlight w:val="none"/>
                <w:lang w:val="en-US" w:eastAsia="zh-CN"/>
              </w:rPr>
              <w:t>锅炉</w:t>
            </w:r>
            <w:r>
              <w:rPr>
                <w:rFonts w:hint="eastAsia" w:cs="Times New Roman"/>
                <w:color w:val="auto"/>
                <w:kern w:val="0"/>
                <w:sz w:val="24"/>
                <w:highlight w:val="none"/>
                <w:lang w:val="en-US" w:eastAsia="zh-CN"/>
              </w:rPr>
              <w:t>，</w:t>
            </w:r>
            <w:r>
              <w:rPr>
                <w:rFonts w:hint="eastAsia" w:ascii="Times New Roman" w:hAnsi="Times New Roman" w:eastAsia="宋体" w:cs="Times New Roman"/>
                <w:b w:val="0"/>
                <w:bCs/>
                <w:color w:val="auto"/>
                <w:kern w:val="2"/>
                <w:sz w:val="24"/>
                <w:szCs w:val="24"/>
                <w:highlight w:val="none"/>
                <w:u w:val="none"/>
                <w:lang w:val="en-US" w:eastAsia="zh-CN" w:bidi="ar-SA"/>
              </w:rPr>
              <w:t>生物质锅炉采用专用锅炉，配套布袋等高效除尘设施</w:t>
            </w:r>
            <w:r>
              <w:rPr>
                <w:rFonts w:hint="eastAsia" w:cs="Times New Roman"/>
                <w:b w:val="0"/>
                <w:bCs/>
                <w:color w:val="auto"/>
                <w:kern w:val="2"/>
                <w:sz w:val="24"/>
                <w:szCs w:val="24"/>
                <w:highlight w:val="none"/>
                <w:u w:val="none"/>
                <w:lang w:val="en-US" w:eastAsia="zh-CN" w:bidi="ar-SA"/>
              </w:rPr>
              <w:t>，产生的废气能够达标排放</w:t>
            </w:r>
            <w:r>
              <w:rPr>
                <w:rFonts w:hint="eastAsia" w:ascii="Times New Roman" w:hAnsi="Times New Roman" w:eastAsia="宋体" w:cs="Times New Roman"/>
                <w:color w:val="auto"/>
                <w:kern w:val="0"/>
                <w:sz w:val="24"/>
                <w:highlight w:val="none"/>
                <w:lang w:val="en-US" w:eastAsia="zh-CN"/>
              </w:rPr>
              <w:t>。项目建成投产后，</w:t>
            </w:r>
            <w:r>
              <w:rPr>
                <w:rFonts w:hint="eastAsia" w:cs="Times New Roman"/>
                <w:color w:val="auto"/>
                <w:kern w:val="0"/>
                <w:sz w:val="24"/>
                <w:highlight w:val="none"/>
                <w:lang w:val="en-US" w:eastAsia="zh-CN"/>
              </w:rPr>
              <w:t>能够满足人造板行业要求</w:t>
            </w:r>
            <w:r>
              <w:rPr>
                <w:rFonts w:hint="eastAsia" w:ascii="Times New Roman" w:hAnsi="Times New Roman" w:eastAsia="宋体" w:cs="Times New Roman"/>
                <w:color w:val="auto"/>
                <w:kern w:val="0"/>
                <w:sz w:val="24"/>
                <w:highlight w:val="none"/>
                <w:lang w:val="en-US" w:eastAsia="zh-CN"/>
              </w:rPr>
              <w:t>。</w:t>
            </w:r>
          </w:p>
          <w:p w14:paraId="306ED5A0">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综上，本项目的建设符合文件要求。</w:t>
            </w:r>
          </w:p>
          <w:p w14:paraId="7A77D386">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auto"/>
                <w:kern w:val="0"/>
                <w:sz w:val="24"/>
                <w:highlight w:val="none"/>
                <w:lang w:eastAsia="zh-CN"/>
              </w:rPr>
            </w:pPr>
            <w:r>
              <w:rPr>
                <w:rFonts w:hint="eastAsia" w:ascii="Times New Roman" w:hAnsi="Times New Roman" w:eastAsia="宋体" w:cs="Times New Roman"/>
                <w:color w:val="auto"/>
                <w:kern w:val="0"/>
                <w:sz w:val="24"/>
                <w:highlight w:val="none"/>
                <w:lang w:eastAsia="zh-CN"/>
              </w:rPr>
              <w:t>（</w:t>
            </w:r>
            <w:r>
              <w:rPr>
                <w:rFonts w:hint="eastAsia" w:ascii="Times New Roman" w:hAnsi="Times New Roman" w:eastAsia="宋体" w:cs="Times New Roman"/>
                <w:color w:val="auto"/>
                <w:kern w:val="0"/>
                <w:sz w:val="24"/>
                <w:highlight w:val="none"/>
                <w:lang w:val="en-US" w:eastAsia="zh-CN"/>
              </w:rPr>
              <w:t>2</w:t>
            </w:r>
            <w:r>
              <w:rPr>
                <w:rFonts w:hint="eastAsia" w:ascii="Times New Roman" w:hAnsi="Times New Roman" w:eastAsia="宋体" w:cs="Times New Roman"/>
                <w:color w:val="auto"/>
                <w:kern w:val="0"/>
                <w:sz w:val="24"/>
                <w:highlight w:val="none"/>
                <w:lang w:eastAsia="zh-CN"/>
              </w:rPr>
              <w:t>）与《黑龙江省大气污染防治条例》（2018修订）符合性分析</w:t>
            </w:r>
          </w:p>
          <w:p w14:paraId="4E4D4F5A">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第十一条</w:t>
            </w:r>
            <w:r>
              <w:rPr>
                <w:rFonts w:hint="eastAsia"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向大气排放污染物的企业事业单位和其他生产经营者，应当配套建设大气污染防治设施。配套建设的大气污染防治设施，应当与主体工程同时设计、同时施工、同时投产使用，不得擅自拆除或者闲置。</w:t>
            </w:r>
          </w:p>
          <w:p w14:paraId="1BBEFBEC">
            <w:pPr>
              <w:autoSpaceDE w:val="0"/>
              <w:autoSpaceDN w:val="0"/>
              <w:adjustRightInd w:val="0"/>
              <w:snapToGrid w:val="0"/>
              <w:spacing w:line="360" w:lineRule="auto"/>
              <w:ind w:firstLine="480" w:firstLineChars="200"/>
              <w:jc w:val="both"/>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val="en-US" w:eastAsia="zh-CN"/>
              </w:rPr>
              <w:t>本项目建1台</w:t>
            </w:r>
            <w:r>
              <w:rPr>
                <w:rFonts w:hint="eastAsia" w:cs="Times New Roman"/>
                <w:color w:val="auto"/>
                <w:kern w:val="0"/>
                <w:sz w:val="24"/>
                <w:highlight w:val="none"/>
                <w:lang w:val="en-US" w:eastAsia="zh-CN"/>
              </w:rPr>
              <w:t>1.75MW燃生物质导热油</w:t>
            </w:r>
            <w:r>
              <w:rPr>
                <w:rFonts w:hint="eastAsia" w:ascii="Times New Roman" w:hAnsi="Times New Roman" w:eastAsia="宋体" w:cs="Times New Roman"/>
                <w:color w:val="auto"/>
                <w:kern w:val="0"/>
                <w:sz w:val="24"/>
                <w:highlight w:val="none"/>
                <w:lang w:val="en-US" w:eastAsia="zh-CN"/>
              </w:rPr>
              <w:t>锅炉</w:t>
            </w:r>
            <w:r>
              <w:rPr>
                <w:rFonts w:hint="eastAsia" w:cs="Times New Roman"/>
                <w:color w:val="auto"/>
                <w:kern w:val="0"/>
                <w:sz w:val="24"/>
                <w:highlight w:val="none"/>
                <w:lang w:val="en-US" w:eastAsia="zh-CN"/>
              </w:rPr>
              <w:t>，</w:t>
            </w:r>
            <w:r>
              <w:rPr>
                <w:rFonts w:hint="eastAsia" w:ascii="Times New Roman" w:hAnsi="Times New Roman" w:eastAsia="宋体" w:cs="Times New Roman"/>
                <w:b w:val="0"/>
                <w:bCs/>
                <w:color w:val="auto"/>
                <w:kern w:val="2"/>
                <w:sz w:val="24"/>
                <w:szCs w:val="24"/>
                <w:highlight w:val="none"/>
                <w:u w:val="none"/>
                <w:lang w:val="en-US" w:eastAsia="zh-CN" w:bidi="ar-SA"/>
              </w:rPr>
              <w:t>生物质锅炉采用专用锅炉，配套布袋等高效除尘设施</w:t>
            </w:r>
            <w:r>
              <w:rPr>
                <w:rFonts w:hint="eastAsia" w:cs="Times New Roman"/>
                <w:b w:val="0"/>
                <w:bCs/>
                <w:color w:val="auto"/>
                <w:kern w:val="2"/>
                <w:sz w:val="24"/>
                <w:szCs w:val="24"/>
                <w:highlight w:val="none"/>
                <w:u w:val="none"/>
                <w:lang w:val="en-US" w:eastAsia="zh-CN" w:bidi="ar-SA"/>
              </w:rPr>
              <w:t>，</w:t>
            </w:r>
            <w:r>
              <w:rPr>
                <w:rFonts w:hint="eastAsia" w:ascii="Times New Roman" w:hAnsi="Times New Roman" w:eastAsia="宋体" w:cs="Times New Roman"/>
                <w:color w:val="auto"/>
                <w:kern w:val="0"/>
                <w:sz w:val="24"/>
                <w:highlight w:val="none"/>
                <w:lang w:val="en-US" w:eastAsia="zh-CN"/>
              </w:rPr>
              <w:t>锅炉产生的烟气经布袋除尘器处理后由1根</w:t>
            </w:r>
            <w:r>
              <w:rPr>
                <w:rFonts w:hint="eastAsia" w:cs="Times New Roman"/>
                <w:color w:val="auto"/>
                <w:kern w:val="0"/>
                <w:sz w:val="24"/>
                <w:highlight w:val="none"/>
                <w:lang w:val="en-US" w:eastAsia="zh-CN"/>
              </w:rPr>
              <w:t>30</w:t>
            </w:r>
            <w:r>
              <w:rPr>
                <w:rFonts w:hint="eastAsia" w:ascii="Times New Roman" w:hAnsi="Times New Roman" w:eastAsia="宋体" w:cs="Times New Roman"/>
                <w:color w:val="auto"/>
                <w:kern w:val="0"/>
                <w:sz w:val="24"/>
                <w:highlight w:val="none"/>
                <w:lang w:val="en-US" w:eastAsia="zh-CN"/>
              </w:rPr>
              <w:t>m高排气筒排放。采取以上防治措施，</w:t>
            </w:r>
            <w:r>
              <w:rPr>
                <w:rFonts w:hint="eastAsia" w:cs="Times New Roman"/>
                <w:color w:val="auto"/>
                <w:kern w:val="0"/>
                <w:sz w:val="24"/>
                <w:highlight w:val="none"/>
                <w:lang w:val="en-US" w:eastAsia="zh-CN"/>
              </w:rPr>
              <w:t>烟</w:t>
            </w:r>
            <w:r>
              <w:rPr>
                <w:rFonts w:hint="eastAsia" w:ascii="Times New Roman" w:hAnsi="Times New Roman" w:eastAsia="宋体" w:cs="Times New Roman"/>
                <w:color w:val="auto"/>
                <w:kern w:val="0"/>
                <w:sz w:val="24"/>
                <w:highlight w:val="none"/>
                <w:lang w:val="en-US" w:eastAsia="zh-CN"/>
              </w:rPr>
              <w:t>气能够满足《锅炉大气污染物排放标准》（GB13271-2014）表2限值要求，与《黑龙江省大气污染防治条例》（2018修订）是符合的</w:t>
            </w:r>
            <w:r>
              <w:rPr>
                <w:rFonts w:hint="default" w:ascii="Times New Roman" w:hAnsi="Times New Roman" w:eastAsia="宋体" w:cs="Times New Roman"/>
                <w:color w:val="auto"/>
                <w:kern w:val="0"/>
                <w:sz w:val="24"/>
                <w:highlight w:val="none"/>
              </w:rPr>
              <w:t>。</w:t>
            </w:r>
          </w:p>
          <w:p w14:paraId="1A2553D5">
            <w:pPr>
              <w:numPr>
                <w:ilvl w:val="0"/>
                <w:numId w:val="3"/>
              </w:numPr>
              <w:spacing w:line="360" w:lineRule="auto"/>
              <w:ind w:firstLine="480" w:firstLineChars="200"/>
              <w:rPr>
                <w:rFonts w:hint="eastAsia" w:ascii="Times New Roman" w:hAnsi="Times New Roman" w:cs="Times New Roman"/>
                <w:b w:val="0"/>
                <w:bCs/>
                <w:color w:val="auto"/>
                <w:sz w:val="24"/>
                <w:highlight w:val="none"/>
                <w:lang w:val="en-US" w:eastAsia="zh-CN"/>
              </w:rPr>
            </w:pPr>
            <w:r>
              <w:rPr>
                <w:rFonts w:hint="eastAsia" w:cs="Times New Roman"/>
                <w:color w:val="auto"/>
                <w:sz w:val="24"/>
                <w:highlight w:val="none"/>
                <w:lang w:val="en-US" w:eastAsia="zh-CN"/>
              </w:rPr>
              <w:t>与</w:t>
            </w:r>
            <w:r>
              <w:rPr>
                <w:rFonts w:hint="eastAsia" w:cs="Times New Roman"/>
                <w:color w:val="auto"/>
                <w:sz w:val="22"/>
                <w:szCs w:val="22"/>
                <w:highlight w:val="none"/>
                <w:lang w:val="en-US" w:eastAsia="zh-CN"/>
              </w:rPr>
              <w:t>《</w:t>
            </w:r>
            <w:r>
              <w:rPr>
                <w:rFonts w:hint="eastAsia" w:cs="Times New Roman"/>
                <w:b w:val="0"/>
                <w:bCs/>
                <w:color w:val="auto"/>
                <w:sz w:val="24"/>
                <w:highlight w:val="none"/>
                <w:lang w:val="en-US" w:eastAsia="zh-CN"/>
              </w:rPr>
              <w:t>黑龙江省</w:t>
            </w:r>
            <w:r>
              <w:rPr>
                <w:rFonts w:hint="default" w:ascii="Times New Roman" w:hAnsi="Times New Roman" w:cs="Times New Roman"/>
                <w:b w:val="0"/>
                <w:bCs/>
                <w:color w:val="auto"/>
                <w:sz w:val="24"/>
                <w:highlight w:val="none"/>
              </w:rPr>
              <w:t>空气质量持续改善行动计划</w:t>
            </w:r>
            <w:r>
              <w:rPr>
                <w:rFonts w:hint="eastAsia" w:cs="Times New Roman"/>
                <w:color w:val="auto"/>
                <w:sz w:val="22"/>
                <w:szCs w:val="22"/>
                <w:highlight w:val="none"/>
                <w:lang w:val="en-US" w:eastAsia="zh-CN"/>
              </w:rPr>
              <w:t>》（</w:t>
            </w:r>
            <w:r>
              <w:rPr>
                <w:rFonts w:hint="eastAsia" w:ascii="Times New Roman" w:hAnsi="Times New Roman" w:eastAsia="宋体" w:cs="Times New Roman"/>
                <w:b w:val="0"/>
                <w:bCs/>
                <w:color w:val="auto"/>
                <w:sz w:val="24"/>
                <w:highlight w:val="none"/>
                <w:lang w:val="en-US" w:eastAsia="zh-CN"/>
              </w:rPr>
              <w:t>黑政发</w:t>
            </w:r>
            <w:r>
              <w:rPr>
                <w:rFonts w:hint="default" w:ascii="Times New Roman" w:hAnsi="Times New Roman" w:cs="Times New Roman"/>
                <w:b w:val="0"/>
                <w:bCs/>
                <w:color w:val="auto"/>
                <w:sz w:val="24"/>
                <w:highlight w:val="none"/>
              </w:rPr>
              <w:t>〔2023〕</w:t>
            </w:r>
            <w:r>
              <w:rPr>
                <w:rFonts w:hint="eastAsia" w:cs="Times New Roman"/>
                <w:b w:val="0"/>
                <w:bCs/>
                <w:color w:val="auto"/>
                <w:sz w:val="24"/>
                <w:highlight w:val="none"/>
                <w:lang w:val="en-US" w:eastAsia="zh-CN"/>
              </w:rPr>
              <w:t>19</w:t>
            </w:r>
            <w:r>
              <w:rPr>
                <w:rFonts w:hint="default" w:ascii="Times New Roman" w:hAnsi="Times New Roman" w:cs="Times New Roman"/>
                <w:b w:val="0"/>
                <w:bCs/>
                <w:color w:val="auto"/>
                <w:sz w:val="24"/>
                <w:highlight w:val="none"/>
              </w:rPr>
              <w:t>号</w:t>
            </w:r>
            <w:r>
              <w:rPr>
                <w:rFonts w:hint="eastAsia" w:ascii="Times New Roman" w:hAnsi="Times New Roman" w:cs="Times New Roman"/>
                <w:b w:val="0"/>
                <w:bCs/>
                <w:color w:val="auto"/>
                <w:sz w:val="24"/>
                <w:highlight w:val="none"/>
                <w:lang w:eastAsia="zh-CN"/>
              </w:rPr>
              <w:t>）</w:t>
            </w:r>
            <w:r>
              <w:rPr>
                <w:rFonts w:hint="eastAsia" w:ascii="Times New Roman" w:hAnsi="Times New Roman" w:cs="Times New Roman"/>
                <w:b w:val="0"/>
                <w:bCs/>
                <w:color w:val="auto"/>
                <w:sz w:val="24"/>
                <w:highlight w:val="none"/>
                <w:lang w:val="en-US" w:eastAsia="zh-CN"/>
              </w:rPr>
              <w:t>的符合性</w:t>
            </w:r>
            <w:r>
              <w:rPr>
                <w:rFonts w:hint="eastAsia" w:cs="Times New Roman"/>
                <w:b w:val="0"/>
                <w:bCs/>
                <w:color w:val="auto"/>
                <w:sz w:val="24"/>
                <w:highlight w:val="none"/>
                <w:lang w:val="en-US" w:eastAsia="zh-CN"/>
              </w:rPr>
              <w:t>分析</w:t>
            </w:r>
          </w:p>
          <w:p w14:paraId="1884EC93">
            <w:pPr>
              <w:numPr>
                <w:ilvl w:val="0"/>
                <w:numId w:val="0"/>
              </w:numPr>
              <w:spacing w:line="360" w:lineRule="auto"/>
              <w:ind w:firstLine="480" w:firstLineChars="200"/>
              <w:rPr>
                <w:rFonts w:hint="eastAsia" w:ascii="Times New Roman" w:hAnsi="Times New Roman" w:cs="Times New Roman"/>
                <w:b w:val="0"/>
                <w:bCs/>
                <w:color w:val="auto"/>
                <w:sz w:val="24"/>
                <w:highlight w:val="none"/>
                <w:lang w:val="en-US" w:eastAsia="zh-CN"/>
              </w:rPr>
            </w:pPr>
            <w:r>
              <w:rPr>
                <w:rFonts w:hint="eastAsia" w:cs="Times New Roman"/>
                <w:b w:val="0"/>
                <w:bCs/>
                <w:color w:val="auto"/>
                <w:sz w:val="24"/>
                <w:highlight w:val="none"/>
                <w:lang w:val="en-US" w:eastAsia="zh-CN"/>
              </w:rPr>
              <w:t>计划中指出：加强工业企业监管，确保全面稳定达标排放。生物质锅炉采用专用锅炉，配套布袋等高效除尘设施，禁止掺烧煤炭、生活垃圾等其他物料。推进整合小型生物质锅炉，积极引导城市建成区内生物质锅炉（含电力）超低排放改造。强化治污设施运行维护，减少非正常工况排放。</w:t>
            </w:r>
          </w:p>
          <w:p w14:paraId="25FE9A5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本项目建1台</w:t>
            </w:r>
            <w:r>
              <w:rPr>
                <w:rFonts w:hint="eastAsia" w:cs="Times New Roman"/>
                <w:color w:val="auto"/>
                <w:kern w:val="0"/>
                <w:sz w:val="24"/>
                <w:highlight w:val="none"/>
                <w:lang w:val="en-US" w:eastAsia="zh-CN"/>
              </w:rPr>
              <w:t>1.75MW燃生物质导热油</w:t>
            </w:r>
            <w:r>
              <w:rPr>
                <w:rFonts w:hint="eastAsia" w:ascii="Times New Roman" w:hAnsi="Times New Roman" w:eastAsia="宋体" w:cs="Times New Roman"/>
                <w:color w:val="auto"/>
                <w:kern w:val="0"/>
                <w:sz w:val="24"/>
                <w:highlight w:val="none"/>
                <w:lang w:val="en-US" w:eastAsia="zh-CN"/>
              </w:rPr>
              <w:t>锅炉</w:t>
            </w:r>
            <w:r>
              <w:rPr>
                <w:rFonts w:hint="eastAsia" w:cs="Times New Roman"/>
                <w:color w:val="auto"/>
                <w:kern w:val="0"/>
                <w:sz w:val="24"/>
                <w:highlight w:val="none"/>
                <w:lang w:val="en-US" w:eastAsia="zh-CN"/>
              </w:rPr>
              <w:t>，</w:t>
            </w:r>
            <w:r>
              <w:rPr>
                <w:rFonts w:hint="eastAsia" w:ascii="Times New Roman" w:hAnsi="Times New Roman" w:eastAsia="宋体" w:cs="Times New Roman"/>
                <w:b w:val="0"/>
                <w:bCs/>
                <w:color w:val="auto"/>
                <w:kern w:val="2"/>
                <w:sz w:val="24"/>
                <w:szCs w:val="24"/>
                <w:highlight w:val="none"/>
                <w:u w:val="none"/>
                <w:lang w:val="en-US" w:eastAsia="zh-CN" w:bidi="ar-SA"/>
              </w:rPr>
              <w:t>生物质锅炉采用专用锅炉，配套布袋等高效除尘设施</w:t>
            </w:r>
            <w:r>
              <w:rPr>
                <w:rFonts w:hint="eastAsia" w:cs="Times New Roman"/>
                <w:b w:val="0"/>
                <w:bCs/>
                <w:color w:val="auto"/>
                <w:kern w:val="2"/>
                <w:sz w:val="24"/>
                <w:szCs w:val="24"/>
                <w:highlight w:val="none"/>
                <w:u w:val="none"/>
                <w:lang w:val="en-US" w:eastAsia="zh-CN" w:bidi="ar-SA"/>
              </w:rPr>
              <w:t>，</w:t>
            </w:r>
            <w:r>
              <w:rPr>
                <w:rFonts w:hint="eastAsia" w:cs="Times New Roman"/>
                <w:color w:val="auto"/>
                <w:kern w:val="0"/>
                <w:sz w:val="24"/>
                <w:highlight w:val="none"/>
                <w:lang w:val="en-US" w:eastAsia="zh-CN"/>
              </w:rPr>
              <w:t>符合计划中</w:t>
            </w:r>
            <w:r>
              <w:rPr>
                <w:rFonts w:hint="eastAsia" w:cs="Times New Roman"/>
                <w:b w:val="0"/>
                <w:bCs/>
                <w:color w:val="auto"/>
                <w:sz w:val="24"/>
                <w:highlight w:val="none"/>
                <w:lang w:val="en-US" w:eastAsia="zh-CN"/>
              </w:rPr>
              <w:t>生物质锅炉采用专用锅炉，配套布袋等高效除尘设施，禁止掺烧煤炭、生活垃圾等其他物料</w:t>
            </w:r>
            <w:r>
              <w:rPr>
                <w:rFonts w:hint="eastAsia" w:cs="Times New Roman"/>
                <w:color w:val="auto"/>
                <w:kern w:val="0"/>
                <w:sz w:val="24"/>
                <w:highlight w:val="none"/>
                <w:lang w:val="en-US" w:eastAsia="zh-CN"/>
              </w:rPr>
              <w:t>要求</w:t>
            </w:r>
            <w:r>
              <w:rPr>
                <w:rFonts w:hint="eastAsia" w:ascii="Times New Roman" w:hAnsi="Times New Roman" w:eastAsia="宋体" w:cs="Times New Roman"/>
                <w:color w:val="auto"/>
                <w:kern w:val="0"/>
                <w:sz w:val="24"/>
                <w:highlight w:val="none"/>
                <w:lang w:val="en-US" w:eastAsia="zh-CN"/>
              </w:rPr>
              <w:t>。</w:t>
            </w:r>
          </w:p>
          <w:p w14:paraId="4FD23391">
            <w:pPr>
              <w:numPr>
                <w:ilvl w:val="0"/>
                <w:numId w:val="0"/>
              </w:numPr>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eastAsia" w:cs="Times New Roman"/>
                <w:color w:val="auto"/>
                <w:kern w:val="0"/>
                <w:sz w:val="24"/>
                <w:highlight w:val="none"/>
                <w:lang w:val="en-US" w:eastAsia="zh-CN"/>
              </w:rPr>
              <w:t>综上，本项目符合文件要求。</w:t>
            </w:r>
          </w:p>
          <w:p w14:paraId="17F17EDC">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4</w:t>
            </w:r>
            <w:r>
              <w:rPr>
                <w:rFonts w:hint="eastAsia" w:ascii="Times New Roman" w:hAnsi="Times New Roman" w:eastAsia="宋体" w:cs="Times New Roman"/>
                <w:color w:val="auto"/>
                <w:sz w:val="24"/>
                <w:highlight w:val="none"/>
                <w:lang w:eastAsia="zh-CN"/>
              </w:rPr>
              <w:t>）与《黑龙江省“十四五”生态环境保护规划》符合性分析</w:t>
            </w:r>
          </w:p>
          <w:p w14:paraId="32947E53">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规划指出：2.推进多污染物协同减排。实施重点行业NOx（氮氧化物）等污染物深度治理。加强生物质锅炉燃料品质及排放管控，禁止掺烧煤炭、垃圾和工业固废，对不能稳定达标排放的生物质锅炉进行整改。</w:t>
            </w:r>
          </w:p>
          <w:p w14:paraId="4E0B311B">
            <w:pPr>
              <w:spacing w:line="360" w:lineRule="auto"/>
              <w:ind w:firstLine="480" w:firstLineChars="200"/>
              <w:rPr>
                <w:rFonts w:hint="default" w:ascii="Times New Roman" w:hAnsi="Times New Roman" w:eastAsia="宋体" w:cs="Times New Roman"/>
                <w:color w:val="auto"/>
                <w:sz w:val="24"/>
                <w:highlight w:val="none"/>
                <w:lang w:val="en-US"/>
              </w:rPr>
            </w:pPr>
            <w:r>
              <w:rPr>
                <w:rFonts w:hint="eastAsia" w:ascii="Times New Roman" w:hAnsi="Times New Roman" w:eastAsia="宋体" w:cs="Times New Roman"/>
                <w:color w:val="auto"/>
                <w:kern w:val="0"/>
                <w:sz w:val="24"/>
                <w:highlight w:val="none"/>
                <w:lang w:val="en-US" w:eastAsia="zh-CN"/>
              </w:rPr>
              <w:t>本项目建1台</w:t>
            </w:r>
            <w:r>
              <w:rPr>
                <w:rFonts w:hint="eastAsia" w:cs="Times New Roman"/>
                <w:color w:val="auto"/>
                <w:kern w:val="0"/>
                <w:sz w:val="24"/>
                <w:highlight w:val="none"/>
                <w:lang w:val="en-US" w:eastAsia="zh-CN"/>
              </w:rPr>
              <w:t>1.75MW燃生物质</w:t>
            </w:r>
            <w:r>
              <w:rPr>
                <w:rFonts w:hint="eastAsia" w:ascii="Times New Roman" w:hAnsi="Times New Roman" w:eastAsia="宋体" w:cs="Times New Roman"/>
                <w:color w:val="auto"/>
                <w:kern w:val="0"/>
                <w:sz w:val="24"/>
                <w:highlight w:val="none"/>
                <w:lang w:val="en-US" w:eastAsia="zh-CN"/>
              </w:rPr>
              <w:t>锅炉</w:t>
            </w:r>
            <w:r>
              <w:rPr>
                <w:rFonts w:hint="eastAsia" w:cs="Times New Roman"/>
                <w:color w:val="auto"/>
                <w:kern w:val="0"/>
                <w:sz w:val="24"/>
                <w:highlight w:val="none"/>
                <w:lang w:val="en-US" w:eastAsia="zh-CN"/>
              </w:rPr>
              <w:t>，</w:t>
            </w:r>
            <w:r>
              <w:rPr>
                <w:rFonts w:hint="eastAsia" w:ascii="Times New Roman" w:hAnsi="Times New Roman" w:eastAsia="宋体" w:cs="Times New Roman"/>
                <w:b w:val="0"/>
                <w:bCs/>
                <w:color w:val="auto"/>
                <w:kern w:val="2"/>
                <w:sz w:val="24"/>
                <w:szCs w:val="24"/>
                <w:highlight w:val="none"/>
                <w:u w:val="none"/>
                <w:lang w:val="en-US" w:eastAsia="zh-CN" w:bidi="ar-SA"/>
              </w:rPr>
              <w:t>生物质锅炉采用专用锅炉，配套布袋等高效除尘设施</w:t>
            </w:r>
            <w:r>
              <w:rPr>
                <w:rFonts w:hint="eastAsia" w:cs="Times New Roman"/>
                <w:b w:val="0"/>
                <w:bCs/>
                <w:color w:val="auto"/>
                <w:kern w:val="2"/>
                <w:sz w:val="24"/>
                <w:szCs w:val="24"/>
                <w:highlight w:val="none"/>
                <w:u w:val="none"/>
                <w:lang w:val="en-US" w:eastAsia="zh-CN" w:bidi="ar-SA"/>
              </w:rPr>
              <w:t>，产生的废气能够达标排放</w:t>
            </w:r>
            <w:r>
              <w:rPr>
                <w:rFonts w:hint="eastAsia" w:ascii="Times New Roman" w:hAnsi="Times New Roman" w:eastAsia="宋体" w:cs="Times New Roman"/>
                <w:color w:val="auto"/>
                <w:kern w:val="0"/>
                <w:sz w:val="24"/>
                <w:highlight w:val="none"/>
                <w:lang w:val="en-US" w:eastAsia="zh-CN"/>
              </w:rPr>
              <w:t>。项目的建设符合规划的要求。</w:t>
            </w:r>
          </w:p>
          <w:p w14:paraId="5BE608A8">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5</w:t>
            </w:r>
            <w:r>
              <w:rPr>
                <w:rFonts w:hint="eastAsia" w:ascii="Times New Roman" w:hAnsi="Times New Roman" w:eastAsia="宋体" w:cs="Times New Roman"/>
                <w:color w:val="auto"/>
                <w:sz w:val="24"/>
                <w:highlight w:val="none"/>
                <w:lang w:eastAsia="zh-CN"/>
              </w:rPr>
              <w:t>）与《</w:t>
            </w:r>
            <w:r>
              <w:rPr>
                <w:rFonts w:hint="eastAsia" w:ascii="Times New Roman" w:hAnsi="Times New Roman" w:eastAsia="宋体" w:cs="Times New Roman"/>
                <w:color w:val="auto"/>
                <w:sz w:val="24"/>
                <w:highlight w:val="none"/>
                <w:lang w:val="en-US" w:eastAsia="zh-CN"/>
              </w:rPr>
              <w:t>双鸭山市</w:t>
            </w:r>
            <w:r>
              <w:rPr>
                <w:rFonts w:hint="eastAsia" w:ascii="Times New Roman" w:hAnsi="Times New Roman" w:eastAsia="宋体" w:cs="Times New Roman"/>
                <w:color w:val="auto"/>
                <w:sz w:val="24"/>
                <w:highlight w:val="none"/>
                <w:lang w:eastAsia="zh-CN"/>
              </w:rPr>
              <w:t>“十四五”生态环境保护规划》符合性分析</w:t>
            </w:r>
          </w:p>
          <w:p w14:paraId="7040AEB9">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规划指出：3.强化多污染物协同控制。实施重点行业NOx（氮氧化物）等污染物深度治理。推进钢铁、焦化行业超低排放改造，到2025年，现有钢铁、焦化企业基本完成超低排放改造，实现钢铁、焦化企业脱硫脱硝全覆盖。加强生物质锅炉燃料品质及排放管控，禁止掺烧煤炭、垃圾和工业固废，对不稳定达标排放的生物质锅炉进行整改。</w:t>
            </w:r>
          </w:p>
          <w:p w14:paraId="5B34EA83">
            <w:pPr>
              <w:spacing w:line="360" w:lineRule="auto"/>
              <w:ind w:firstLine="480" w:firstLineChars="200"/>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本项目建1台</w:t>
            </w:r>
            <w:r>
              <w:rPr>
                <w:rFonts w:hint="eastAsia" w:cs="Times New Roman"/>
                <w:color w:val="auto"/>
                <w:kern w:val="0"/>
                <w:sz w:val="24"/>
                <w:highlight w:val="none"/>
                <w:lang w:val="en-US" w:eastAsia="zh-CN"/>
              </w:rPr>
              <w:t>1.75MW燃生物质导热油</w:t>
            </w:r>
            <w:r>
              <w:rPr>
                <w:rFonts w:hint="eastAsia" w:ascii="Times New Roman" w:hAnsi="Times New Roman" w:eastAsia="宋体" w:cs="Times New Roman"/>
                <w:color w:val="auto"/>
                <w:kern w:val="0"/>
                <w:sz w:val="24"/>
                <w:highlight w:val="none"/>
                <w:lang w:val="en-US" w:eastAsia="zh-CN"/>
              </w:rPr>
              <w:t>锅炉</w:t>
            </w:r>
            <w:r>
              <w:rPr>
                <w:rFonts w:hint="eastAsia" w:cs="Times New Roman"/>
                <w:color w:val="auto"/>
                <w:kern w:val="0"/>
                <w:sz w:val="24"/>
                <w:highlight w:val="none"/>
                <w:lang w:val="en-US" w:eastAsia="zh-CN"/>
              </w:rPr>
              <w:t>，</w:t>
            </w:r>
            <w:r>
              <w:rPr>
                <w:rFonts w:hint="eastAsia" w:ascii="Times New Roman" w:hAnsi="Times New Roman" w:eastAsia="宋体" w:cs="Times New Roman"/>
                <w:b w:val="0"/>
                <w:bCs/>
                <w:color w:val="auto"/>
                <w:kern w:val="2"/>
                <w:sz w:val="24"/>
                <w:szCs w:val="24"/>
                <w:highlight w:val="none"/>
                <w:u w:val="none"/>
                <w:lang w:val="en-US" w:eastAsia="zh-CN" w:bidi="ar-SA"/>
              </w:rPr>
              <w:t>生物质锅炉采用专用锅炉，配套布袋等高效除尘设施</w:t>
            </w:r>
            <w:r>
              <w:rPr>
                <w:rFonts w:hint="eastAsia" w:cs="Times New Roman"/>
                <w:b w:val="0"/>
                <w:bCs/>
                <w:color w:val="auto"/>
                <w:kern w:val="2"/>
                <w:sz w:val="24"/>
                <w:szCs w:val="24"/>
                <w:highlight w:val="none"/>
                <w:u w:val="none"/>
                <w:lang w:val="en-US" w:eastAsia="zh-CN" w:bidi="ar-SA"/>
              </w:rPr>
              <w:t>，产生的废气能够达标排放</w:t>
            </w:r>
            <w:r>
              <w:rPr>
                <w:rFonts w:hint="eastAsia" w:ascii="Times New Roman" w:hAnsi="Times New Roman" w:eastAsia="宋体" w:cs="Times New Roman"/>
                <w:color w:val="auto"/>
                <w:kern w:val="0"/>
                <w:sz w:val="24"/>
                <w:highlight w:val="none"/>
                <w:lang w:val="en-US" w:eastAsia="zh-CN"/>
              </w:rPr>
              <w:t>。项目的建设符合规划的要求。</w:t>
            </w:r>
          </w:p>
          <w:p w14:paraId="0C6604B2">
            <w:pPr>
              <w:spacing w:line="360" w:lineRule="auto"/>
              <w:ind w:firstLine="480" w:firstLineChars="200"/>
              <w:rPr>
                <w:rFonts w:hint="eastAsia" w:ascii="Times New Roman" w:hAnsi="Times New Roman" w:cs="Times New Roman"/>
                <w:b w:val="0"/>
                <w:bCs/>
                <w:color w:val="auto"/>
                <w:sz w:val="24"/>
                <w:highlight w:val="none"/>
                <w:lang w:val="en-US" w:eastAsia="zh-CN"/>
              </w:rPr>
            </w:pP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6</w:t>
            </w:r>
            <w:r>
              <w:rPr>
                <w:rFonts w:hint="eastAsia" w:ascii="Times New Roman" w:hAnsi="Times New Roman" w:eastAsia="宋体" w:cs="Times New Roman"/>
                <w:color w:val="auto"/>
                <w:sz w:val="24"/>
                <w:highlight w:val="none"/>
                <w:lang w:eastAsia="zh-CN"/>
              </w:rPr>
              <w:t>）与</w:t>
            </w:r>
            <w:r>
              <w:rPr>
                <w:rFonts w:hint="eastAsia" w:cs="Times New Roman"/>
                <w:color w:val="auto"/>
                <w:sz w:val="24"/>
                <w:highlight w:val="none"/>
                <w:lang w:val="en-US" w:eastAsia="zh-CN"/>
              </w:rPr>
              <w:t>双鸭山市人民政府印发</w:t>
            </w:r>
            <w:r>
              <w:rPr>
                <w:rFonts w:hint="eastAsia" w:cs="Times New Roman"/>
                <w:color w:val="auto"/>
                <w:sz w:val="22"/>
                <w:szCs w:val="22"/>
                <w:highlight w:val="none"/>
                <w:lang w:val="en-US" w:eastAsia="zh-CN"/>
              </w:rPr>
              <w:t>《</w:t>
            </w:r>
            <w:r>
              <w:rPr>
                <w:rFonts w:hint="eastAsia" w:cs="Times New Roman"/>
                <w:b w:val="0"/>
                <w:bCs/>
                <w:color w:val="auto"/>
                <w:sz w:val="24"/>
                <w:highlight w:val="none"/>
                <w:lang w:val="en-US" w:eastAsia="zh-CN"/>
              </w:rPr>
              <w:t>双鸭山市</w:t>
            </w:r>
            <w:r>
              <w:rPr>
                <w:rFonts w:hint="default" w:ascii="Times New Roman" w:hAnsi="Times New Roman" w:cs="Times New Roman"/>
                <w:b w:val="0"/>
                <w:bCs/>
                <w:color w:val="auto"/>
                <w:sz w:val="24"/>
                <w:highlight w:val="none"/>
              </w:rPr>
              <w:t>空气质量持续改善行动计划</w:t>
            </w:r>
            <w:r>
              <w:rPr>
                <w:rFonts w:hint="eastAsia" w:cs="Times New Roman"/>
                <w:b w:val="0"/>
                <w:bCs/>
                <w:color w:val="auto"/>
                <w:sz w:val="24"/>
                <w:highlight w:val="none"/>
                <w:lang w:val="en-US" w:eastAsia="zh-CN"/>
              </w:rPr>
              <w:t>贯彻落实方案</w:t>
            </w:r>
            <w:r>
              <w:rPr>
                <w:rFonts w:hint="eastAsia" w:cs="Times New Roman"/>
                <w:color w:val="auto"/>
                <w:sz w:val="22"/>
                <w:szCs w:val="22"/>
                <w:highlight w:val="none"/>
                <w:lang w:val="en-US" w:eastAsia="zh-CN"/>
              </w:rPr>
              <w:t>》的通知（双政发</w:t>
            </w:r>
            <w:r>
              <w:rPr>
                <w:rFonts w:hint="default" w:ascii="Times New Roman" w:hAnsi="Times New Roman" w:cs="Times New Roman"/>
                <w:b w:val="0"/>
                <w:bCs/>
                <w:color w:val="auto"/>
                <w:sz w:val="24"/>
                <w:highlight w:val="none"/>
              </w:rPr>
              <w:t>〔202</w:t>
            </w:r>
            <w:r>
              <w:rPr>
                <w:rFonts w:hint="eastAsia" w:cs="Times New Roman"/>
                <w:b w:val="0"/>
                <w:bCs/>
                <w:color w:val="auto"/>
                <w:sz w:val="24"/>
                <w:highlight w:val="none"/>
                <w:lang w:val="en-US" w:eastAsia="zh-CN"/>
              </w:rPr>
              <w:t>4</w:t>
            </w:r>
            <w:r>
              <w:rPr>
                <w:rFonts w:hint="default" w:ascii="Times New Roman" w:hAnsi="Times New Roman" w:cs="Times New Roman"/>
                <w:b w:val="0"/>
                <w:bCs/>
                <w:color w:val="auto"/>
                <w:sz w:val="24"/>
                <w:highlight w:val="none"/>
              </w:rPr>
              <w:t>〕</w:t>
            </w:r>
            <w:r>
              <w:rPr>
                <w:rFonts w:hint="eastAsia" w:cs="Times New Roman"/>
                <w:b w:val="0"/>
                <w:bCs/>
                <w:color w:val="auto"/>
                <w:sz w:val="24"/>
                <w:highlight w:val="none"/>
                <w:lang w:val="en-US" w:eastAsia="zh-CN"/>
              </w:rPr>
              <w:t>6</w:t>
            </w:r>
            <w:r>
              <w:rPr>
                <w:rFonts w:hint="default" w:ascii="Times New Roman" w:hAnsi="Times New Roman" w:cs="Times New Roman"/>
                <w:b w:val="0"/>
                <w:bCs/>
                <w:color w:val="auto"/>
                <w:sz w:val="24"/>
                <w:highlight w:val="none"/>
              </w:rPr>
              <w:t>号</w:t>
            </w:r>
            <w:r>
              <w:rPr>
                <w:rFonts w:hint="eastAsia" w:ascii="Times New Roman" w:hAnsi="Times New Roman" w:cs="Times New Roman"/>
                <w:b w:val="0"/>
                <w:bCs/>
                <w:color w:val="auto"/>
                <w:sz w:val="24"/>
                <w:highlight w:val="none"/>
                <w:lang w:eastAsia="zh-CN"/>
              </w:rPr>
              <w:t>）</w:t>
            </w:r>
            <w:r>
              <w:rPr>
                <w:rFonts w:hint="eastAsia" w:ascii="Times New Roman" w:hAnsi="Times New Roman" w:cs="Times New Roman"/>
                <w:b w:val="0"/>
                <w:bCs/>
                <w:color w:val="auto"/>
                <w:sz w:val="24"/>
                <w:highlight w:val="none"/>
                <w:lang w:val="en-US" w:eastAsia="zh-CN"/>
              </w:rPr>
              <w:t>的符合性</w:t>
            </w:r>
            <w:r>
              <w:rPr>
                <w:rFonts w:hint="eastAsia" w:cs="Times New Roman"/>
                <w:b w:val="0"/>
                <w:bCs/>
                <w:color w:val="auto"/>
                <w:sz w:val="24"/>
                <w:highlight w:val="none"/>
                <w:lang w:val="en-US" w:eastAsia="zh-CN"/>
              </w:rPr>
              <w:t>分析</w:t>
            </w:r>
          </w:p>
          <w:p w14:paraId="026009A4">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cs="Times New Roman"/>
                <w:color w:val="auto"/>
                <w:sz w:val="24"/>
                <w:highlight w:val="none"/>
                <w:lang w:val="en-US" w:eastAsia="zh-CN"/>
              </w:rPr>
              <w:t>计划指出，</w:t>
            </w:r>
            <w:r>
              <w:rPr>
                <w:rFonts w:hint="eastAsia" w:ascii="Times New Roman" w:hAnsi="Times New Roman" w:eastAsia="宋体" w:cs="Times New Roman"/>
                <w:color w:val="auto"/>
                <w:sz w:val="24"/>
                <w:highlight w:val="none"/>
                <w:lang w:eastAsia="zh-CN"/>
              </w:rPr>
              <w:t>加强工业企业监管，确保全面稳定达标排放。生物质锅炉采用专用锅炉、配套布袋等高效除尘设施，禁止掺烧煤炭、生活垃圾等其他物料。推进整合小型生物质锅炉，鼓励城市建成区内生物质锅炉（含电力）超低排放改造。强化治污设施运行维护，减少非正常工况排放。</w:t>
            </w:r>
          </w:p>
          <w:p w14:paraId="11425798">
            <w:pPr>
              <w:spacing w:line="360" w:lineRule="auto"/>
              <w:ind w:firstLine="480" w:firstLineChars="200"/>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w:t>
            </w:r>
            <w:r>
              <w:rPr>
                <w:rFonts w:hint="eastAsia" w:cs="Times New Roman"/>
                <w:color w:val="auto"/>
                <w:kern w:val="0"/>
                <w:sz w:val="24"/>
                <w:highlight w:val="none"/>
                <w:lang w:val="en-US" w:eastAsia="zh-CN"/>
              </w:rPr>
              <w:t>燃生物质导热油</w:t>
            </w:r>
            <w:r>
              <w:rPr>
                <w:rFonts w:hint="eastAsia" w:ascii="Times New Roman" w:hAnsi="Times New Roman" w:eastAsia="宋体" w:cs="Times New Roman"/>
                <w:color w:val="auto"/>
                <w:kern w:val="0"/>
                <w:sz w:val="24"/>
                <w:highlight w:val="none"/>
                <w:lang w:val="en-US" w:eastAsia="zh-CN"/>
              </w:rPr>
              <w:t>锅炉</w:t>
            </w:r>
            <w:r>
              <w:rPr>
                <w:rFonts w:hint="eastAsia" w:ascii="Times New Roman" w:hAnsi="Times New Roman" w:eastAsia="宋体" w:cs="Times New Roman"/>
                <w:b w:val="0"/>
                <w:bCs/>
                <w:color w:val="auto"/>
                <w:kern w:val="2"/>
                <w:sz w:val="24"/>
                <w:szCs w:val="24"/>
                <w:highlight w:val="none"/>
                <w:u w:val="none"/>
                <w:lang w:val="en-US" w:eastAsia="zh-CN" w:bidi="ar-SA"/>
              </w:rPr>
              <w:t>采用专用锅炉，配套布袋等高效除尘设施</w:t>
            </w:r>
            <w:r>
              <w:rPr>
                <w:rFonts w:hint="eastAsia" w:cs="Times New Roman"/>
                <w:b w:val="0"/>
                <w:bCs/>
                <w:color w:val="auto"/>
                <w:kern w:val="2"/>
                <w:sz w:val="24"/>
                <w:szCs w:val="24"/>
                <w:highlight w:val="none"/>
                <w:u w:val="none"/>
                <w:lang w:val="en-US" w:eastAsia="zh-CN" w:bidi="ar-SA"/>
              </w:rPr>
              <w:t>，产生的废气能够达标排放</w:t>
            </w:r>
            <w:r>
              <w:rPr>
                <w:rFonts w:hint="eastAsia" w:ascii="Times New Roman" w:hAnsi="Times New Roman" w:eastAsia="宋体" w:cs="Times New Roman"/>
                <w:color w:val="auto"/>
                <w:kern w:val="0"/>
                <w:sz w:val="24"/>
                <w:highlight w:val="none"/>
                <w:lang w:val="en-US" w:eastAsia="zh-CN"/>
              </w:rPr>
              <w:t>。项目的建设符合</w:t>
            </w:r>
            <w:r>
              <w:rPr>
                <w:rFonts w:hint="eastAsia" w:cs="Times New Roman"/>
                <w:color w:val="auto"/>
                <w:kern w:val="0"/>
                <w:sz w:val="24"/>
                <w:highlight w:val="none"/>
                <w:lang w:val="en-US" w:eastAsia="zh-CN"/>
              </w:rPr>
              <w:t>计划</w:t>
            </w:r>
            <w:r>
              <w:rPr>
                <w:rFonts w:hint="eastAsia" w:ascii="Times New Roman" w:hAnsi="Times New Roman" w:eastAsia="宋体" w:cs="Times New Roman"/>
                <w:color w:val="auto"/>
                <w:kern w:val="0"/>
                <w:sz w:val="24"/>
                <w:highlight w:val="none"/>
                <w:lang w:val="en-US" w:eastAsia="zh-CN"/>
              </w:rPr>
              <w:t>的要求。</w:t>
            </w:r>
          </w:p>
          <w:p w14:paraId="1357762C">
            <w:pPr>
              <w:pStyle w:val="151"/>
              <w:bidi w:val="0"/>
              <w:spacing w:line="360" w:lineRule="auto"/>
              <w:rPr>
                <w:rFonts w:hint="default" w:ascii="Times New Roman" w:hAnsi="Times New Roman" w:eastAsia="宋体" w:cs="Times New Roman"/>
                <w:b w:val="0"/>
                <w:bCs w:val="0"/>
                <w:color w:val="auto"/>
                <w:sz w:val="24"/>
              </w:rPr>
            </w:pPr>
            <w:r>
              <w:rPr>
                <w:rFonts w:hint="eastAsia" w:cs="Times New Roman"/>
                <w:b w:val="0"/>
                <w:bCs w:val="0"/>
                <w:color w:val="auto"/>
                <w:sz w:val="24"/>
                <w:lang w:val="en-US" w:eastAsia="zh-CN"/>
              </w:rPr>
              <w:t>（7）</w:t>
            </w:r>
            <w:r>
              <w:rPr>
                <w:rFonts w:hint="default" w:ascii="Times New Roman" w:hAnsi="Times New Roman" w:eastAsia="宋体" w:cs="Times New Roman"/>
                <w:b w:val="0"/>
                <w:bCs w:val="0"/>
                <w:color w:val="auto"/>
                <w:sz w:val="24"/>
              </w:rPr>
              <w:t>与《挥发性有机物无组织排放控制标准》（GB37822-2019）符合性分析</w:t>
            </w:r>
          </w:p>
          <w:p w14:paraId="20AE17CA">
            <w:pPr>
              <w:pStyle w:val="151"/>
              <w:bidi w:val="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根据《挥发性有机物无组织排放控制标准》要求：</w:t>
            </w:r>
            <w:r>
              <w:rPr>
                <w:rFonts w:hint="eastAsia" w:cs="Times New Roman"/>
                <w:color w:val="auto"/>
                <w:sz w:val="24"/>
                <w:lang w:eastAsia="zh-CN"/>
              </w:rPr>
              <w:t>“</w:t>
            </w:r>
            <w:r>
              <w:rPr>
                <w:rFonts w:hint="default" w:ascii="Times New Roman" w:hAnsi="Times New Roman" w:eastAsia="宋体" w:cs="Times New Roman"/>
                <w:color w:val="auto"/>
                <w:sz w:val="24"/>
              </w:rPr>
              <w:t>5.1.1VOCs物料应储存于密闭的容器、包装袋、储罐、储库、料仓中。5.1.2盛装VOCs物料的容器或包装袋应存放于室内，或存放于设置有雨棚、遮阳和防渗设施的专用场地。盛装VOCs物料的容器或包装袋在非取用状态时应加盖、封口，保持密闭。7.2.1VOCs质量占比大于等于10%的含VOCs产品，其使用过程应采用密闭设备或在密闭空间内操作，废气应排至VOCs废气收集处理系统；无法密闭的应采取局部气体收集措施，废气应排至VOCs废气收集处理系统。</w:t>
            </w:r>
            <w:r>
              <w:rPr>
                <w:rFonts w:hint="eastAsia" w:cs="Times New Roman"/>
                <w:color w:val="auto"/>
                <w:sz w:val="24"/>
                <w:lang w:eastAsia="zh-CN"/>
              </w:rPr>
              <w:t>”</w:t>
            </w:r>
          </w:p>
          <w:p w14:paraId="0C1D055F">
            <w:pPr>
              <w:spacing w:line="360" w:lineRule="auto"/>
              <w:ind w:firstLine="480" w:firstLineChars="200"/>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w:t>
            </w:r>
            <w:r>
              <w:rPr>
                <w:rFonts w:hint="eastAsia" w:cs="Times New Roman"/>
                <w:color w:val="auto"/>
                <w:kern w:val="0"/>
                <w:sz w:val="24"/>
                <w:highlight w:val="none"/>
                <w:lang w:val="en-US" w:eastAsia="zh-CN"/>
              </w:rPr>
              <w:t>大豆蛋白</w:t>
            </w:r>
            <w:r>
              <w:rPr>
                <w:rFonts w:hint="eastAsia" w:ascii="Times New Roman" w:hAnsi="Times New Roman" w:eastAsia="宋体" w:cs="Times New Roman"/>
                <w:color w:val="auto"/>
                <w:kern w:val="0"/>
                <w:sz w:val="24"/>
                <w:highlight w:val="none"/>
                <w:lang w:val="en-US" w:eastAsia="zh-CN"/>
              </w:rPr>
              <w:t>胶储存于密闭桶内，盛装</w:t>
            </w:r>
            <w:r>
              <w:rPr>
                <w:rFonts w:hint="eastAsia" w:cs="Times New Roman"/>
                <w:color w:val="auto"/>
                <w:kern w:val="0"/>
                <w:sz w:val="24"/>
                <w:highlight w:val="none"/>
                <w:lang w:val="en-US" w:eastAsia="zh-CN"/>
              </w:rPr>
              <w:t>大豆蛋白</w:t>
            </w:r>
            <w:r>
              <w:rPr>
                <w:rFonts w:hint="eastAsia" w:ascii="Times New Roman" w:hAnsi="Times New Roman" w:eastAsia="宋体" w:cs="Times New Roman"/>
                <w:color w:val="auto"/>
                <w:kern w:val="0"/>
                <w:sz w:val="24"/>
                <w:highlight w:val="none"/>
                <w:lang w:val="en-US" w:eastAsia="zh-CN"/>
              </w:rPr>
              <w:t>胶桶存放于室内，或存放于设置有雨棚、遮阳和防渗设施的专用场地。盛装</w:t>
            </w:r>
            <w:r>
              <w:rPr>
                <w:rFonts w:hint="eastAsia" w:cs="Times New Roman"/>
                <w:color w:val="auto"/>
                <w:kern w:val="0"/>
                <w:sz w:val="24"/>
                <w:highlight w:val="none"/>
                <w:lang w:val="en-US" w:eastAsia="zh-CN"/>
              </w:rPr>
              <w:t>大豆蛋白</w:t>
            </w:r>
            <w:r>
              <w:rPr>
                <w:rFonts w:hint="eastAsia" w:ascii="Times New Roman" w:hAnsi="Times New Roman" w:eastAsia="宋体" w:cs="Times New Roman"/>
                <w:color w:val="auto"/>
                <w:kern w:val="0"/>
                <w:sz w:val="24"/>
                <w:highlight w:val="none"/>
                <w:lang w:val="en-US" w:eastAsia="zh-CN"/>
              </w:rPr>
              <w:t>胶的容器或包装袋在非取用状态时加盖、封口，保持密闭。VOCs质量占比小于10%；企业建立台账，记录含VOCs原辅材料和含VOCs产品的名称、使用量、回收量、废弃量、去向以及VOCs含量等信息。台账保存期限不少于3年。通风生产设备、操作工位、车间厂房等应在符合安全生产、职业卫生相关规定的前提下，根据行业作业规程与标准、工业建筑及洁净厂房通风设计规范等的要求，采用合理的通风量。热压及涂胶工序产生的有机废气</w:t>
            </w:r>
            <w:r>
              <w:rPr>
                <w:rFonts w:hint="eastAsia" w:cs="Times New Roman"/>
                <w:color w:val="auto"/>
                <w:kern w:val="0"/>
                <w:sz w:val="24"/>
                <w:highlight w:val="none"/>
                <w:lang w:val="en-US" w:eastAsia="zh-CN"/>
              </w:rPr>
              <w:t>经活性炭吸附处理，</w:t>
            </w:r>
            <w:r>
              <w:rPr>
                <w:rFonts w:hint="eastAsia" w:ascii="Times New Roman" w:hAnsi="Times New Roman" w:eastAsia="宋体" w:cs="Times New Roman"/>
                <w:color w:val="auto"/>
                <w:sz w:val="24"/>
                <w:highlight w:val="none"/>
              </w:rPr>
              <w:t>确保挥发性有机物排放浓度满</w:t>
            </w:r>
            <w:r>
              <w:rPr>
                <w:rFonts w:hint="eastAsia" w:ascii="Times New Roman" w:hAnsi="Times New Roman" w:eastAsia="宋体" w:cs="Times New Roman"/>
                <w:color w:val="auto"/>
                <w:sz w:val="24"/>
              </w:rPr>
              <w:t>足排放标准要求</w:t>
            </w:r>
            <w:r>
              <w:rPr>
                <w:rFonts w:hint="eastAsia" w:ascii="Times New Roman" w:hAnsi="Times New Roman" w:eastAsia="宋体" w:cs="Times New Roman"/>
                <w:color w:val="auto"/>
                <w:kern w:val="0"/>
                <w:sz w:val="24"/>
                <w:highlight w:val="none"/>
                <w:lang w:val="en-US" w:eastAsia="zh-CN"/>
              </w:rPr>
              <w:t>。因此符合《挥发性有机物无组织排放控制标准(GB 37822-2019)》的要求。</w:t>
            </w:r>
          </w:p>
          <w:p w14:paraId="15A84DC3">
            <w:pPr>
              <w:spacing w:line="360" w:lineRule="auto"/>
              <w:ind w:firstLine="480" w:firstLineChars="200"/>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（8）</w:t>
            </w:r>
            <w:r>
              <w:rPr>
                <w:rFonts w:hint="default" w:ascii="Times New Roman" w:hAnsi="Times New Roman" w:eastAsia="宋体" w:cs="Times New Roman"/>
                <w:color w:val="auto"/>
                <w:kern w:val="0"/>
                <w:sz w:val="24"/>
                <w:szCs w:val="24"/>
                <w:highlight w:val="none"/>
                <w:lang w:val="en-US" w:eastAsia="zh-CN" w:bidi="ar-SA"/>
              </w:rPr>
              <w:t>与《挥发性有机物(VOCs</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污染防治技术政策》的相符性分析</w:t>
            </w:r>
          </w:p>
          <w:p w14:paraId="71E2DB4E">
            <w:pPr>
              <w:spacing w:line="360" w:lineRule="auto"/>
              <w:ind w:firstLine="480" w:firstLineChars="200"/>
              <w:rPr>
                <w:rFonts w:hint="eastAsia" w:cs="Times New Roman"/>
                <w:color w:val="auto"/>
                <w:kern w:val="0"/>
                <w:sz w:val="24"/>
                <w:highlight w:val="none"/>
                <w:lang w:val="en-US" w:eastAsia="zh-CN"/>
              </w:rPr>
            </w:pPr>
            <w:r>
              <w:rPr>
                <w:rFonts w:hint="eastAsia" w:cs="Times New Roman"/>
                <w:color w:val="auto"/>
                <w:kern w:val="0"/>
                <w:sz w:val="24"/>
                <w:highlight w:val="none"/>
                <w:lang w:val="en-US" w:eastAsia="zh-CN"/>
              </w:rPr>
              <w:t>政策指出：在涂装、印刷、粘合、工业清洗等含VOCs产品的使用过程中的VOCs污染防治技术措施包括：①根据涂装工艺的不同，鼓励使用水性涂料、高固份涂料、粉末涂料、紫外光固化(UV)涂料等环保型涂料；推广采用静电喷涂、淋涂、辊涂、浸涂等效率较高的涂装工艺；应尽量避免无VOCs净化、回收措施的露天喷涂作业；②含VOCs产品的使用过程中，应采取废气收集措施，提高废气收集效率，减少废气的无组织排放与逸散，并对收集后的废气进行回收或处理后达标排放。</w:t>
            </w:r>
          </w:p>
          <w:p w14:paraId="1213A40D">
            <w:pPr>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根据建设单位提供的</w:t>
            </w:r>
            <w:r>
              <w:rPr>
                <w:rFonts w:hint="eastAsia" w:cs="Times New Roman"/>
                <w:color w:val="auto"/>
                <w:kern w:val="0"/>
                <w:sz w:val="24"/>
                <w:highlight w:val="none"/>
                <w:lang w:val="en-US" w:eastAsia="zh-CN"/>
              </w:rPr>
              <w:t>大豆蛋白</w:t>
            </w:r>
            <w:r>
              <w:rPr>
                <w:rFonts w:hint="eastAsia" w:ascii="Times New Roman" w:hAnsi="Times New Roman" w:eastAsia="宋体" w:cs="Times New Roman"/>
                <w:color w:val="auto"/>
                <w:kern w:val="0"/>
                <w:sz w:val="24"/>
                <w:highlight w:val="none"/>
                <w:lang w:val="en-US" w:eastAsia="zh-CN"/>
              </w:rPr>
              <w:t>胶检测报告，项目采取</w:t>
            </w:r>
            <w:r>
              <w:rPr>
                <w:rFonts w:hint="eastAsia" w:cs="Times New Roman"/>
                <w:color w:val="auto"/>
                <w:kern w:val="0"/>
                <w:sz w:val="24"/>
                <w:highlight w:val="none"/>
                <w:lang w:val="en-US" w:eastAsia="zh-CN"/>
              </w:rPr>
              <w:t>活性炭吸附</w:t>
            </w:r>
            <w:r>
              <w:rPr>
                <w:rFonts w:hint="eastAsia" w:ascii="Times New Roman" w:hAnsi="Times New Roman" w:eastAsia="宋体" w:cs="Times New Roman"/>
                <w:color w:val="auto"/>
                <w:kern w:val="0"/>
                <w:sz w:val="24"/>
                <w:highlight w:val="none"/>
                <w:lang w:val="en-US" w:eastAsia="zh-CN"/>
              </w:rPr>
              <w:t>废气收集措施，减少废气的无组织排放</w:t>
            </w:r>
            <w:r>
              <w:rPr>
                <w:rFonts w:hint="eastAsia" w:cs="Times New Roman"/>
                <w:color w:val="auto"/>
                <w:kern w:val="0"/>
                <w:sz w:val="24"/>
                <w:highlight w:val="none"/>
                <w:lang w:val="en-US" w:eastAsia="zh-CN"/>
              </w:rPr>
              <w:t>。故符合</w:t>
            </w:r>
            <w:r>
              <w:rPr>
                <w:rFonts w:hint="default" w:ascii="Times New Roman" w:hAnsi="Times New Roman" w:eastAsia="宋体" w:cs="Times New Roman"/>
                <w:color w:val="auto"/>
                <w:kern w:val="0"/>
                <w:sz w:val="24"/>
                <w:szCs w:val="24"/>
                <w:highlight w:val="none"/>
                <w:lang w:val="en-US" w:eastAsia="zh-CN" w:bidi="ar-SA"/>
              </w:rPr>
              <w:t>《挥发性有机物(VOCs</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污染防治技术政策》</w:t>
            </w:r>
            <w:r>
              <w:rPr>
                <w:rFonts w:hint="eastAsia" w:ascii="Times New Roman" w:hAnsi="Times New Roman" w:eastAsia="宋体" w:cs="Times New Roman"/>
                <w:color w:val="auto"/>
                <w:kern w:val="0"/>
                <w:sz w:val="24"/>
                <w:szCs w:val="24"/>
                <w:highlight w:val="none"/>
                <w:lang w:val="en-US" w:eastAsia="zh-CN" w:bidi="ar-SA"/>
              </w:rPr>
              <w:t>要求。</w:t>
            </w:r>
          </w:p>
          <w:p w14:paraId="64890C9A">
            <w:pPr>
              <w:pStyle w:val="134"/>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（9）</w:t>
            </w:r>
            <w:r>
              <w:rPr>
                <w:rFonts w:hint="default" w:ascii="Times New Roman" w:hAnsi="Times New Roman" w:eastAsia="宋体" w:cs="Times New Roman"/>
                <w:color w:val="auto"/>
                <w:kern w:val="0"/>
                <w:sz w:val="24"/>
                <w:szCs w:val="24"/>
                <w:highlight w:val="none"/>
                <w:lang w:val="en-US" w:eastAsia="zh-CN" w:bidi="ar-SA"/>
              </w:rPr>
              <w:t>与《重点行业挥发性有机物综合治理方案》(环大气[2019]53号)的相符性分析</w:t>
            </w:r>
          </w:p>
          <w:p w14:paraId="2EFA591A">
            <w:pPr>
              <w:pStyle w:val="134"/>
              <w:spacing w:line="240" w:lineRule="auto"/>
              <w:ind w:firstLine="402"/>
              <w:jc w:val="center"/>
              <w:rPr>
                <w:rFonts w:hint="default" w:ascii="Times New Roman" w:hAnsi="Times New Roman" w:eastAsia="宋体" w:cs="Times New Roman"/>
                <w:b/>
                <w:color w:val="auto"/>
                <w:sz w:val="20"/>
                <w:highlight w:val="none"/>
                <w:lang w:eastAsia="zh-CN"/>
              </w:rPr>
            </w:pPr>
            <w:r>
              <w:rPr>
                <w:rFonts w:hint="default" w:ascii="Times New Roman" w:hAnsi="Times New Roman" w:eastAsia="宋体" w:cs="Times New Roman"/>
                <w:b/>
                <w:color w:val="auto"/>
                <w:sz w:val="24"/>
                <w:szCs w:val="24"/>
                <w:highlight w:val="none"/>
              </w:rPr>
              <w:t>表1</w:t>
            </w:r>
            <w:r>
              <w:rPr>
                <w:rFonts w:hint="eastAsia" w:ascii="Times New Roman" w:hAnsi="Times New Roman" w:eastAsia="宋体"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lang w:eastAsia="zh-CN"/>
              </w:rPr>
              <w:t xml:space="preserve">  </w:t>
            </w:r>
            <w:r>
              <w:rPr>
                <w:rFonts w:hint="default" w:ascii="Times New Roman" w:hAnsi="Times New Roman" w:eastAsia="宋体" w:cs="Times New Roman"/>
                <w:b/>
                <w:color w:val="auto"/>
                <w:sz w:val="24"/>
                <w:szCs w:val="24"/>
                <w:highlight w:val="none"/>
              </w:rPr>
              <w:t>与《重点行业挥发性有机物综合治理方案》的相符性分析</w:t>
            </w:r>
          </w:p>
          <w:tbl>
            <w:tblPr>
              <w:tblStyle w:val="31"/>
              <w:tblW w:w="81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1"/>
              <w:gridCol w:w="3776"/>
              <w:gridCol w:w="2443"/>
              <w:gridCol w:w="1199"/>
            </w:tblGrid>
            <w:tr w14:paraId="2C4C2A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tcBorders>
                    <w:tl2br w:val="nil"/>
                    <w:tr2bl w:val="nil"/>
                  </w:tcBorders>
                  <w:noWrap w:val="0"/>
                  <w:vAlign w:val="center"/>
                </w:tcPr>
                <w:p w14:paraId="07918F8D">
                  <w:pPr>
                    <w:pStyle w:val="134"/>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序号</w:t>
                  </w:r>
                </w:p>
              </w:tc>
              <w:tc>
                <w:tcPr>
                  <w:tcW w:w="2319" w:type="pct"/>
                  <w:tcBorders>
                    <w:tl2br w:val="nil"/>
                    <w:tr2bl w:val="nil"/>
                  </w:tcBorders>
                  <w:noWrap w:val="0"/>
                  <w:vAlign w:val="center"/>
                </w:tcPr>
                <w:p w14:paraId="15FD5206">
                  <w:pPr>
                    <w:pStyle w:val="134"/>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与项目相关的政策要求</w:t>
                  </w:r>
                </w:p>
              </w:tc>
              <w:tc>
                <w:tcPr>
                  <w:tcW w:w="1500" w:type="pct"/>
                  <w:tcBorders>
                    <w:tl2br w:val="nil"/>
                    <w:tr2bl w:val="nil"/>
                  </w:tcBorders>
                  <w:noWrap w:val="0"/>
                  <w:vAlign w:val="center"/>
                </w:tcPr>
                <w:p w14:paraId="2C4FFD77">
                  <w:pPr>
                    <w:pStyle w:val="134"/>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符合性</w:t>
                  </w:r>
                  <w:r>
                    <w:rPr>
                      <w:rFonts w:hint="eastAsia" w:ascii="Times New Roman" w:hAnsi="Times New Roman" w:eastAsia="宋体" w:cs="Times New Roman"/>
                      <w:color w:val="auto"/>
                      <w:sz w:val="21"/>
                      <w:szCs w:val="21"/>
                      <w:highlight w:val="none"/>
                      <w:lang w:val="en-US" w:eastAsia="zh-CN"/>
                    </w:rPr>
                    <w:t>分析</w:t>
                  </w:r>
                </w:p>
              </w:tc>
              <w:tc>
                <w:tcPr>
                  <w:tcW w:w="736" w:type="pct"/>
                  <w:tcBorders>
                    <w:tl2br w:val="nil"/>
                    <w:tr2bl w:val="nil"/>
                  </w:tcBorders>
                  <w:noWrap w:val="0"/>
                  <w:vAlign w:val="center"/>
                </w:tcPr>
                <w:p w14:paraId="139D8B1E">
                  <w:pPr>
                    <w:pStyle w:val="134"/>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备注</w:t>
                  </w:r>
                </w:p>
              </w:tc>
            </w:tr>
            <w:tr w14:paraId="4BAF39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tcBorders>
                    <w:tl2br w:val="nil"/>
                    <w:tr2bl w:val="nil"/>
                  </w:tcBorders>
                  <w:noWrap w:val="0"/>
                  <w:vAlign w:val="center"/>
                </w:tcPr>
                <w:p w14:paraId="3020538F">
                  <w:pPr>
                    <w:pStyle w:val="134"/>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w:t>
                  </w:r>
                </w:p>
              </w:tc>
              <w:tc>
                <w:tcPr>
                  <w:tcW w:w="2319" w:type="pct"/>
                  <w:tcBorders>
                    <w:tl2br w:val="nil"/>
                    <w:tr2bl w:val="nil"/>
                  </w:tcBorders>
                  <w:noWrap w:val="0"/>
                  <w:vAlign w:val="center"/>
                </w:tcPr>
                <w:p w14:paraId="7459B497">
                  <w:pPr>
                    <w:pStyle w:val="134"/>
                    <w:spacing w:line="240" w:lineRule="auto"/>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大力推进源头替代。通过使用水性、粉末、高固体份、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工业涂装、包装印刷等行业要加大源头替代力度</w:t>
                  </w:r>
                </w:p>
              </w:tc>
              <w:tc>
                <w:tcPr>
                  <w:tcW w:w="1500" w:type="pct"/>
                  <w:tcBorders>
                    <w:tl2br w:val="nil"/>
                    <w:tr2bl w:val="nil"/>
                  </w:tcBorders>
                  <w:noWrap w:val="0"/>
                  <w:vAlign w:val="center"/>
                </w:tcPr>
                <w:p w14:paraId="2903E25A">
                  <w:pPr>
                    <w:pStyle w:val="134"/>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从源头上削减</w:t>
                  </w:r>
                  <w:r>
                    <w:rPr>
                      <w:rFonts w:hint="eastAsia" w:ascii="Times New Roman" w:cs="Times New Roman"/>
                      <w:color w:val="auto"/>
                      <w:sz w:val="21"/>
                      <w:szCs w:val="21"/>
                      <w:highlight w:val="none"/>
                      <w:lang w:val="en-US" w:eastAsia="zh-CN"/>
                    </w:rPr>
                    <w:t>大豆蛋白</w:t>
                  </w:r>
                  <w:r>
                    <w:rPr>
                      <w:rFonts w:hint="default" w:ascii="Times New Roman" w:hAnsi="Times New Roman" w:eastAsia="宋体" w:cs="Times New Roman"/>
                      <w:color w:val="auto"/>
                      <w:sz w:val="21"/>
                      <w:szCs w:val="21"/>
                      <w:highlight w:val="none"/>
                      <w:lang w:eastAsia="zh-CN"/>
                    </w:rPr>
                    <w:t>胶用量</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本项目年用量很少，符合要求。</w:t>
                  </w:r>
                </w:p>
              </w:tc>
              <w:tc>
                <w:tcPr>
                  <w:tcW w:w="736" w:type="pct"/>
                  <w:tcBorders>
                    <w:tl2br w:val="nil"/>
                    <w:tr2bl w:val="nil"/>
                  </w:tcBorders>
                  <w:noWrap w:val="0"/>
                  <w:vAlign w:val="center"/>
                </w:tcPr>
                <w:p w14:paraId="233C099B">
                  <w:pPr>
                    <w:pStyle w:val="134"/>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78CE61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tcBorders>
                    <w:tl2br w:val="nil"/>
                    <w:tr2bl w:val="nil"/>
                  </w:tcBorders>
                  <w:noWrap w:val="0"/>
                  <w:vAlign w:val="center"/>
                </w:tcPr>
                <w:p w14:paraId="33D30A02">
                  <w:pPr>
                    <w:pStyle w:val="134"/>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w:t>
                  </w:r>
                </w:p>
              </w:tc>
              <w:tc>
                <w:tcPr>
                  <w:tcW w:w="2319" w:type="pct"/>
                  <w:tcBorders>
                    <w:tl2br w:val="nil"/>
                    <w:tr2bl w:val="nil"/>
                  </w:tcBorders>
                  <w:noWrap w:val="0"/>
                  <w:vAlign w:val="center"/>
                </w:tcPr>
                <w:p w14:paraId="2AB5006F">
                  <w:pPr>
                    <w:pStyle w:val="134"/>
                    <w:spacing w:line="240" w:lineRule="auto"/>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1500" w:type="pct"/>
                  <w:tcBorders>
                    <w:tl2br w:val="nil"/>
                    <w:tr2bl w:val="nil"/>
                  </w:tcBorders>
                  <w:noWrap w:val="0"/>
                  <w:vAlign w:val="center"/>
                </w:tcPr>
                <w:p w14:paraId="7278470F">
                  <w:pPr>
                    <w:pStyle w:val="134"/>
                    <w:spacing w:line="240" w:lineRule="auto"/>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项目</w:t>
                  </w:r>
                  <w:r>
                    <w:rPr>
                      <w:rFonts w:hint="eastAsia" w:ascii="Times New Roman" w:cs="Times New Roman"/>
                      <w:color w:val="auto"/>
                      <w:sz w:val="21"/>
                      <w:szCs w:val="21"/>
                      <w:highlight w:val="none"/>
                      <w:lang w:val="en-US" w:eastAsia="zh-CN"/>
                    </w:rPr>
                    <w:t>大豆蛋白</w:t>
                  </w:r>
                  <w:r>
                    <w:rPr>
                      <w:rFonts w:hint="default" w:ascii="Times New Roman" w:hAnsi="Times New Roman" w:cs="Times New Roman"/>
                      <w:color w:val="auto"/>
                      <w:sz w:val="21"/>
                      <w:szCs w:val="21"/>
                      <w:highlight w:val="none"/>
                    </w:rPr>
                    <w:t>胶储存于密闭桶内，盛装</w:t>
                  </w:r>
                  <w:r>
                    <w:rPr>
                      <w:rFonts w:hint="eastAsia" w:ascii="Times New Roman" w:cs="Times New Roman"/>
                      <w:color w:val="auto"/>
                      <w:sz w:val="21"/>
                      <w:szCs w:val="21"/>
                      <w:highlight w:val="none"/>
                      <w:lang w:val="en-US" w:eastAsia="zh-CN"/>
                    </w:rPr>
                    <w:t>大豆蛋白</w:t>
                  </w:r>
                  <w:r>
                    <w:rPr>
                      <w:rFonts w:hint="default" w:ascii="Times New Roman" w:hAnsi="Times New Roman" w:cs="Times New Roman"/>
                      <w:color w:val="auto"/>
                      <w:sz w:val="21"/>
                      <w:szCs w:val="21"/>
                      <w:highlight w:val="none"/>
                    </w:rPr>
                    <w:t>胶桶存放于室内</w:t>
                  </w:r>
                  <w:r>
                    <w:rPr>
                      <w:rFonts w:hint="default" w:ascii="Times New Roman" w:hAnsi="Times New Roman" w:eastAsia="宋体" w:cs="Times New Roman"/>
                      <w:color w:val="auto"/>
                      <w:sz w:val="21"/>
                      <w:szCs w:val="21"/>
                      <w:highlight w:val="none"/>
                      <w:lang w:eastAsia="zh-CN"/>
                    </w:rPr>
                    <w:t>，使用过程通过采取设备与场所密闭、工艺改进，减少VOCs的无组织排放</w:t>
                  </w:r>
                  <w:r>
                    <w:rPr>
                      <w:rFonts w:hint="eastAsia" w:ascii="Times New Roman" w:hAnsi="Times New Roman" w:eastAsia="宋体" w:cs="Times New Roman"/>
                      <w:color w:val="auto"/>
                      <w:sz w:val="21"/>
                      <w:szCs w:val="21"/>
                      <w:highlight w:val="none"/>
                      <w:lang w:eastAsia="zh-CN"/>
                    </w:rPr>
                    <w:t>。</w:t>
                  </w:r>
                </w:p>
              </w:tc>
              <w:tc>
                <w:tcPr>
                  <w:tcW w:w="736" w:type="pct"/>
                  <w:tcBorders>
                    <w:tl2br w:val="nil"/>
                    <w:tr2bl w:val="nil"/>
                  </w:tcBorders>
                  <w:noWrap w:val="0"/>
                  <w:vAlign w:val="center"/>
                </w:tcPr>
                <w:p w14:paraId="7863032D">
                  <w:pPr>
                    <w:pStyle w:val="13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14:paraId="3A4DF352">
            <w:pPr>
              <w:spacing w:line="360" w:lineRule="auto"/>
              <w:ind w:firstLine="480" w:firstLineChars="200"/>
              <w:rPr>
                <w:rFonts w:hint="default" w:ascii="Times New Roman" w:hAnsi="Times New Roman" w:eastAsia="宋体" w:cs="Times New Roman"/>
                <w:color w:val="auto"/>
                <w:kern w:val="0"/>
                <w:sz w:val="24"/>
                <w:highlight w:val="none"/>
                <w:lang w:val="en-US" w:eastAsia="zh-CN"/>
              </w:rPr>
            </w:pPr>
          </w:p>
        </w:tc>
      </w:tr>
    </w:tbl>
    <w:p w14:paraId="7C8022F5">
      <w:pPr>
        <w:pStyle w:val="27"/>
        <w:jc w:val="center"/>
        <w:outlineLvl w:val="9"/>
        <w:rPr>
          <w:rFonts w:hint="default" w:ascii="Times New Roman" w:hAnsi="Times New Roman" w:eastAsia="黑体" w:cs="Times New Roman"/>
          <w:snapToGrid w:val="0"/>
          <w:color w:val="auto"/>
          <w:sz w:val="30"/>
          <w:szCs w:val="30"/>
          <w:highlight w:val="none"/>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4C660CB6">
      <w:pPr>
        <w:pStyle w:val="27"/>
        <w:jc w:val="center"/>
        <w:outlineLvl w:val="0"/>
        <w:rPr>
          <w:rFonts w:hint="default" w:ascii="Times New Roman" w:hAnsi="Times New Roman" w:eastAsia="黑体" w:cs="Times New Roman"/>
          <w:snapToGrid w:val="0"/>
          <w:color w:val="auto"/>
          <w:sz w:val="30"/>
          <w:szCs w:val="30"/>
          <w:highlight w:val="none"/>
        </w:rPr>
      </w:pPr>
      <w:bookmarkStart w:id="21" w:name="_Toc11896"/>
      <w:bookmarkStart w:id="22" w:name="_Toc27498"/>
      <w:r>
        <w:rPr>
          <w:rFonts w:hint="default" w:ascii="Times New Roman" w:hAnsi="Times New Roman" w:eastAsia="黑体" w:cs="Times New Roman"/>
          <w:snapToGrid w:val="0"/>
          <w:color w:val="auto"/>
          <w:sz w:val="30"/>
          <w:szCs w:val="30"/>
          <w:highlight w:val="none"/>
        </w:rPr>
        <w:t>二、建设项目工程分析</w:t>
      </w:r>
      <w:bookmarkEnd w:id="21"/>
      <w:bookmarkEnd w:id="22"/>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5"/>
        <w:gridCol w:w="8429"/>
      </w:tblGrid>
      <w:tr w14:paraId="2EDC96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442" w:hRule="atLeast"/>
          <w:jc w:val="center"/>
        </w:trPr>
        <w:tc>
          <w:tcPr>
            <w:tcW w:w="555" w:type="dxa"/>
            <w:noWrap w:val="0"/>
            <w:vAlign w:val="center"/>
          </w:tcPr>
          <w:p w14:paraId="53F76A52">
            <w:pPr>
              <w:pStyle w:val="27"/>
              <w:adjustRightInd w:val="0"/>
              <w:snapToGrid w:val="0"/>
              <w:spacing w:before="0" w:beforeAutospacing="0" w:after="0" w:afterAutospacing="0"/>
              <w:jc w:val="center"/>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szCs w:val="24"/>
                <w:highlight w:val="none"/>
                <w:lang w:val="en-US" w:eastAsia="zh-CN"/>
              </w:rPr>
              <w:t>建设内容</w:t>
            </w:r>
          </w:p>
        </w:tc>
        <w:tc>
          <w:tcPr>
            <w:tcW w:w="8429" w:type="dxa"/>
            <w:noWrap w:val="0"/>
            <w:vAlign w:val="top"/>
          </w:tcPr>
          <w:p w14:paraId="61F66557">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eastAsia"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1、项目由来</w:t>
            </w:r>
          </w:p>
          <w:p w14:paraId="2F6B4F3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随着中国国民经济长期稳定增长，国家继续扩大内需，采取积极的财政政策，人民生活质量稳步提高，对生态板的国内需求量持续上升，生态板市场在迎来广阔的市场前景的同时行业的集中度将逐步扩大。为了满足市场需求和企业发展的需要，项目业主拟于双鸭山市尖山区</w:t>
            </w:r>
            <w:r>
              <w:rPr>
                <w:rFonts w:hint="eastAsia" w:cs="Times New Roman"/>
                <w:b w:val="0"/>
                <w:bCs w:val="0"/>
                <w:color w:val="auto"/>
                <w:sz w:val="24"/>
                <w:highlight w:val="none"/>
                <w:lang w:val="en-US" w:eastAsia="zh-CN"/>
              </w:rPr>
              <w:t>窑地路</w:t>
            </w:r>
            <w:r>
              <w:rPr>
                <w:rFonts w:hint="eastAsia" w:ascii="Times New Roman" w:hAnsi="Times New Roman" w:cs="Times New Roman"/>
                <w:b w:val="0"/>
                <w:bCs w:val="0"/>
                <w:color w:val="auto"/>
                <w:sz w:val="24"/>
                <w:highlight w:val="none"/>
                <w:lang w:val="en-US" w:eastAsia="zh-CN"/>
              </w:rPr>
              <w:t>，</w:t>
            </w:r>
            <w:r>
              <w:rPr>
                <w:rFonts w:hint="eastAsia" w:cs="Times New Roman"/>
                <w:b w:val="0"/>
                <w:bCs w:val="0"/>
                <w:color w:val="auto"/>
                <w:sz w:val="24"/>
                <w:highlight w:val="none"/>
                <w:lang w:val="en-US" w:eastAsia="zh-CN"/>
              </w:rPr>
              <w:t>利用自有</w:t>
            </w:r>
            <w:r>
              <w:rPr>
                <w:rFonts w:hint="eastAsia" w:ascii="Times New Roman" w:hAnsi="Times New Roman" w:cs="Times New Roman"/>
                <w:b w:val="0"/>
                <w:bCs w:val="0"/>
                <w:color w:val="auto"/>
                <w:sz w:val="24"/>
                <w:highlight w:val="none"/>
                <w:lang w:val="en-US" w:eastAsia="zh-CN"/>
              </w:rPr>
              <w:t>厂房，双鸭山市松森木材</w:t>
            </w:r>
            <w:r>
              <w:rPr>
                <w:rFonts w:hint="eastAsia" w:cs="Times New Roman"/>
                <w:b w:val="0"/>
                <w:bCs w:val="0"/>
                <w:color w:val="auto"/>
                <w:sz w:val="24"/>
                <w:highlight w:val="none"/>
                <w:lang w:val="en-US" w:eastAsia="zh-CN"/>
              </w:rPr>
              <w:t>家具</w:t>
            </w:r>
            <w:r>
              <w:rPr>
                <w:rFonts w:hint="eastAsia" w:ascii="Times New Roman" w:hAnsi="Times New Roman" w:cs="Times New Roman"/>
                <w:b w:val="0"/>
                <w:bCs w:val="0"/>
                <w:color w:val="auto"/>
                <w:sz w:val="24"/>
                <w:highlight w:val="none"/>
                <w:lang w:val="en-US" w:eastAsia="zh-CN"/>
              </w:rPr>
              <w:t>厂总投资</w:t>
            </w:r>
            <w:r>
              <w:rPr>
                <w:rFonts w:hint="eastAsia" w:cs="Times New Roman"/>
                <w:b w:val="0"/>
                <w:bCs w:val="0"/>
                <w:color w:val="auto"/>
                <w:sz w:val="24"/>
                <w:highlight w:val="none"/>
                <w:lang w:val="en-US" w:eastAsia="zh-CN"/>
              </w:rPr>
              <w:t>200</w:t>
            </w:r>
            <w:r>
              <w:rPr>
                <w:rFonts w:hint="eastAsia" w:ascii="Times New Roman" w:hAnsi="Times New Roman" w:cs="Times New Roman"/>
                <w:b w:val="0"/>
                <w:bCs w:val="0"/>
                <w:color w:val="auto"/>
                <w:sz w:val="24"/>
                <w:highlight w:val="none"/>
                <w:lang w:val="en-US" w:eastAsia="zh-CN"/>
              </w:rPr>
              <w:t>万元在双鸭山市</w:t>
            </w:r>
            <w:r>
              <w:rPr>
                <w:rFonts w:hint="eastAsia" w:cs="Times New Roman"/>
                <w:b w:val="0"/>
                <w:bCs w:val="0"/>
                <w:color w:val="auto"/>
                <w:sz w:val="24"/>
                <w:highlight w:val="none"/>
                <w:lang w:val="en-US" w:eastAsia="zh-CN"/>
              </w:rPr>
              <w:t>尖山区窑地路</w:t>
            </w:r>
            <w:r>
              <w:rPr>
                <w:rFonts w:hint="eastAsia" w:ascii="Times New Roman" w:hAnsi="Times New Roman" w:cs="Times New Roman"/>
                <w:b w:val="0"/>
                <w:bCs w:val="0"/>
                <w:color w:val="auto"/>
                <w:sz w:val="24"/>
                <w:highlight w:val="none"/>
                <w:lang w:val="en-US" w:eastAsia="zh-CN"/>
              </w:rPr>
              <w:t>建设年产</w:t>
            </w:r>
            <w:r>
              <w:rPr>
                <w:rFonts w:hint="eastAsia" w:cs="Times New Roman"/>
                <w:b w:val="0"/>
                <w:bCs w:val="0"/>
                <w:color w:val="auto"/>
                <w:sz w:val="24"/>
                <w:highlight w:val="none"/>
                <w:lang w:val="en-US" w:eastAsia="zh-CN"/>
              </w:rPr>
              <w:t>11000立方米的“双鸭山市松森木材加工厂生态板芯项目</w:t>
            </w:r>
            <w:r>
              <w:rPr>
                <w:rFonts w:hint="eastAsia" w:ascii="Times New Roman" w:hAnsi="Times New Roman" w:cs="Times New Roman"/>
                <w:b w:val="0"/>
                <w:bCs w:val="0"/>
                <w:color w:val="auto"/>
                <w:sz w:val="24"/>
                <w:highlight w:val="none"/>
                <w:lang w:val="en-US" w:eastAsia="zh-CN"/>
              </w:rPr>
              <w:t>”。</w:t>
            </w:r>
          </w:p>
          <w:p w14:paraId="39BDFBA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cs="Times New Roman"/>
                <w:b w:val="0"/>
                <w:bCs w:val="0"/>
                <w:color w:val="auto"/>
                <w:sz w:val="24"/>
                <w:highlight w:val="none"/>
                <w:lang w:val="en-US" w:eastAsia="zh-CN"/>
              </w:rPr>
            </w:pPr>
            <w:r>
              <w:rPr>
                <w:rFonts w:hint="eastAsia" w:cs="Times New Roman"/>
                <w:bCs/>
                <w:color w:val="auto"/>
                <w:sz w:val="24"/>
                <w:highlight w:val="none"/>
                <w:lang w:val="en-US" w:eastAsia="zh-CN"/>
              </w:rPr>
              <w:t>项目于2021年10月建成，已建成1栋1层生产车间、1栋1F锅炉房、烘干房、原料棚、成品仓库、休息室，3条生态板芯生产线及其环保配套设施。企业因资金问题一直未投产，现企业主动依法完善有关环保手续，手续齐全后再投产。</w:t>
            </w:r>
          </w:p>
          <w:p w14:paraId="3010BA7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根据《中华人民共和国环境影响评价法》、《建设项目环境保护管理条例》等有关规定，本项目属于《建设项目环境影响评价分类管理名录》(2021年版)十七、木材加工和木、竹、藤、棕、草制品业20中34、人造板制造202、其它类，须编制环境影响报告表。为此，双鸭山市松森木材</w:t>
            </w:r>
            <w:r>
              <w:rPr>
                <w:rFonts w:hint="eastAsia" w:cs="Times New Roman"/>
                <w:b w:val="0"/>
                <w:bCs w:val="0"/>
                <w:color w:val="auto"/>
                <w:sz w:val="24"/>
                <w:highlight w:val="none"/>
                <w:lang w:val="en-US" w:eastAsia="zh-CN"/>
              </w:rPr>
              <w:t>家具</w:t>
            </w:r>
            <w:r>
              <w:rPr>
                <w:rFonts w:hint="eastAsia" w:ascii="Times New Roman" w:hAnsi="Times New Roman" w:cs="Times New Roman"/>
                <w:b w:val="0"/>
                <w:bCs w:val="0"/>
                <w:color w:val="auto"/>
                <w:sz w:val="24"/>
                <w:highlight w:val="none"/>
                <w:lang w:val="en-US" w:eastAsia="zh-CN"/>
              </w:rPr>
              <w:t>厂委托</w:t>
            </w:r>
            <w:r>
              <w:rPr>
                <w:rFonts w:hint="eastAsia" w:cs="Times New Roman"/>
                <w:b w:val="0"/>
                <w:bCs w:val="0"/>
                <w:color w:val="auto"/>
                <w:sz w:val="24"/>
                <w:highlight w:val="none"/>
                <w:lang w:val="en-US" w:eastAsia="zh-CN"/>
              </w:rPr>
              <w:t>黑龙江中科工程管理咨询有限公司</w:t>
            </w:r>
            <w:r>
              <w:rPr>
                <w:rFonts w:hint="eastAsia" w:ascii="Times New Roman" w:hAnsi="Times New Roman" w:cs="Times New Roman"/>
                <w:b w:val="0"/>
                <w:bCs w:val="0"/>
                <w:color w:val="auto"/>
                <w:sz w:val="24"/>
                <w:highlight w:val="none"/>
                <w:lang w:val="en-US" w:eastAsia="zh-CN"/>
              </w:rPr>
              <w:t>承担“</w:t>
            </w:r>
            <w:r>
              <w:rPr>
                <w:rFonts w:hint="eastAsia" w:cs="Times New Roman"/>
                <w:b w:val="0"/>
                <w:bCs w:val="0"/>
                <w:color w:val="auto"/>
                <w:sz w:val="24"/>
                <w:highlight w:val="none"/>
                <w:lang w:val="en-US" w:eastAsia="zh-CN"/>
              </w:rPr>
              <w:t>双鸭山市松森木材加工厂生态板芯项目</w:t>
            </w:r>
            <w:r>
              <w:rPr>
                <w:rFonts w:hint="eastAsia" w:ascii="Times New Roman" w:hAnsi="Times New Roman" w:cs="Times New Roman"/>
                <w:b w:val="0"/>
                <w:bCs w:val="0"/>
                <w:color w:val="auto"/>
                <w:sz w:val="24"/>
                <w:highlight w:val="none"/>
                <w:lang w:val="en-US" w:eastAsia="zh-CN"/>
              </w:rPr>
              <w:t>”的环境影响评价工作。接受委托后，评价单位组织有关人员对项目场址及其周围环境状况进行了详细踏勘，并收集有关本项目资料，编制完成了本项目环境影响报告表。</w:t>
            </w:r>
          </w:p>
          <w:p w14:paraId="7F3B957F">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rPr>
              <w:t>、项目概况</w:t>
            </w:r>
          </w:p>
          <w:p w14:paraId="593C4CC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项目名称：</w:t>
            </w:r>
            <w:r>
              <w:rPr>
                <w:rFonts w:hint="eastAsia" w:cs="Times New Roman"/>
                <w:b w:val="0"/>
                <w:bCs w:val="0"/>
                <w:color w:val="auto"/>
                <w:sz w:val="24"/>
                <w:highlight w:val="none"/>
                <w:lang w:val="en-US" w:eastAsia="zh-CN"/>
              </w:rPr>
              <w:t>双鸭山市松森木材加工厂生态板芯项目</w:t>
            </w:r>
          </w:p>
          <w:p w14:paraId="5D99A4A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建设单位：</w:t>
            </w:r>
            <w:r>
              <w:rPr>
                <w:rFonts w:hint="eastAsia" w:ascii="Times New Roman" w:hAnsi="Times New Roman" w:cs="Times New Roman"/>
                <w:b w:val="0"/>
                <w:bCs w:val="0"/>
                <w:color w:val="auto"/>
                <w:sz w:val="24"/>
                <w:highlight w:val="none"/>
                <w:lang w:val="en-US" w:eastAsia="zh-CN"/>
              </w:rPr>
              <w:t>双鸭山市松森木材</w:t>
            </w:r>
            <w:r>
              <w:rPr>
                <w:rFonts w:hint="eastAsia" w:cs="Times New Roman"/>
                <w:b w:val="0"/>
                <w:bCs w:val="0"/>
                <w:color w:val="auto"/>
                <w:sz w:val="24"/>
                <w:highlight w:val="none"/>
                <w:lang w:val="en-US" w:eastAsia="zh-CN"/>
              </w:rPr>
              <w:t>家具</w:t>
            </w:r>
            <w:r>
              <w:rPr>
                <w:rFonts w:hint="eastAsia" w:ascii="Times New Roman" w:hAnsi="Times New Roman" w:cs="Times New Roman"/>
                <w:b w:val="0"/>
                <w:bCs w:val="0"/>
                <w:color w:val="auto"/>
                <w:sz w:val="24"/>
                <w:highlight w:val="none"/>
                <w:lang w:val="en-US" w:eastAsia="zh-CN"/>
              </w:rPr>
              <w:t>厂</w:t>
            </w:r>
          </w:p>
          <w:p w14:paraId="5843B6B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项目性质：新建</w:t>
            </w:r>
          </w:p>
          <w:p w14:paraId="775D3E7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建设地点：双鸭山市尖山区</w:t>
            </w:r>
            <w:r>
              <w:rPr>
                <w:rFonts w:hint="eastAsia" w:cs="Times New Roman"/>
                <w:bCs/>
                <w:color w:val="auto"/>
                <w:sz w:val="24"/>
                <w:highlight w:val="none"/>
                <w:lang w:val="en-US" w:eastAsia="zh-CN"/>
              </w:rPr>
              <w:t>窑地路</w:t>
            </w:r>
          </w:p>
          <w:p w14:paraId="7F06E75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cs="Times New Roman"/>
                <w:bCs/>
                <w:color w:val="auto"/>
                <w:sz w:val="24"/>
                <w:highlight w:val="none"/>
              </w:rPr>
              <w:t>占地面积：1</w:t>
            </w:r>
            <w:r>
              <w:rPr>
                <w:rFonts w:hint="eastAsia" w:cs="Times New Roman"/>
                <w:bCs/>
                <w:color w:val="auto"/>
                <w:sz w:val="24"/>
                <w:highlight w:val="none"/>
                <w:lang w:val="en-US" w:eastAsia="zh-CN"/>
              </w:rPr>
              <w:t>862.25m</w:t>
            </w:r>
            <w:r>
              <w:rPr>
                <w:rFonts w:hint="eastAsia" w:cs="Times New Roman"/>
                <w:bCs/>
                <w:color w:val="auto"/>
                <w:sz w:val="24"/>
                <w:highlight w:val="none"/>
                <w:vertAlign w:val="superscript"/>
                <w:lang w:val="en-US" w:eastAsia="zh-CN"/>
              </w:rPr>
              <w:t>2</w:t>
            </w:r>
          </w:p>
          <w:p w14:paraId="2881312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投资及来源：项目总投资</w:t>
            </w:r>
            <w:r>
              <w:rPr>
                <w:rFonts w:hint="eastAsia" w:cs="Times New Roman"/>
                <w:bCs/>
                <w:color w:val="auto"/>
                <w:sz w:val="24"/>
                <w:highlight w:val="none"/>
                <w:lang w:val="en-US" w:eastAsia="zh-CN"/>
              </w:rPr>
              <w:t>2</w:t>
            </w:r>
            <w:r>
              <w:rPr>
                <w:rFonts w:hint="default" w:ascii="Times New Roman" w:hAnsi="Times New Roman" w:cs="Times New Roman"/>
                <w:bCs/>
                <w:color w:val="auto"/>
                <w:sz w:val="24"/>
                <w:highlight w:val="none"/>
              </w:rPr>
              <w:t>00万元，全部由企业自筹</w:t>
            </w:r>
          </w:p>
          <w:p w14:paraId="6F73A34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bCs/>
                <w:color w:val="auto"/>
                <w:sz w:val="24"/>
                <w:highlight w:val="none"/>
              </w:rPr>
            </w:pPr>
            <w:r>
              <w:rPr>
                <w:rFonts w:hint="eastAsia" w:ascii="Times New Roman" w:hAnsi="Times New Roman" w:eastAsia="宋体" w:cs="Times New Roman"/>
                <w:bCs/>
                <w:color w:val="auto"/>
                <w:sz w:val="24"/>
                <w:highlight w:val="none"/>
                <w:lang w:val="en-US" w:eastAsia="zh-CN"/>
              </w:rPr>
              <w:t>劳动定员</w:t>
            </w:r>
            <w:r>
              <w:rPr>
                <w:rFonts w:hint="eastAsia" w:cs="Times New Roman"/>
                <w:bCs/>
                <w:color w:val="auto"/>
                <w:sz w:val="24"/>
                <w:highlight w:val="none"/>
                <w:lang w:val="en-US" w:eastAsia="zh-CN"/>
              </w:rPr>
              <w:t>及工作制度</w:t>
            </w:r>
            <w:r>
              <w:rPr>
                <w:rFonts w:hint="eastAsia" w:ascii="Times New Roman" w:hAnsi="Times New Roman" w:eastAsia="宋体" w:cs="Times New Roman"/>
                <w:bCs/>
                <w:color w:val="auto"/>
                <w:sz w:val="24"/>
                <w:highlight w:val="none"/>
                <w:lang w:val="en-US" w:eastAsia="zh-CN"/>
              </w:rPr>
              <w:t>：劳动定员</w:t>
            </w:r>
            <w:r>
              <w:rPr>
                <w:rFonts w:hint="eastAsia" w:cs="Times New Roman"/>
                <w:bCs/>
                <w:color w:val="auto"/>
                <w:sz w:val="24"/>
                <w:highlight w:val="none"/>
                <w:lang w:val="en-US" w:eastAsia="zh-CN"/>
              </w:rPr>
              <w:t>18</w:t>
            </w:r>
            <w:r>
              <w:rPr>
                <w:rFonts w:hint="eastAsia" w:ascii="Times New Roman" w:hAnsi="Times New Roman" w:eastAsia="宋体" w:cs="Times New Roman"/>
                <w:bCs/>
                <w:color w:val="auto"/>
                <w:sz w:val="24"/>
                <w:highlight w:val="none"/>
                <w:lang w:val="en-US" w:eastAsia="zh-CN"/>
              </w:rPr>
              <w:t>人</w:t>
            </w:r>
            <w:r>
              <w:rPr>
                <w:rFonts w:hint="eastAsia" w:cs="Times New Roman"/>
                <w:bCs/>
                <w:color w:val="auto"/>
                <w:sz w:val="24"/>
                <w:highlight w:val="none"/>
                <w:lang w:val="en-US" w:eastAsia="zh-CN"/>
              </w:rPr>
              <w:t>，每天工作8小时，一班制，全年营业270天</w:t>
            </w:r>
          </w:p>
          <w:p w14:paraId="28F04C3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cs="Times New Roman"/>
                <w:bCs/>
                <w:color w:val="auto"/>
                <w:sz w:val="24"/>
                <w:highlight w:val="none"/>
              </w:rPr>
              <w:t>建设规模：年</w:t>
            </w:r>
            <w:r>
              <w:rPr>
                <w:rFonts w:hint="eastAsia" w:cs="Times New Roman"/>
                <w:bCs/>
                <w:color w:val="auto"/>
                <w:sz w:val="24"/>
                <w:highlight w:val="none"/>
                <w:lang w:val="en-US" w:eastAsia="zh-CN"/>
              </w:rPr>
              <w:t>生产生态板芯11000立方米</w:t>
            </w:r>
          </w:p>
          <w:p w14:paraId="7815E37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项目建设地点及周边环境：本项目建设地点位于双鸭山市尖山区</w:t>
            </w:r>
            <w:r>
              <w:rPr>
                <w:rFonts w:hint="eastAsia" w:cs="Times New Roman"/>
                <w:bCs/>
                <w:color w:val="auto"/>
                <w:sz w:val="24"/>
                <w:highlight w:val="none"/>
                <w:lang w:val="en-US" w:eastAsia="zh-CN"/>
              </w:rPr>
              <w:t>窑地路</w:t>
            </w:r>
            <w:r>
              <w:rPr>
                <w:rFonts w:hint="default" w:ascii="Times New Roman" w:hAnsi="Times New Roman" w:cs="Times New Roman"/>
                <w:bCs/>
                <w:color w:val="auto"/>
                <w:sz w:val="24"/>
                <w:highlight w:val="none"/>
              </w:rPr>
              <w:t>，厂区中心坐标为</w:t>
            </w:r>
            <w:r>
              <w:rPr>
                <w:rFonts w:hint="default" w:ascii="Times New Roman" w:hAnsi="Times New Roman" w:cs="Times New Roman"/>
                <w:bCs/>
                <w:color w:val="auto"/>
                <w:sz w:val="24"/>
                <w:highlight w:val="none"/>
                <w:lang w:val="en-US" w:eastAsia="zh-CN"/>
              </w:rPr>
              <w:t>131</w:t>
            </w:r>
            <w:r>
              <w:rPr>
                <w:rFonts w:hint="default" w:ascii="Times New Roman" w:hAnsi="Times New Roman" w:cs="Times New Roman"/>
                <w:bCs/>
                <w:color w:val="auto"/>
                <w:sz w:val="24"/>
                <w:highlight w:val="none"/>
              </w:rPr>
              <w:t>度</w:t>
            </w:r>
            <w:r>
              <w:rPr>
                <w:rFonts w:hint="default" w:ascii="Times New Roman" w:hAnsi="Times New Roman" w:cs="Times New Roman"/>
                <w:bCs/>
                <w:color w:val="auto"/>
                <w:sz w:val="24"/>
                <w:highlight w:val="none"/>
                <w:lang w:val="en-US" w:eastAsia="zh-CN"/>
              </w:rPr>
              <w:t>10</w:t>
            </w:r>
            <w:r>
              <w:rPr>
                <w:rFonts w:hint="default" w:ascii="Times New Roman" w:hAnsi="Times New Roman" w:cs="Times New Roman"/>
                <w:bCs/>
                <w:color w:val="auto"/>
                <w:sz w:val="24"/>
                <w:highlight w:val="none"/>
              </w:rPr>
              <w:t>分</w:t>
            </w:r>
            <w:r>
              <w:rPr>
                <w:rFonts w:hint="default" w:ascii="Times New Roman" w:hAnsi="Times New Roman" w:cs="Times New Roman"/>
                <w:bCs/>
                <w:color w:val="auto"/>
                <w:sz w:val="24"/>
                <w:highlight w:val="none"/>
                <w:lang w:val="en-US" w:eastAsia="zh-CN"/>
              </w:rPr>
              <w:t>13.517</w:t>
            </w:r>
            <w:r>
              <w:rPr>
                <w:rFonts w:hint="default" w:ascii="Times New Roman" w:hAnsi="Times New Roman" w:cs="Times New Roman"/>
                <w:bCs/>
                <w:color w:val="auto"/>
                <w:sz w:val="24"/>
                <w:highlight w:val="none"/>
              </w:rPr>
              <w:t>秒，</w:t>
            </w:r>
            <w:r>
              <w:rPr>
                <w:rFonts w:hint="default" w:ascii="Times New Roman" w:hAnsi="Times New Roman" w:cs="Times New Roman"/>
                <w:bCs/>
                <w:color w:val="auto"/>
                <w:sz w:val="24"/>
                <w:highlight w:val="none"/>
                <w:lang w:val="en-US" w:eastAsia="zh-CN"/>
              </w:rPr>
              <w:t>46</w:t>
            </w:r>
            <w:r>
              <w:rPr>
                <w:rFonts w:hint="default" w:ascii="Times New Roman" w:hAnsi="Times New Roman" w:cs="Times New Roman"/>
                <w:bCs/>
                <w:color w:val="auto"/>
                <w:sz w:val="24"/>
                <w:highlight w:val="none"/>
              </w:rPr>
              <w:t>度</w:t>
            </w:r>
            <w:r>
              <w:rPr>
                <w:rFonts w:hint="default" w:ascii="Times New Roman" w:hAnsi="Times New Roman" w:cs="Times New Roman"/>
                <w:bCs/>
                <w:color w:val="auto"/>
                <w:sz w:val="24"/>
                <w:highlight w:val="none"/>
                <w:lang w:val="en-US" w:eastAsia="zh-CN"/>
              </w:rPr>
              <w:t>36</w:t>
            </w:r>
            <w:r>
              <w:rPr>
                <w:rFonts w:hint="default" w:ascii="Times New Roman" w:hAnsi="Times New Roman" w:cs="Times New Roman"/>
                <w:bCs/>
                <w:color w:val="auto"/>
                <w:sz w:val="24"/>
                <w:highlight w:val="none"/>
              </w:rPr>
              <w:t>分</w:t>
            </w:r>
            <w:r>
              <w:rPr>
                <w:rFonts w:hint="default" w:ascii="Times New Roman" w:hAnsi="Times New Roman" w:cs="Times New Roman"/>
                <w:bCs/>
                <w:color w:val="auto"/>
                <w:sz w:val="24"/>
                <w:highlight w:val="none"/>
                <w:lang w:val="en-US" w:eastAsia="zh-CN"/>
              </w:rPr>
              <w:t>49.044</w:t>
            </w:r>
            <w:r>
              <w:rPr>
                <w:rFonts w:hint="default" w:ascii="Times New Roman" w:hAnsi="Times New Roman" w:cs="Times New Roman"/>
                <w:bCs/>
                <w:color w:val="auto"/>
                <w:sz w:val="24"/>
                <w:highlight w:val="none"/>
              </w:rPr>
              <w:t>秒，项目用地为</w:t>
            </w:r>
            <w:r>
              <w:rPr>
                <w:rFonts w:hint="eastAsia" w:cs="Times New Roman"/>
                <w:bCs/>
                <w:color w:val="auto"/>
                <w:sz w:val="24"/>
                <w:highlight w:val="none"/>
                <w:lang w:val="en-US" w:eastAsia="zh-CN"/>
              </w:rPr>
              <w:t>自有</w:t>
            </w:r>
            <w:r>
              <w:rPr>
                <w:rFonts w:hint="default" w:ascii="Times New Roman" w:hAnsi="Times New Roman" w:cs="Times New Roman"/>
                <w:bCs/>
                <w:color w:val="auto"/>
                <w:sz w:val="24"/>
                <w:highlight w:val="none"/>
              </w:rPr>
              <w:t>厂房，</w:t>
            </w:r>
            <w:r>
              <w:rPr>
                <w:rFonts w:hint="eastAsia" w:cs="Times New Roman"/>
                <w:bCs/>
                <w:color w:val="auto"/>
                <w:sz w:val="24"/>
                <w:highlight w:val="none"/>
                <w:lang w:val="en-US" w:eastAsia="zh-CN"/>
              </w:rPr>
              <w:t>土地手续</w:t>
            </w:r>
            <w:r>
              <w:rPr>
                <w:rFonts w:hint="default" w:ascii="Times New Roman" w:hAnsi="Times New Roman" w:cs="Times New Roman"/>
                <w:bCs/>
                <w:color w:val="auto"/>
                <w:sz w:val="24"/>
                <w:highlight w:val="none"/>
              </w:rPr>
              <w:t>见附件</w:t>
            </w:r>
            <w:r>
              <w:rPr>
                <w:rFonts w:hint="eastAsia" w:cs="Times New Roman"/>
                <w:bCs/>
                <w:color w:val="auto"/>
                <w:sz w:val="24"/>
                <w:highlight w:val="none"/>
                <w:lang w:val="en-US" w:eastAsia="zh-CN"/>
              </w:rPr>
              <w:t>4</w:t>
            </w:r>
            <w:r>
              <w:rPr>
                <w:rFonts w:hint="default" w:ascii="Times New Roman" w:hAnsi="Times New Roman" w:cs="Times New Roman"/>
                <w:bCs/>
                <w:color w:val="auto"/>
                <w:sz w:val="24"/>
                <w:highlight w:val="none"/>
              </w:rPr>
              <w:t>，</w:t>
            </w:r>
            <w:r>
              <w:rPr>
                <w:rFonts w:hint="eastAsia" w:ascii="Times New Roman" w:hAnsi="Times New Roman" w:cs="Times New Roman"/>
                <w:color w:val="auto"/>
                <w:sz w:val="24"/>
                <w:highlight w:val="none"/>
                <w:lang w:val="en-US" w:eastAsia="zh-CN"/>
              </w:rPr>
              <w:t>本项目</w:t>
            </w:r>
            <w:r>
              <w:rPr>
                <w:rFonts w:hint="eastAsia" w:cs="Times New Roman"/>
                <w:color w:val="auto"/>
                <w:sz w:val="24"/>
                <w:highlight w:val="none"/>
                <w:lang w:val="en-US" w:eastAsia="zh-CN"/>
              </w:rPr>
              <w:t>厂界</w:t>
            </w:r>
            <w:r>
              <w:rPr>
                <w:rFonts w:hint="eastAsia" w:ascii="Times New Roman" w:hAnsi="Times New Roman" w:cs="Times New Roman"/>
                <w:color w:val="auto"/>
                <w:sz w:val="24"/>
                <w:highlight w:val="none"/>
                <w:lang w:val="en-US" w:eastAsia="zh-CN"/>
              </w:rPr>
              <w:t>北侧为</w:t>
            </w:r>
            <w:r>
              <w:rPr>
                <w:rFonts w:hint="eastAsia" w:cs="Times New Roman"/>
                <w:color w:val="auto"/>
                <w:sz w:val="24"/>
                <w:highlight w:val="none"/>
                <w:lang w:val="en-US" w:eastAsia="zh-CN"/>
              </w:rPr>
              <w:t>空地，</w:t>
            </w:r>
            <w:r>
              <w:rPr>
                <w:rFonts w:hint="eastAsia" w:ascii="Times New Roman" w:hAnsi="Times New Roman" w:cs="Times New Roman"/>
                <w:color w:val="auto"/>
                <w:sz w:val="24"/>
                <w:highlight w:val="none"/>
                <w:lang w:val="en-US" w:eastAsia="zh-CN"/>
              </w:rPr>
              <w:t>东侧为</w:t>
            </w:r>
            <w:r>
              <w:rPr>
                <w:rFonts w:hint="eastAsia" w:cs="Times New Roman"/>
                <w:color w:val="auto"/>
                <w:sz w:val="24"/>
                <w:highlight w:val="none"/>
                <w:lang w:val="en-US" w:eastAsia="zh-CN"/>
              </w:rPr>
              <w:t>窑地路，</w:t>
            </w:r>
            <w:r>
              <w:rPr>
                <w:rFonts w:hint="eastAsia" w:ascii="Times New Roman" w:hAnsi="Times New Roman" w:cs="Times New Roman"/>
                <w:color w:val="auto"/>
                <w:sz w:val="24"/>
                <w:highlight w:val="none"/>
                <w:lang w:val="en-US" w:eastAsia="zh-CN"/>
              </w:rPr>
              <w:t>南侧为</w:t>
            </w:r>
            <w:r>
              <w:rPr>
                <w:rFonts w:hint="eastAsia" w:cs="Times New Roman"/>
                <w:color w:val="auto"/>
                <w:sz w:val="24"/>
                <w:highlight w:val="none"/>
                <w:lang w:val="en-US" w:eastAsia="zh-CN"/>
              </w:rPr>
              <w:t>宝成家具厂，</w:t>
            </w:r>
            <w:r>
              <w:rPr>
                <w:rFonts w:hint="eastAsia" w:ascii="Times New Roman" w:hAnsi="Times New Roman" w:cs="Times New Roman"/>
                <w:color w:val="auto"/>
                <w:sz w:val="24"/>
                <w:highlight w:val="none"/>
                <w:lang w:val="en-US" w:eastAsia="zh-CN"/>
              </w:rPr>
              <w:t>西侧为</w:t>
            </w:r>
            <w:r>
              <w:rPr>
                <w:rFonts w:hint="eastAsia" w:cs="Times New Roman"/>
                <w:color w:val="auto"/>
                <w:sz w:val="24"/>
                <w:highlight w:val="none"/>
                <w:lang w:val="en-US" w:eastAsia="zh-CN"/>
              </w:rPr>
              <w:t>大蒜厂</w:t>
            </w:r>
            <w:r>
              <w:rPr>
                <w:rFonts w:hint="default" w:ascii="Times New Roman" w:hAnsi="Times New Roman" w:cs="Times New Roman"/>
                <w:bCs/>
                <w:color w:val="auto"/>
                <w:sz w:val="24"/>
                <w:highlight w:val="none"/>
              </w:rPr>
              <w:t>。</w:t>
            </w:r>
          </w:p>
          <w:p w14:paraId="4836E20F">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、项目</w:t>
            </w:r>
            <w:r>
              <w:rPr>
                <w:rFonts w:hint="eastAsia" w:ascii="Times New Roman" w:hAnsi="Times New Roman" w:cs="Times New Roman"/>
                <w:b/>
                <w:bCs/>
                <w:color w:val="auto"/>
                <w:sz w:val="24"/>
                <w:highlight w:val="none"/>
                <w:lang w:val="en-US" w:eastAsia="zh-CN"/>
              </w:rPr>
              <w:t>建设内容</w:t>
            </w:r>
          </w:p>
          <w:p w14:paraId="50669E4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本项目利用</w:t>
            </w:r>
            <w:r>
              <w:rPr>
                <w:rFonts w:hint="eastAsia" w:cs="Times New Roman"/>
                <w:bCs/>
                <w:color w:val="auto"/>
                <w:sz w:val="24"/>
                <w:highlight w:val="none"/>
                <w:lang w:val="en-US" w:eastAsia="zh-CN"/>
              </w:rPr>
              <w:t>自有</w:t>
            </w:r>
            <w:r>
              <w:rPr>
                <w:rFonts w:hint="default" w:ascii="Times New Roman" w:hAnsi="Times New Roman" w:eastAsia="宋体" w:cs="Times New Roman"/>
                <w:bCs/>
                <w:color w:val="auto"/>
                <w:sz w:val="24"/>
                <w:highlight w:val="none"/>
                <w:lang w:val="en-US" w:eastAsia="zh-CN"/>
              </w:rPr>
              <w:t>厂房，不新建厂房，厂区总占地面积1</w:t>
            </w:r>
            <w:r>
              <w:rPr>
                <w:rFonts w:hint="eastAsia" w:cs="Times New Roman"/>
                <w:bCs/>
                <w:color w:val="auto"/>
                <w:sz w:val="24"/>
                <w:highlight w:val="none"/>
                <w:lang w:val="en-US" w:eastAsia="zh-CN"/>
              </w:rPr>
              <w:t>862.25</w:t>
            </w:r>
            <w:r>
              <w:rPr>
                <w:rFonts w:hint="default" w:ascii="Times New Roman" w:hAnsi="Times New Roman" w:eastAsia="宋体" w:cs="Times New Roman"/>
                <w:bCs/>
                <w:color w:val="auto"/>
                <w:sz w:val="24"/>
                <w:highlight w:val="none"/>
                <w:lang w:val="en-US" w:eastAsia="zh-CN"/>
              </w:rPr>
              <w:t>m</w:t>
            </w:r>
            <w:r>
              <w:rPr>
                <w:rFonts w:hint="default" w:ascii="Times New Roman" w:hAnsi="Times New Roman" w:eastAsia="宋体" w:cs="Times New Roman"/>
                <w:bCs/>
                <w:color w:val="auto"/>
                <w:sz w:val="24"/>
                <w:highlight w:val="none"/>
                <w:vertAlign w:val="superscript"/>
                <w:lang w:val="en-US" w:eastAsia="zh-CN"/>
              </w:rPr>
              <w:t>2</w:t>
            </w:r>
            <w:r>
              <w:rPr>
                <w:rFonts w:hint="default" w:ascii="Times New Roman" w:hAnsi="Times New Roman" w:eastAsia="宋体" w:cs="Times New Roman"/>
                <w:bCs/>
                <w:color w:val="auto"/>
                <w:sz w:val="24"/>
                <w:highlight w:val="none"/>
                <w:lang w:val="en-US" w:eastAsia="zh-CN"/>
              </w:rPr>
              <w:t>，本项目所用厂房总建筑面积为</w:t>
            </w:r>
            <w:r>
              <w:rPr>
                <w:rFonts w:hint="eastAsia" w:cs="Times New Roman"/>
                <w:bCs/>
                <w:color w:val="auto"/>
                <w:sz w:val="24"/>
                <w:highlight w:val="none"/>
                <w:lang w:val="en-US" w:eastAsia="zh-CN"/>
              </w:rPr>
              <w:t>1340</w:t>
            </w:r>
            <w:r>
              <w:rPr>
                <w:rFonts w:hint="default" w:ascii="Times New Roman" w:hAnsi="Times New Roman" w:eastAsia="宋体" w:cs="Times New Roman"/>
                <w:bCs/>
                <w:color w:val="auto"/>
                <w:sz w:val="24"/>
                <w:highlight w:val="none"/>
                <w:lang w:val="en-US" w:eastAsia="zh-CN"/>
              </w:rPr>
              <w:t>m</w:t>
            </w:r>
            <w:r>
              <w:rPr>
                <w:rFonts w:hint="default" w:ascii="Times New Roman" w:hAnsi="Times New Roman" w:eastAsia="宋体" w:cs="Times New Roman"/>
                <w:bCs/>
                <w:color w:val="auto"/>
                <w:sz w:val="24"/>
                <w:highlight w:val="none"/>
                <w:vertAlign w:val="superscript"/>
                <w:lang w:val="en-US" w:eastAsia="zh-CN"/>
              </w:rPr>
              <w:t>2</w:t>
            </w:r>
            <w:r>
              <w:rPr>
                <w:rFonts w:hint="default" w:ascii="Times New Roman" w:hAnsi="Times New Roman" w:eastAsia="宋体" w:cs="Times New Roman"/>
                <w:bCs/>
                <w:color w:val="auto"/>
                <w:sz w:val="24"/>
                <w:highlight w:val="none"/>
                <w:lang w:val="en-US" w:eastAsia="zh-CN"/>
              </w:rPr>
              <w:t>，其主要组成包括：1栋1层生产车间、1栋1F锅炉房、烘干房、原料棚、成品仓库、</w:t>
            </w:r>
            <w:r>
              <w:rPr>
                <w:rFonts w:hint="eastAsia" w:cs="Times New Roman"/>
                <w:bCs/>
                <w:color w:val="auto"/>
                <w:sz w:val="24"/>
                <w:highlight w:val="none"/>
                <w:lang w:val="en-US" w:eastAsia="zh-CN"/>
              </w:rPr>
              <w:t>办公</w:t>
            </w:r>
            <w:r>
              <w:rPr>
                <w:rFonts w:hint="default" w:ascii="Times New Roman" w:hAnsi="Times New Roman" w:eastAsia="宋体" w:cs="Times New Roman"/>
                <w:bCs/>
                <w:color w:val="auto"/>
                <w:sz w:val="24"/>
                <w:highlight w:val="none"/>
                <w:lang w:val="en-US" w:eastAsia="zh-CN"/>
              </w:rPr>
              <w:t>室，3条生态板芯生产线及其配套设施，项目平面布置图见附图3，具体项目组成见表</w:t>
            </w:r>
            <w:r>
              <w:rPr>
                <w:rFonts w:hint="eastAsia"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val="en-US" w:eastAsia="zh-CN"/>
              </w:rPr>
              <w:t>1。</w:t>
            </w:r>
          </w:p>
          <w:p w14:paraId="1B90A4D0">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b/>
                <w:bCs/>
                <w:color w:val="auto"/>
                <w:sz w:val="24"/>
                <w:szCs w:val="24"/>
                <w:highlight w:val="none"/>
              </w:rPr>
            </w:pPr>
            <w:r>
              <w:rPr>
                <w:b/>
                <w:bCs/>
                <w:color w:val="auto"/>
                <w:sz w:val="24"/>
                <w:szCs w:val="24"/>
                <w:highlight w:val="none"/>
              </w:rPr>
              <w:t xml:space="preserve">表2-1 </w:t>
            </w:r>
            <w:r>
              <w:rPr>
                <w:rFonts w:hint="eastAsia"/>
                <w:b/>
                <w:bCs/>
                <w:color w:val="auto"/>
                <w:sz w:val="24"/>
                <w:szCs w:val="24"/>
                <w:highlight w:val="none"/>
                <w:lang w:val="en-US" w:eastAsia="zh-CN"/>
              </w:rPr>
              <w:t>本</w:t>
            </w:r>
            <w:r>
              <w:rPr>
                <w:b/>
                <w:bCs/>
                <w:color w:val="auto"/>
                <w:sz w:val="24"/>
                <w:szCs w:val="24"/>
                <w:highlight w:val="none"/>
              </w:rPr>
              <w:t>项目</w:t>
            </w:r>
            <w:r>
              <w:rPr>
                <w:rFonts w:hint="eastAsia"/>
                <w:b/>
                <w:bCs/>
                <w:color w:val="auto"/>
                <w:sz w:val="24"/>
                <w:szCs w:val="24"/>
                <w:highlight w:val="none"/>
                <w:lang w:val="en-US" w:eastAsia="zh-CN"/>
              </w:rPr>
              <w:t>工程</w:t>
            </w:r>
            <w:r>
              <w:rPr>
                <w:b/>
                <w:bCs/>
                <w:color w:val="auto"/>
                <w:sz w:val="24"/>
                <w:szCs w:val="24"/>
                <w:highlight w:val="none"/>
              </w:rPr>
              <w:t>内容一览表</w:t>
            </w:r>
          </w:p>
          <w:tbl>
            <w:tblPr>
              <w:tblStyle w:val="31"/>
              <w:tblW w:w="503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771"/>
              <w:gridCol w:w="1117"/>
              <w:gridCol w:w="5819"/>
              <w:gridCol w:w="567"/>
            </w:tblGrid>
            <w:tr w14:paraId="16DB18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38" w:hRule="atLeast"/>
                <w:jc w:val="center"/>
              </w:trPr>
              <w:tc>
                <w:tcPr>
                  <w:tcW w:w="1140" w:type="pct"/>
                  <w:gridSpan w:val="2"/>
                  <w:noWrap w:val="0"/>
                  <w:vAlign w:val="center"/>
                </w:tcPr>
                <w:p w14:paraId="446E9709">
                  <w:pPr>
                    <w:jc w:val="center"/>
                    <w:rPr>
                      <w:rFonts w:hint="eastAsia" w:eastAsia="宋体"/>
                      <w:b/>
                      <w:bCs/>
                      <w:color w:val="auto"/>
                      <w:szCs w:val="21"/>
                      <w:highlight w:val="none"/>
                      <w:lang w:eastAsia="zh-CN"/>
                    </w:rPr>
                  </w:pPr>
                  <w:r>
                    <w:rPr>
                      <w:rFonts w:hint="eastAsia"/>
                      <w:b/>
                      <w:bCs/>
                      <w:color w:val="auto"/>
                      <w:szCs w:val="21"/>
                      <w:highlight w:val="none"/>
                      <w:lang w:val="en-US" w:eastAsia="zh-CN"/>
                    </w:rPr>
                    <w:t>建设内容</w:t>
                  </w:r>
                </w:p>
              </w:tc>
              <w:tc>
                <w:tcPr>
                  <w:tcW w:w="3516" w:type="pct"/>
                  <w:noWrap w:val="0"/>
                  <w:vAlign w:val="center"/>
                </w:tcPr>
                <w:p w14:paraId="25A05421">
                  <w:pPr>
                    <w:jc w:val="center"/>
                    <w:rPr>
                      <w:rFonts w:hint="eastAsia" w:eastAsia="宋体"/>
                      <w:b/>
                      <w:bCs/>
                      <w:color w:val="auto"/>
                      <w:szCs w:val="21"/>
                      <w:highlight w:val="none"/>
                      <w:lang w:val="en-US" w:eastAsia="zh-CN"/>
                    </w:rPr>
                  </w:pPr>
                  <w:r>
                    <w:rPr>
                      <w:rFonts w:hint="eastAsia"/>
                      <w:b/>
                      <w:bCs/>
                      <w:color w:val="auto"/>
                      <w:szCs w:val="21"/>
                      <w:highlight w:val="none"/>
                    </w:rPr>
                    <w:t>建设规模及</w:t>
                  </w:r>
                  <w:r>
                    <w:rPr>
                      <w:rFonts w:hint="eastAsia"/>
                      <w:b/>
                      <w:bCs/>
                      <w:color w:val="auto"/>
                      <w:szCs w:val="21"/>
                      <w:highlight w:val="none"/>
                      <w:lang w:val="en-US" w:eastAsia="zh-CN"/>
                    </w:rPr>
                    <w:t>内容</w:t>
                  </w:r>
                </w:p>
              </w:tc>
              <w:tc>
                <w:tcPr>
                  <w:tcW w:w="342" w:type="pct"/>
                  <w:noWrap w:val="0"/>
                  <w:vAlign w:val="center"/>
                </w:tcPr>
                <w:p w14:paraId="331D7E47">
                  <w:pPr>
                    <w:jc w:val="center"/>
                    <w:rPr>
                      <w:b/>
                      <w:bCs/>
                      <w:color w:val="auto"/>
                      <w:szCs w:val="21"/>
                      <w:highlight w:val="none"/>
                    </w:rPr>
                  </w:pPr>
                  <w:r>
                    <w:rPr>
                      <w:rFonts w:hint="eastAsia"/>
                      <w:b/>
                      <w:bCs/>
                      <w:color w:val="auto"/>
                      <w:szCs w:val="21"/>
                      <w:highlight w:val="none"/>
                    </w:rPr>
                    <w:t>备注</w:t>
                  </w:r>
                </w:p>
              </w:tc>
            </w:tr>
            <w:tr w14:paraId="25BC8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08" w:hRule="atLeast"/>
                <w:jc w:val="center"/>
              </w:trPr>
              <w:tc>
                <w:tcPr>
                  <w:tcW w:w="465" w:type="pct"/>
                  <w:vMerge w:val="restart"/>
                  <w:noWrap w:val="0"/>
                  <w:vAlign w:val="center"/>
                </w:tcPr>
                <w:p w14:paraId="07182516">
                  <w:pPr>
                    <w:jc w:val="center"/>
                    <w:rPr>
                      <w:b/>
                      <w:bCs/>
                      <w:color w:val="auto"/>
                      <w:szCs w:val="21"/>
                      <w:highlight w:val="none"/>
                    </w:rPr>
                  </w:pPr>
                  <w:r>
                    <w:rPr>
                      <w:b/>
                      <w:bCs/>
                      <w:color w:val="auto"/>
                      <w:szCs w:val="21"/>
                      <w:highlight w:val="none"/>
                    </w:rPr>
                    <w:t>主体工程</w:t>
                  </w:r>
                </w:p>
              </w:tc>
              <w:tc>
                <w:tcPr>
                  <w:tcW w:w="675" w:type="pct"/>
                  <w:noWrap w:val="0"/>
                  <w:vAlign w:val="center"/>
                </w:tcPr>
                <w:p w14:paraId="06B52910">
                  <w:pPr>
                    <w:jc w:val="center"/>
                    <w:rPr>
                      <w:rFonts w:hint="eastAsia"/>
                      <w:color w:val="auto"/>
                      <w:szCs w:val="21"/>
                      <w:highlight w:val="none"/>
                    </w:rPr>
                  </w:pPr>
                  <w:r>
                    <w:rPr>
                      <w:rFonts w:hint="eastAsia"/>
                      <w:color w:val="auto"/>
                      <w:szCs w:val="21"/>
                      <w:highlight w:val="none"/>
                      <w:lang w:val="en-US" w:eastAsia="zh-CN"/>
                    </w:rPr>
                    <w:t>生产车间</w:t>
                  </w:r>
                </w:p>
              </w:tc>
              <w:tc>
                <w:tcPr>
                  <w:tcW w:w="3516" w:type="pct"/>
                  <w:noWrap w:val="0"/>
                  <w:vAlign w:val="center"/>
                </w:tcPr>
                <w:p w14:paraId="5DC74DC9">
                  <w:pPr>
                    <w:keepNext w:val="0"/>
                    <w:keepLines w:val="0"/>
                    <w:pageBreakBefore w:val="0"/>
                    <w:widowControl w:val="0"/>
                    <w:kinsoku/>
                    <w:wordWrap/>
                    <w:overflowPunct/>
                    <w:topLinePunct w:val="0"/>
                    <w:autoSpaceDE/>
                    <w:autoSpaceDN/>
                    <w:bidi w:val="0"/>
                    <w:adjustRightInd/>
                    <w:snapToGrid/>
                    <w:ind w:left="0" w:firstLine="0" w:firstLineChars="0"/>
                    <w:textAlignment w:val="auto"/>
                    <w:rPr>
                      <w:rFonts w:hint="eastAsia" w:ascii="宋体" w:hAnsi="宋体" w:eastAsia="宋体"/>
                      <w:color w:val="auto"/>
                      <w:sz w:val="21"/>
                      <w:szCs w:val="24"/>
                      <w:lang w:val="en-US" w:eastAsia="zh-CN"/>
                    </w:rPr>
                  </w:pPr>
                  <w:r>
                    <w:rPr>
                      <w:rFonts w:hint="default" w:ascii="Times New Roman" w:hAnsi="Times New Roman" w:cs="Times New Roman"/>
                      <w:color w:val="auto"/>
                      <w:sz w:val="21"/>
                      <w:szCs w:val="21"/>
                      <w:highlight w:val="none"/>
                      <w:u w:val="none" w:color="auto"/>
                    </w:rPr>
                    <w:t>1栋</w:t>
                  </w:r>
                  <w:r>
                    <w:rPr>
                      <w:rFonts w:hint="eastAsia" w:cs="Times New Roman"/>
                      <w:color w:val="auto"/>
                      <w:sz w:val="21"/>
                      <w:szCs w:val="21"/>
                      <w:highlight w:val="none"/>
                      <w:u w:val="none" w:color="auto"/>
                      <w:lang w:val="en-US" w:eastAsia="zh-CN"/>
                    </w:rPr>
                    <w:t>单层建筑、砖混结构的生产车间，</w:t>
                  </w:r>
                  <w:r>
                    <w:rPr>
                      <w:rFonts w:hint="eastAsia"/>
                      <w:highlight w:val="none"/>
                      <w:lang w:val="en-US" w:eastAsia="zh-CN"/>
                    </w:rPr>
                    <w:t>车间</w:t>
                  </w:r>
                  <w:r>
                    <w:rPr>
                      <w:rFonts w:hint="default" w:ascii="Times New Roman" w:hAnsi="Times New Roman" w:cs="Times New Roman"/>
                      <w:color w:val="auto"/>
                      <w:sz w:val="21"/>
                      <w:szCs w:val="21"/>
                      <w:highlight w:val="none"/>
                      <w:u w:val="none" w:color="auto"/>
                    </w:rPr>
                    <w:t>建筑面积</w:t>
                  </w:r>
                  <w:r>
                    <w:rPr>
                      <w:rFonts w:hint="eastAsia" w:cs="Times New Roman"/>
                      <w:color w:val="auto"/>
                      <w:sz w:val="21"/>
                      <w:szCs w:val="21"/>
                      <w:highlight w:val="none"/>
                      <w:u w:val="none" w:color="auto"/>
                      <w:lang w:val="en-US" w:eastAsia="zh-CN"/>
                    </w:rPr>
                    <w:t>6</w:t>
                  </w:r>
                  <w:r>
                    <w:rPr>
                      <w:rFonts w:hint="default" w:ascii="Times New Roman" w:hAnsi="Times New Roman" w:cs="Times New Roman"/>
                      <w:color w:val="auto"/>
                      <w:sz w:val="21"/>
                      <w:szCs w:val="21"/>
                      <w:highlight w:val="none"/>
                      <w:u w:val="none" w:color="auto"/>
                    </w:rPr>
                    <w:t>00m</w:t>
                  </w:r>
                  <w:r>
                    <w:rPr>
                      <w:rFonts w:hint="default" w:ascii="Times New Roman" w:hAnsi="Times New Roman" w:cs="Times New Roman"/>
                      <w:color w:val="auto"/>
                      <w:sz w:val="21"/>
                      <w:szCs w:val="21"/>
                      <w:highlight w:val="none"/>
                      <w:u w:val="none" w:color="auto"/>
                      <w:vertAlign w:val="superscript"/>
                    </w:rPr>
                    <w:t>2</w:t>
                  </w:r>
                  <w:r>
                    <w:rPr>
                      <w:rFonts w:hint="eastAsia"/>
                      <w:lang w:eastAsia="zh-CN"/>
                    </w:rPr>
                    <w:t>，</w:t>
                  </w:r>
                  <w:r>
                    <w:rPr>
                      <w:rFonts w:hint="eastAsia"/>
                      <w:lang w:val="en-US" w:eastAsia="zh-CN"/>
                    </w:rPr>
                    <w:t>主要用于锯切、抛光、涂胶、热压、仿形等工序。</w:t>
                  </w:r>
                </w:p>
              </w:tc>
              <w:tc>
                <w:tcPr>
                  <w:tcW w:w="342" w:type="pct"/>
                  <w:vMerge w:val="restart"/>
                  <w:noWrap w:val="0"/>
                  <w:vAlign w:val="center"/>
                </w:tcPr>
                <w:p w14:paraId="12D2891C">
                  <w:pPr>
                    <w:jc w:val="center"/>
                    <w:rPr>
                      <w:color w:val="auto"/>
                      <w:spacing w:val="-8"/>
                      <w:szCs w:val="21"/>
                      <w:highlight w:val="none"/>
                    </w:rPr>
                  </w:pPr>
                  <w:r>
                    <w:rPr>
                      <w:rFonts w:hint="eastAsia"/>
                      <w:color w:val="auto"/>
                      <w:szCs w:val="21"/>
                      <w:highlight w:val="none"/>
                      <w:lang w:val="en-US" w:eastAsia="zh-CN"/>
                    </w:rPr>
                    <w:t>已建</w:t>
                  </w:r>
                </w:p>
              </w:tc>
            </w:tr>
            <w:tr w14:paraId="297CC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89" w:hRule="atLeast"/>
                <w:jc w:val="center"/>
              </w:trPr>
              <w:tc>
                <w:tcPr>
                  <w:tcW w:w="465" w:type="pct"/>
                  <w:vMerge w:val="continue"/>
                  <w:noWrap w:val="0"/>
                  <w:vAlign w:val="center"/>
                </w:tcPr>
                <w:p w14:paraId="6CAF2399">
                  <w:pPr>
                    <w:jc w:val="center"/>
                    <w:rPr>
                      <w:b/>
                      <w:bCs/>
                      <w:color w:val="auto"/>
                      <w:szCs w:val="21"/>
                      <w:highlight w:val="none"/>
                    </w:rPr>
                  </w:pPr>
                </w:p>
              </w:tc>
              <w:tc>
                <w:tcPr>
                  <w:tcW w:w="675" w:type="pct"/>
                  <w:noWrap w:val="0"/>
                  <w:vAlign w:val="center"/>
                </w:tcPr>
                <w:p w14:paraId="1BA0311C">
                  <w:pPr>
                    <w:jc w:val="center"/>
                    <w:rPr>
                      <w:rFonts w:hint="eastAsia" w:eastAsia="宋体"/>
                      <w:color w:val="auto"/>
                      <w:szCs w:val="21"/>
                      <w:highlight w:val="none"/>
                      <w:lang w:val="en-US" w:eastAsia="zh-CN"/>
                    </w:rPr>
                  </w:pPr>
                  <w:r>
                    <w:rPr>
                      <w:rFonts w:hint="eastAsia" w:ascii="宋体" w:hAnsi="宋体" w:eastAsia="宋体"/>
                      <w:color w:val="auto"/>
                      <w:sz w:val="21"/>
                      <w:szCs w:val="24"/>
                    </w:rPr>
                    <w:t>烘干</w:t>
                  </w:r>
                  <w:r>
                    <w:rPr>
                      <w:rFonts w:hint="eastAsia" w:ascii="宋体" w:hAnsi="宋体"/>
                      <w:color w:val="auto"/>
                      <w:sz w:val="21"/>
                      <w:szCs w:val="24"/>
                      <w:lang w:val="en-US" w:eastAsia="zh-CN"/>
                    </w:rPr>
                    <w:t>房</w:t>
                  </w:r>
                </w:p>
              </w:tc>
              <w:tc>
                <w:tcPr>
                  <w:tcW w:w="3516" w:type="pct"/>
                  <w:noWrap w:val="0"/>
                  <w:vAlign w:val="center"/>
                </w:tcPr>
                <w:p w14:paraId="4857AE15">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rightChars="0"/>
                    <w:textAlignment w:val="auto"/>
                    <w:rPr>
                      <w:rFonts w:hint="default" w:ascii="宋体" w:hAnsi="宋体" w:eastAsia="宋体" w:cs="Times New Roman"/>
                      <w:color w:val="auto"/>
                      <w:kern w:val="2"/>
                      <w:sz w:val="21"/>
                      <w:szCs w:val="24"/>
                      <w:lang w:val="en-US" w:eastAsia="zh-CN" w:bidi="ar-SA"/>
                    </w:rPr>
                  </w:pPr>
                  <w:r>
                    <w:rPr>
                      <w:rFonts w:hint="eastAsia" w:ascii="宋体" w:hAnsi="宋体" w:eastAsia="宋体" w:cs="Times New Roman"/>
                      <w:color w:val="auto"/>
                      <w:kern w:val="2"/>
                      <w:sz w:val="21"/>
                      <w:szCs w:val="24"/>
                      <w:lang w:val="en-US" w:eastAsia="zh-CN" w:bidi="ar-SA"/>
                    </w:rPr>
                    <w:t>一</w:t>
                  </w:r>
                  <w:r>
                    <w:rPr>
                      <w:rFonts w:hint="eastAsia" w:ascii="TimesNewRomanPSMT" w:hAnsi="TimesNewRomanPSMT" w:eastAsia="TimesNewRomanPSMT" w:cs="Times New Roman"/>
                      <w:color w:val="auto"/>
                      <w:kern w:val="2"/>
                      <w:sz w:val="21"/>
                      <w:szCs w:val="24"/>
                      <w:lang w:val="en-US" w:eastAsia="zh-CN" w:bidi="ar-SA"/>
                    </w:rPr>
                    <w:t>间，单层，砖混结构，位于生产车间西侧，建筑面积320m</w:t>
                  </w:r>
                  <w:r>
                    <w:rPr>
                      <w:rFonts w:hint="eastAsia" w:ascii="TimesNewRomanPSMT" w:hAnsi="TimesNewRomanPSMT" w:eastAsia="TimesNewRomanPSMT" w:cs="Times New Roman"/>
                      <w:color w:val="auto"/>
                      <w:kern w:val="2"/>
                      <w:sz w:val="21"/>
                      <w:szCs w:val="24"/>
                      <w:vertAlign w:val="superscript"/>
                      <w:lang w:val="en-US" w:eastAsia="zh-CN" w:bidi="ar-SA"/>
                    </w:rPr>
                    <w:t>2</w:t>
                  </w:r>
                  <w:r>
                    <w:rPr>
                      <w:rFonts w:hint="eastAsia" w:ascii="TimesNewRomanPSMT" w:hAnsi="TimesNewRomanPSMT" w:eastAsia="TimesNewRomanPSMT" w:cs="Times New Roman"/>
                      <w:color w:val="auto"/>
                      <w:kern w:val="2"/>
                      <w:sz w:val="21"/>
                      <w:szCs w:val="24"/>
                      <w:lang w:val="en-US" w:eastAsia="zh-CN" w:bidi="ar-SA"/>
                    </w:rPr>
                    <w:t>，主要用于原料木板烘干干燥。</w:t>
                  </w:r>
                </w:p>
              </w:tc>
              <w:tc>
                <w:tcPr>
                  <w:tcW w:w="342" w:type="pct"/>
                  <w:vMerge w:val="continue"/>
                  <w:noWrap w:val="0"/>
                  <w:vAlign w:val="center"/>
                </w:tcPr>
                <w:p w14:paraId="2C017A6A">
                  <w:pPr>
                    <w:jc w:val="center"/>
                    <w:rPr>
                      <w:rFonts w:hint="eastAsia"/>
                      <w:color w:val="auto"/>
                      <w:szCs w:val="21"/>
                      <w:highlight w:val="none"/>
                      <w:lang w:val="en-US" w:eastAsia="zh-CN"/>
                    </w:rPr>
                  </w:pPr>
                </w:p>
              </w:tc>
            </w:tr>
            <w:tr w14:paraId="3436D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04" w:hRule="atLeast"/>
                <w:jc w:val="center"/>
              </w:trPr>
              <w:tc>
                <w:tcPr>
                  <w:tcW w:w="465" w:type="pct"/>
                  <w:vMerge w:val="restart"/>
                  <w:noWrap w:val="0"/>
                  <w:vAlign w:val="center"/>
                </w:tcPr>
                <w:p w14:paraId="2C6D5B28">
                  <w:pPr>
                    <w:jc w:val="center"/>
                    <w:rPr>
                      <w:b/>
                      <w:bCs/>
                      <w:color w:val="auto"/>
                      <w:szCs w:val="21"/>
                      <w:highlight w:val="none"/>
                    </w:rPr>
                  </w:pPr>
                  <w:r>
                    <w:rPr>
                      <w:rFonts w:hint="eastAsia"/>
                      <w:b/>
                      <w:bCs/>
                      <w:color w:val="auto"/>
                      <w:szCs w:val="21"/>
                      <w:highlight w:val="none"/>
                    </w:rPr>
                    <w:t>辅助工程</w:t>
                  </w:r>
                </w:p>
              </w:tc>
              <w:tc>
                <w:tcPr>
                  <w:tcW w:w="675" w:type="pct"/>
                  <w:noWrap w:val="0"/>
                  <w:vAlign w:val="center"/>
                </w:tcPr>
                <w:p w14:paraId="66ABE43E">
                  <w:pPr>
                    <w:jc w:val="center"/>
                    <w:rPr>
                      <w:rFonts w:hint="default"/>
                      <w:color w:val="auto"/>
                      <w:szCs w:val="21"/>
                      <w:highlight w:val="none"/>
                      <w:lang w:val="en-US" w:eastAsia="zh-CN"/>
                    </w:rPr>
                  </w:pPr>
                  <w:r>
                    <w:rPr>
                      <w:rFonts w:hint="eastAsia"/>
                      <w:color w:val="auto"/>
                      <w:szCs w:val="21"/>
                      <w:highlight w:val="none"/>
                      <w:lang w:val="en-US" w:eastAsia="zh-CN"/>
                    </w:rPr>
                    <w:t>锅炉房</w:t>
                  </w:r>
                </w:p>
              </w:tc>
              <w:tc>
                <w:tcPr>
                  <w:tcW w:w="3516" w:type="pct"/>
                  <w:noWrap w:val="0"/>
                  <w:vAlign w:val="center"/>
                </w:tcPr>
                <w:p w14:paraId="6B2BCB00">
                  <w:pPr>
                    <w:jc w:val="left"/>
                    <w:rPr>
                      <w:rFonts w:hint="default" w:eastAsia="宋体"/>
                      <w:color w:val="auto"/>
                      <w:kern w:val="2"/>
                      <w:sz w:val="21"/>
                      <w:szCs w:val="21"/>
                      <w:highlight w:val="none"/>
                      <w:lang w:val="en-US" w:eastAsia="zh-CN" w:bidi="ar-SA"/>
                    </w:rPr>
                  </w:pPr>
                  <w:r>
                    <w:rPr>
                      <w:rFonts w:hint="eastAsia" w:eastAsia="宋体"/>
                      <w:color w:val="auto"/>
                      <w:kern w:val="2"/>
                      <w:sz w:val="21"/>
                      <w:szCs w:val="21"/>
                      <w:highlight w:val="none"/>
                      <w:lang w:val="en-US" w:eastAsia="zh-CN" w:bidi="ar-SA"/>
                    </w:rPr>
                    <w:t>一间，单层，砖混结构，位于</w:t>
                  </w:r>
                  <w:r>
                    <w:rPr>
                      <w:rFonts w:hint="eastAsia"/>
                      <w:color w:val="auto"/>
                      <w:kern w:val="2"/>
                      <w:sz w:val="21"/>
                      <w:szCs w:val="21"/>
                      <w:highlight w:val="none"/>
                      <w:lang w:val="en-US" w:eastAsia="zh-CN" w:bidi="ar-SA"/>
                    </w:rPr>
                    <w:t>烘干房东</w:t>
                  </w:r>
                  <w:r>
                    <w:rPr>
                      <w:rFonts w:hint="eastAsia" w:eastAsia="宋体"/>
                      <w:color w:val="auto"/>
                      <w:kern w:val="2"/>
                      <w:sz w:val="21"/>
                      <w:szCs w:val="21"/>
                      <w:highlight w:val="none"/>
                      <w:lang w:val="en-US" w:eastAsia="zh-CN" w:bidi="ar-SA"/>
                    </w:rPr>
                    <w:t>侧，建筑面积</w:t>
                  </w:r>
                  <w:r>
                    <w:rPr>
                      <w:rFonts w:hint="eastAsia"/>
                      <w:color w:val="auto"/>
                      <w:kern w:val="2"/>
                      <w:sz w:val="21"/>
                      <w:szCs w:val="21"/>
                      <w:highlight w:val="none"/>
                      <w:lang w:val="en-US" w:eastAsia="zh-CN" w:bidi="ar-SA"/>
                    </w:rPr>
                    <w:t>10</w:t>
                  </w:r>
                  <w:r>
                    <w:rPr>
                      <w:rFonts w:hint="eastAsia" w:eastAsia="宋体"/>
                      <w:color w:val="auto"/>
                      <w:kern w:val="2"/>
                      <w:sz w:val="21"/>
                      <w:szCs w:val="21"/>
                      <w:highlight w:val="none"/>
                      <w:lang w:val="en-US" w:eastAsia="zh-CN" w:bidi="ar-SA"/>
                    </w:rPr>
                    <w:t>0m</w:t>
                  </w:r>
                  <w:r>
                    <w:rPr>
                      <w:rFonts w:hint="eastAsia" w:eastAsia="宋体"/>
                      <w:color w:val="auto"/>
                      <w:kern w:val="2"/>
                      <w:sz w:val="21"/>
                      <w:szCs w:val="21"/>
                      <w:highlight w:val="none"/>
                      <w:vertAlign w:val="superscript"/>
                      <w:lang w:val="en-US" w:eastAsia="zh-CN" w:bidi="ar-SA"/>
                    </w:rPr>
                    <w:t>2</w:t>
                  </w:r>
                  <w:r>
                    <w:rPr>
                      <w:rFonts w:hint="eastAsia" w:eastAsia="宋体"/>
                      <w:color w:val="auto"/>
                      <w:kern w:val="2"/>
                      <w:sz w:val="21"/>
                      <w:szCs w:val="21"/>
                      <w:highlight w:val="none"/>
                      <w:lang w:val="en-US" w:eastAsia="zh-CN" w:bidi="ar-SA"/>
                    </w:rPr>
                    <w:t>，内置</w:t>
                  </w:r>
                  <w:r>
                    <w:rPr>
                      <w:rFonts w:hint="eastAsia"/>
                      <w:color w:val="auto"/>
                      <w:kern w:val="2"/>
                      <w:sz w:val="21"/>
                      <w:szCs w:val="21"/>
                      <w:highlight w:val="none"/>
                      <w:lang w:val="en-US" w:eastAsia="zh-CN" w:bidi="ar-SA"/>
                    </w:rPr>
                    <w:t>1.75MW</w:t>
                  </w:r>
                  <w:r>
                    <w:rPr>
                      <w:rFonts w:hint="eastAsia" w:eastAsia="宋体"/>
                      <w:color w:val="auto"/>
                      <w:kern w:val="2"/>
                      <w:sz w:val="21"/>
                      <w:szCs w:val="21"/>
                      <w:highlight w:val="none"/>
                      <w:lang w:val="en-US" w:eastAsia="zh-CN" w:bidi="ar-SA"/>
                    </w:rPr>
                    <w:t>燃生物质</w:t>
                  </w:r>
                  <w:r>
                    <w:rPr>
                      <w:rFonts w:hint="eastAsia"/>
                      <w:color w:val="auto"/>
                      <w:kern w:val="2"/>
                      <w:sz w:val="21"/>
                      <w:szCs w:val="21"/>
                      <w:highlight w:val="none"/>
                      <w:lang w:val="en-US" w:eastAsia="zh-CN" w:bidi="ar-SA"/>
                    </w:rPr>
                    <w:t>导热油</w:t>
                  </w:r>
                  <w:r>
                    <w:rPr>
                      <w:rFonts w:hint="eastAsia" w:eastAsia="宋体"/>
                      <w:color w:val="auto"/>
                      <w:kern w:val="2"/>
                      <w:sz w:val="21"/>
                      <w:szCs w:val="21"/>
                      <w:highlight w:val="none"/>
                      <w:lang w:val="en-US" w:eastAsia="zh-CN" w:bidi="ar-SA"/>
                    </w:rPr>
                    <w:t>锅炉一台，</w:t>
                  </w:r>
                  <w:r>
                    <w:rPr>
                      <w:rFonts w:hint="eastAsia"/>
                      <w:color w:val="auto"/>
                      <w:kern w:val="2"/>
                      <w:sz w:val="21"/>
                      <w:szCs w:val="21"/>
                      <w:highlight w:val="none"/>
                      <w:lang w:val="en-US" w:eastAsia="zh-CN" w:bidi="ar-SA"/>
                    </w:rPr>
                    <w:t>燃料为生物质压块，</w:t>
                  </w:r>
                  <w:r>
                    <w:rPr>
                      <w:rFonts w:hint="eastAsia" w:eastAsia="宋体"/>
                      <w:color w:val="auto"/>
                      <w:kern w:val="2"/>
                      <w:sz w:val="21"/>
                      <w:szCs w:val="21"/>
                      <w:highlight w:val="none"/>
                      <w:lang w:val="en-US" w:eastAsia="zh-CN" w:bidi="ar-SA"/>
                    </w:rPr>
                    <w:t>为生产提供所需</w:t>
                  </w:r>
                  <w:r>
                    <w:rPr>
                      <w:rFonts w:hint="eastAsia"/>
                      <w:color w:val="auto"/>
                      <w:kern w:val="2"/>
                      <w:sz w:val="21"/>
                      <w:szCs w:val="21"/>
                      <w:highlight w:val="none"/>
                      <w:lang w:val="en-US" w:eastAsia="zh-CN" w:bidi="ar-SA"/>
                    </w:rPr>
                    <w:t>热量。</w:t>
                  </w:r>
                </w:p>
              </w:tc>
              <w:tc>
                <w:tcPr>
                  <w:tcW w:w="342" w:type="pct"/>
                  <w:vMerge w:val="restart"/>
                  <w:noWrap w:val="0"/>
                  <w:vAlign w:val="center"/>
                </w:tcPr>
                <w:p w14:paraId="05C652D1">
                  <w:pPr>
                    <w:jc w:val="center"/>
                    <w:rPr>
                      <w:rFonts w:hint="eastAsia"/>
                      <w:color w:val="auto"/>
                      <w:kern w:val="2"/>
                      <w:sz w:val="21"/>
                      <w:szCs w:val="21"/>
                      <w:highlight w:val="none"/>
                      <w:lang w:val="en-US" w:eastAsia="zh-CN" w:bidi="ar-SA"/>
                    </w:rPr>
                  </w:pPr>
                  <w:r>
                    <w:rPr>
                      <w:rFonts w:hint="eastAsia"/>
                      <w:color w:val="auto"/>
                      <w:szCs w:val="21"/>
                      <w:highlight w:val="none"/>
                      <w:lang w:val="en-US" w:eastAsia="zh-CN"/>
                    </w:rPr>
                    <w:t>改建</w:t>
                  </w:r>
                </w:p>
              </w:tc>
            </w:tr>
            <w:tr w14:paraId="609945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84" w:hRule="atLeast"/>
                <w:jc w:val="center"/>
              </w:trPr>
              <w:tc>
                <w:tcPr>
                  <w:tcW w:w="465" w:type="pct"/>
                  <w:vMerge w:val="continue"/>
                  <w:noWrap w:val="0"/>
                  <w:vAlign w:val="center"/>
                </w:tcPr>
                <w:p w14:paraId="45D181C5">
                  <w:pPr>
                    <w:jc w:val="center"/>
                    <w:rPr>
                      <w:rFonts w:hint="eastAsia"/>
                      <w:b/>
                      <w:bCs/>
                      <w:color w:val="auto"/>
                      <w:szCs w:val="21"/>
                      <w:highlight w:val="none"/>
                    </w:rPr>
                  </w:pPr>
                </w:p>
              </w:tc>
              <w:tc>
                <w:tcPr>
                  <w:tcW w:w="675" w:type="pct"/>
                  <w:noWrap w:val="0"/>
                  <w:vAlign w:val="center"/>
                </w:tcPr>
                <w:p w14:paraId="35E6D05A">
                  <w:pPr>
                    <w:jc w:val="center"/>
                    <w:rPr>
                      <w:rFonts w:hint="default"/>
                      <w:color w:val="auto"/>
                      <w:szCs w:val="21"/>
                      <w:highlight w:val="none"/>
                      <w:lang w:val="en-US" w:eastAsia="zh-CN"/>
                    </w:rPr>
                  </w:pPr>
                  <w:r>
                    <w:rPr>
                      <w:rFonts w:hint="eastAsia"/>
                      <w:color w:val="auto"/>
                      <w:szCs w:val="21"/>
                      <w:highlight w:val="none"/>
                      <w:lang w:val="en-US" w:eastAsia="zh-CN"/>
                    </w:rPr>
                    <w:t>危险废物贮存库</w:t>
                  </w:r>
                </w:p>
              </w:tc>
              <w:tc>
                <w:tcPr>
                  <w:tcW w:w="3516" w:type="pct"/>
                  <w:noWrap w:val="0"/>
                  <w:vAlign w:val="center"/>
                </w:tcPr>
                <w:p w14:paraId="5E686877">
                  <w:r>
                    <w:rPr>
                      <w:rFonts w:hint="eastAsia" w:eastAsia="宋体"/>
                      <w:color w:val="auto"/>
                      <w:kern w:val="2"/>
                      <w:sz w:val="21"/>
                      <w:szCs w:val="21"/>
                      <w:highlight w:val="none"/>
                      <w:lang w:val="en-US" w:eastAsia="zh-CN" w:bidi="ar-SA"/>
                    </w:rPr>
                    <w:t>一间，单层，砖混结构，位于</w:t>
                  </w:r>
                  <w:r>
                    <w:rPr>
                      <w:rFonts w:hint="eastAsia"/>
                      <w:color w:val="auto"/>
                      <w:kern w:val="2"/>
                      <w:sz w:val="21"/>
                      <w:szCs w:val="21"/>
                      <w:highlight w:val="none"/>
                      <w:lang w:val="en-US" w:eastAsia="zh-CN" w:bidi="ar-SA"/>
                    </w:rPr>
                    <w:t>办公区南</w:t>
                  </w:r>
                  <w:r>
                    <w:rPr>
                      <w:rFonts w:hint="eastAsia" w:eastAsia="宋体"/>
                      <w:color w:val="auto"/>
                      <w:kern w:val="2"/>
                      <w:sz w:val="21"/>
                      <w:szCs w:val="21"/>
                      <w:highlight w:val="none"/>
                      <w:lang w:val="en-US" w:eastAsia="zh-CN" w:bidi="ar-SA"/>
                    </w:rPr>
                    <w:t>侧，建筑面积</w:t>
                  </w:r>
                  <w:r>
                    <w:rPr>
                      <w:rFonts w:hint="eastAsia"/>
                      <w:color w:val="auto"/>
                      <w:kern w:val="2"/>
                      <w:sz w:val="21"/>
                      <w:szCs w:val="21"/>
                      <w:highlight w:val="none"/>
                      <w:lang w:val="en-US" w:eastAsia="zh-CN" w:bidi="ar-SA"/>
                    </w:rPr>
                    <w:t>1</w:t>
                  </w:r>
                  <w:r>
                    <w:rPr>
                      <w:rFonts w:hint="eastAsia" w:eastAsia="宋体"/>
                      <w:color w:val="auto"/>
                      <w:kern w:val="2"/>
                      <w:sz w:val="21"/>
                      <w:szCs w:val="21"/>
                      <w:highlight w:val="none"/>
                      <w:lang w:val="en-US" w:eastAsia="zh-CN" w:bidi="ar-SA"/>
                    </w:rPr>
                    <w:t>0m</w:t>
                  </w:r>
                  <w:r>
                    <w:rPr>
                      <w:rFonts w:hint="eastAsia" w:eastAsia="宋体"/>
                      <w:color w:val="auto"/>
                      <w:kern w:val="2"/>
                      <w:sz w:val="21"/>
                      <w:szCs w:val="21"/>
                      <w:highlight w:val="none"/>
                      <w:vertAlign w:val="superscript"/>
                      <w:lang w:val="en-US" w:eastAsia="zh-CN" w:bidi="ar-SA"/>
                    </w:rPr>
                    <w:t>2</w:t>
                  </w:r>
                  <w:r>
                    <w:rPr>
                      <w:rFonts w:hint="eastAsia" w:eastAsia="宋体"/>
                      <w:color w:val="auto"/>
                      <w:kern w:val="2"/>
                      <w:sz w:val="21"/>
                      <w:szCs w:val="21"/>
                      <w:highlight w:val="none"/>
                      <w:lang w:val="en-US" w:eastAsia="zh-CN" w:bidi="ar-SA"/>
                    </w:rPr>
                    <w:t>，</w:t>
                  </w:r>
                  <w:r>
                    <w:rPr>
                      <w:rFonts w:hint="eastAsia"/>
                      <w:color w:val="auto"/>
                      <w:kern w:val="2"/>
                      <w:sz w:val="21"/>
                      <w:szCs w:val="21"/>
                      <w:highlight w:val="none"/>
                      <w:lang w:val="en-US" w:eastAsia="zh-CN" w:bidi="ar-SA"/>
                    </w:rPr>
                    <w:t>做好防渗主要用于存储危废。</w:t>
                  </w:r>
                  <w:r>
                    <w:rPr>
                      <w:rFonts w:cs="Times New Roman"/>
                      <w:bCs/>
                      <w:szCs w:val="21"/>
                    </w:rPr>
                    <w:t>针对废气污染采取“源头全密闭管控”策略，不设置专门的末端废气治理设施。废液采用HDPE桶装</w:t>
                  </w:r>
                  <w:r>
                    <w:rPr>
                      <w:rFonts w:hint="eastAsia" w:cs="Times New Roman"/>
                      <w:bCs/>
                      <w:szCs w:val="21"/>
                      <w:lang w:val="en-US" w:eastAsia="zh-CN"/>
                    </w:rPr>
                    <w:t>或钢结构储罐</w:t>
                  </w:r>
                  <w:r>
                    <w:rPr>
                      <w:rFonts w:cs="Times New Roman"/>
                      <w:bCs/>
                      <w:szCs w:val="21"/>
                    </w:rPr>
                    <w:t>，固废采用密封桶装</w:t>
                  </w:r>
                  <w:r>
                    <w:rPr>
                      <w:rFonts w:hint="eastAsia" w:cs="Times New Roman"/>
                      <w:bCs/>
                      <w:szCs w:val="21"/>
                    </w:rPr>
                    <w:t>。</w:t>
                  </w:r>
                  <w:r>
                    <w:rPr>
                      <w:rFonts w:cs="Times New Roman"/>
                      <w:bCs/>
                      <w:szCs w:val="21"/>
                    </w:rPr>
                    <w:t>根据产生量，原则上每季度转运一次，确保库内不超量堆存</w:t>
                  </w:r>
                  <w:r>
                    <w:rPr>
                      <w:rFonts w:hint="eastAsia" w:cs="Times New Roman"/>
                      <w:bCs/>
                      <w:szCs w:val="21"/>
                    </w:rPr>
                    <w:t>。</w:t>
                  </w:r>
                </w:p>
                <w:p w14:paraId="4C8A1399">
                  <w:pPr>
                    <w:jc w:val="left"/>
                    <w:rPr>
                      <w:rFonts w:hint="default"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本项目危险废物贮存库地面与裙脚采用坚固、防渗的材料建造，建筑材料必须与危险废物相容：危险废物贮存库设有安全照明设施和观察窗口；门口设置警示标志；工作人员做好情况记录。</w:t>
                  </w:r>
                </w:p>
              </w:tc>
              <w:tc>
                <w:tcPr>
                  <w:tcW w:w="342" w:type="pct"/>
                  <w:vMerge w:val="continue"/>
                  <w:noWrap w:val="0"/>
                  <w:vAlign w:val="center"/>
                </w:tcPr>
                <w:p w14:paraId="207763C5">
                  <w:pPr>
                    <w:jc w:val="center"/>
                    <w:rPr>
                      <w:rFonts w:hint="eastAsia"/>
                      <w:color w:val="auto"/>
                      <w:szCs w:val="21"/>
                      <w:highlight w:val="none"/>
                      <w:lang w:val="en-US" w:eastAsia="zh-CN"/>
                    </w:rPr>
                  </w:pPr>
                </w:p>
              </w:tc>
            </w:tr>
            <w:tr w14:paraId="358190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29" w:hRule="atLeast"/>
                <w:jc w:val="center"/>
              </w:trPr>
              <w:tc>
                <w:tcPr>
                  <w:tcW w:w="465" w:type="pct"/>
                  <w:vMerge w:val="continue"/>
                  <w:noWrap w:val="0"/>
                  <w:vAlign w:val="center"/>
                </w:tcPr>
                <w:p w14:paraId="040DFDB8">
                  <w:pPr>
                    <w:jc w:val="center"/>
                    <w:rPr>
                      <w:rFonts w:hint="eastAsia"/>
                      <w:b/>
                      <w:bCs/>
                      <w:color w:val="auto"/>
                      <w:szCs w:val="21"/>
                      <w:highlight w:val="none"/>
                    </w:rPr>
                  </w:pPr>
                </w:p>
              </w:tc>
              <w:tc>
                <w:tcPr>
                  <w:tcW w:w="675" w:type="pct"/>
                  <w:noWrap w:val="0"/>
                  <w:vAlign w:val="center"/>
                </w:tcPr>
                <w:p w14:paraId="52241B3C">
                  <w:pPr>
                    <w:jc w:val="center"/>
                    <w:rPr>
                      <w:rFonts w:hint="default"/>
                      <w:color w:val="auto"/>
                      <w:szCs w:val="21"/>
                      <w:highlight w:val="none"/>
                      <w:lang w:val="en-US" w:eastAsia="zh-CN"/>
                    </w:rPr>
                  </w:pPr>
                  <w:r>
                    <w:rPr>
                      <w:rFonts w:hint="eastAsia"/>
                      <w:color w:val="auto"/>
                      <w:szCs w:val="21"/>
                      <w:highlight w:val="none"/>
                      <w:lang w:val="en-US" w:eastAsia="zh-CN"/>
                    </w:rPr>
                    <w:t>办公室</w:t>
                  </w:r>
                </w:p>
              </w:tc>
              <w:tc>
                <w:tcPr>
                  <w:tcW w:w="3516" w:type="pct"/>
                  <w:noWrap w:val="0"/>
                  <w:vAlign w:val="center"/>
                </w:tcPr>
                <w:p w14:paraId="09C65778">
                  <w:pPr>
                    <w:spacing w:beforeLines="0" w:afterLines="0"/>
                    <w:jc w:val="left"/>
                    <w:rPr>
                      <w:rFonts w:hint="default" w:ascii="宋体" w:hAnsi="宋体" w:eastAsia="宋体"/>
                      <w:color w:val="auto"/>
                      <w:sz w:val="21"/>
                      <w:szCs w:val="24"/>
                      <w:lang w:val="en-US" w:eastAsia="zh-CN"/>
                    </w:rPr>
                  </w:pPr>
                  <w:r>
                    <w:rPr>
                      <w:rFonts w:hint="eastAsia" w:ascii="宋体" w:hAnsi="宋体"/>
                      <w:color w:val="auto"/>
                      <w:sz w:val="21"/>
                      <w:szCs w:val="24"/>
                      <w:lang w:val="en-US" w:eastAsia="zh-CN"/>
                    </w:rPr>
                    <w:t>一间单层砖混结构的办公室，位于锅炉房东侧，建筑面积</w:t>
                  </w:r>
                  <w:r>
                    <w:rPr>
                      <w:rFonts w:hint="eastAsia"/>
                      <w:color w:val="auto"/>
                      <w:kern w:val="2"/>
                      <w:sz w:val="21"/>
                      <w:szCs w:val="21"/>
                      <w:highlight w:val="none"/>
                      <w:lang w:val="en-US" w:eastAsia="zh-CN" w:bidi="ar-SA"/>
                    </w:rPr>
                    <w:t>5</w:t>
                  </w:r>
                  <w:r>
                    <w:rPr>
                      <w:rFonts w:hint="eastAsia" w:eastAsia="宋体"/>
                      <w:color w:val="auto"/>
                      <w:kern w:val="2"/>
                      <w:sz w:val="21"/>
                      <w:szCs w:val="21"/>
                      <w:highlight w:val="none"/>
                      <w:lang w:val="en-US" w:eastAsia="zh-CN" w:bidi="ar-SA"/>
                    </w:rPr>
                    <w:t>0m</w:t>
                  </w:r>
                  <w:r>
                    <w:rPr>
                      <w:rFonts w:hint="eastAsia" w:eastAsia="宋体"/>
                      <w:color w:val="auto"/>
                      <w:kern w:val="2"/>
                      <w:sz w:val="21"/>
                      <w:szCs w:val="21"/>
                      <w:highlight w:val="none"/>
                      <w:vertAlign w:val="superscript"/>
                      <w:lang w:val="en-US" w:eastAsia="zh-CN" w:bidi="ar-SA"/>
                    </w:rPr>
                    <w:t>2</w:t>
                  </w:r>
                  <w:r>
                    <w:rPr>
                      <w:rFonts w:hint="eastAsia" w:eastAsia="宋体"/>
                      <w:color w:val="auto"/>
                      <w:kern w:val="2"/>
                      <w:sz w:val="21"/>
                      <w:szCs w:val="21"/>
                      <w:highlight w:val="none"/>
                      <w:lang w:val="en-US" w:eastAsia="zh-CN" w:bidi="ar-SA"/>
                    </w:rPr>
                    <w:t>，</w:t>
                  </w:r>
                  <w:r>
                    <w:rPr>
                      <w:rFonts w:hint="eastAsia"/>
                      <w:color w:val="auto"/>
                      <w:kern w:val="2"/>
                      <w:sz w:val="21"/>
                      <w:szCs w:val="21"/>
                      <w:highlight w:val="none"/>
                      <w:lang w:val="en-US" w:eastAsia="zh-CN" w:bidi="ar-SA"/>
                    </w:rPr>
                    <w:t>用于职工办公休息。</w:t>
                  </w:r>
                </w:p>
              </w:tc>
              <w:tc>
                <w:tcPr>
                  <w:tcW w:w="342" w:type="pct"/>
                  <w:noWrap w:val="0"/>
                  <w:vAlign w:val="center"/>
                </w:tcPr>
                <w:p w14:paraId="43FAB4BE">
                  <w:pPr>
                    <w:jc w:val="center"/>
                    <w:rPr>
                      <w:rFonts w:hint="default"/>
                      <w:color w:val="auto"/>
                      <w:szCs w:val="21"/>
                      <w:highlight w:val="none"/>
                      <w:lang w:val="en-US" w:eastAsia="zh-CN"/>
                    </w:rPr>
                  </w:pPr>
                  <w:r>
                    <w:rPr>
                      <w:rFonts w:hint="eastAsia"/>
                      <w:color w:val="auto"/>
                      <w:szCs w:val="21"/>
                      <w:highlight w:val="none"/>
                      <w:lang w:val="en-US" w:eastAsia="zh-CN"/>
                    </w:rPr>
                    <w:t>已建</w:t>
                  </w:r>
                </w:p>
              </w:tc>
            </w:tr>
            <w:tr w14:paraId="28671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03" w:hRule="atLeast"/>
                <w:jc w:val="center"/>
              </w:trPr>
              <w:tc>
                <w:tcPr>
                  <w:tcW w:w="465" w:type="pct"/>
                  <w:vMerge w:val="restart"/>
                  <w:noWrap w:val="0"/>
                  <w:vAlign w:val="center"/>
                </w:tcPr>
                <w:p w14:paraId="5031122E">
                  <w:pPr>
                    <w:jc w:val="center"/>
                    <w:rPr>
                      <w:rFonts w:hint="default" w:eastAsia="宋体"/>
                      <w:color w:val="auto"/>
                      <w:highlight w:val="none"/>
                      <w:lang w:val="en-US" w:eastAsia="zh-CN"/>
                    </w:rPr>
                  </w:pPr>
                  <w:r>
                    <w:rPr>
                      <w:rFonts w:hint="eastAsia"/>
                      <w:b/>
                      <w:bCs/>
                      <w:color w:val="auto"/>
                      <w:highlight w:val="none"/>
                      <w:lang w:val="en-US" w:eastAsia="zh-CN"/>
                    </w:rPr>
                    <w:t>储运工程</w:t>
                  </w:r>
                </w:p>
              </w:tc>
              <w:tc>
                <w:tcPr>
                  <w:tcW w:w="675" w:type="pct"/>
                  <w:noWrap w:val="0"/>
                  <w:vAlign w:val="center"/>
                </w:tcPr>
                <w:p w14:paraId="74A0EC0E">
                  <w:pPr>
                    <w:jc w:val="center"/>
                    <w:rPr>
                      <w:rFonts w:hint="eastAsia"/>
                      <w:color w:val="auto"/>
                      <w:kern w:val="2"/>
                      <w:sz w:val="21"/>
                      <w:szCs w:val="21"/>
                      <w:highlight w:val="none"/>
                      <w:lang w:val="en-US" w:eastAsia="zh-CN" w:bidi="ar-SA"/>
                    </w:rPr>
                  </w:pPr>
                  <w:r>
                    <w:rPr>
                      <w:rFonts w:hint="eastAsia" w:ascii="宋体" w:hAnsi="宋体"/>
                      <w:color w:val="auto"/>
                      <w:sz w:val="21"/>
                      <w:szCs w:val="24"/>
                      <w:lang w:val="en-US" w:eastAsia="zh-CN"/>
                    </w:rPr>
                    <w:t>原料棚</w:t>
                  </w:r>
                </w:p>
              </w:tc>
              <w:tc>
                <w:tcPr>
                  <w:tcW w:w="3516" w:type="pct"/>
                  <w:noWrap w:val="0"/>
                  <w:vAlign w:val="center"/>
                </w:tcPr>
                <w:p w14:paraId="7D89D8D3">
                  <w:pPr>
                    <w:spacing w:beforeLines="0" w:afterLines="0"/>
                    <w:jc w:val="left"/>
                    <w:rPr>
                      <w:rFonts w:hint="default"/>
                      <w:color w:val="auto"/>
                      <w:kern w:val="2"/>
                      <w:sz w:val="21"/>
                      <w:szCs w:val="21"/>
                      <w:highlight w:val="none"/>
                      <w:lang w:val="en-US" w:eastAsia="zh-CN" w:bidi="ar-SA"/>
                    </w:rPr>
                  </w:pPr>
                  <w:r>
                    <w:rPr>
                      <w:rFonts w:hint="eastAsia" w:ascii="宋体" w:hAnsi="宋体" w:eastAsia="宋体"/>
                      <w:color w:val="auto"/>
                      <w:sz w:val="21"/>
                      <w:szCs w:val="24"/>
                    </w:rPr>
                    <w:t>一间，单层，</w:t>
                  </w:r>
                  <w:r>
                    <w:rPr>
                      <w:rFonts w:hint="eastAsia" w:ascii="宋体" w:hAnsi="宋体"/>
                      <w:color w:val="auto"/>
                      <w:sz w:val="21"/>
                      <w:szCs w:val="24"/>
                      <w:lang w:val="en-US" w:eastAsia="zh-CN"/>
                    </w:rPr>
                    <w:t>铁皮房</w:t>
                  </w:r>
                  <w:r>
                    <w:rPr>
                      <w:rFonts w:hint="eastAsia" w:ascii="宋体" w:hAnsi="宋体" w:eastAsia="宋体"/>
                      <w:color w:val="auto"/>
                      <w:sz w:val="21"/>
                      <w:szCs w:val="24"/>
                    </w:rPr>
                    <w:t>，建筑面积</w:t>
                  </w:r>
                  <w:r>
                    <w:rPr>
                      <w:rFonts w:hint="eastAsia" w:ascii="TimesNewRomanPSMT" w:hAnsi="TimesNewRomanPSMT" w:eastAsia="宋体"/>
                      <w:color w:val="auto"/>
                      <w:sz w:val="21"/>
                      <w:szCs w:val="24"/>
                      <w:lang w:val="en-US" w:eastAsia="zh-CN"/>
                    </w:rPr>
                    <w:t>20</w:t>
                  </w:r>
                  <w:r>
                    <w:rPr>
                      <w:rFonts w:hint="eastAsia" w:ascii="TimesNewRomanPSMT" w:hAnsi="TimesNewRomanPSMT" w:eastAsia="TimesNewRomanPSMT"/>
                      <w:color w:val="auto"/>
                      <w:sz w:val="21"/>
                      <w:szCs w:val="24"/>
                    </w:rPr>
                    <w:t>0m</w:t>
                  </w:r>
                  <w:r>
                    <w:rPr>
                      <w:rFonts w:hint="eastAsia" w:ascii="TimesNewRomanPSMT" w:hAnsi="TimesNewRomanPSMT" w:eastAsia="宋体"/>
                      <w:color w:val="auto"/>
                      <w:sz w:val="21"/>
                      <w:szCs w:val="24"/>
                      <w:vertAlign w:val="superscript"/>
                      <w:lang w:val="en-US" w:eastAsia="zh-CN"/>
                    </w:rPr>
                    <w:t>2</w:t>
                  </w:r>
                  <w:r>
                    <w:rPr>
                      <w:rFonts w:hint="eastAsia" w:ascii="宋体" w:hAnsi="宋体" w:eastAsia="宋体"/>
                      <w:color w:val="auto"/>
                      <w:sz w:val="21"/>
                      <w:szCs w:val="24"/>
                    </w:rPr>
                    <w:t>，</w:t>
                  </w:r>
                  <w:r>
                    <w:rPr>
                      <w:rFonts w:hint="eastAsia" w:ascii="宋体" w:hAnsi="宋体"/>
                      <w:color w:val="auto"/>
                      <w:sz w:val="21"/>
                      <w:szCs w:val="24"/>
                      <w:lang w:val="en-US" w:eastAsia="zh-CN"/>
                    </w:rPr>
                    <w:t>主要用于原料木材堆放及</w:t>
                  </w:r>
                  <w:r>
                    <w:rPr>
                      <w:snapToGrid w:val="0"/>
                      <w:color w:val="auto"/>
                      <w:kern w:val="0"/>
                      <w:szCs w:val="21"/>
                    </w:rPr>
                    <w:t>生物质颗粒燃料</w:t>
                  </w:r>
                  <w:r>
                    <w:rPr>
                      <w:rFonts w:hint="eastAsia"/>
                      <w:snapToGrid w:val="0"/>
                      <w:color w:val="auto"/>
                      <w:kern w:val="0"/>
                      <w:szCs w:val="21"/>
                      <w:lang w:val="en-US" w:eastAsia="zh-CN"/>
                    </w:rPr>
                    <w:t>存放</w:t>
                  </w:r>
                  <w:r>
                    <w:rPr>
                      <w:rFonts w:hint="eastAsia"/>
                      <w:snapToGrid w:val="0"/>
                      <w:color w:val="auto"/>
                      <w:kern w:val="0"/>
                      <w:szCs w:val="21"/>
                      <w:lang w:eastAsia="zh-CN"/>
                    </w:rPr>
                    <w:t>，</w:t>
                  </w:r>
                  <w:r>
                    <w:rPr>
                      <w:rFonts w:hint="eastAsia"/>
                      <w:snapToGrid w:val="0"/>
                      <w:color w:val="auto"/>
                      <w:kern w:val="0"/>
                      <w:szCs w:val="21"/>
                      <w:lang w:val="en-US" w:eastAsia="zh-CN"/>
                    </w:rPr>
                    <w:t>燃料</w:t>
                  </w:r>
                  <w:r>
                    <w:rPr>
                      <w:rFonts w:hint="eastAsia"/>
                      <w:snapToGrid w:val="0"/>
                      <w:color w:val="auto"/>
                      <w:kern w:val="0"/>
                      <w:szCs w:val="21"/>
                      <w:lang w:eastAsia="zh-CN"/>
                    </w:rPr>
                    <w:t>分层堆放，保持干燥通风。</w:t>
                  </w:r>
                </w:p>
              </w:tc>
              <w:tc>
                <w:tcPr>
                  <w:tcW w:w="342" w:type="pct"/>
                  <w:noWrap w:val="0"/>
                  <w:vAlign w:val="center"/>
                </w:tcPr>
                <w:p w14:paraId="062AF444">
                  <w:pPr>
                    <w:jc w:val="center"/>
                    <w:rPr>
                      <w:rFonts w:hint="eastAsia"/>
                      <w:color w:val="auto"/>
                      <w:kern w:val="2"/>
                      <w:sz w:val="21"/>
                      <w:szCs w:val="21"/>
                      <w:highlight w:val="none"/>
                      <w:lang w:val="en-US" w:eastAsia="zh-CN" w:bidi="ar-SA"/>
                    </w:rPr>
                  </w:pPr>
                  <w:r>
                    <w:rPr>
                      <w:rFonts w:hint="eastAsia"/>
                      <w:color w:val="auto"/>
                      <w:szCs w:val="21"/>
                      <w:highlight w:val="none"/>
                      <w:lang w:val="en-US" w:eastAsia="zh-CN"/>
                    </w:rPr>
                    <w:t>已建</w:t>
                  </w:r>
                </w:p>
              </w:tc>
            </w:tr>
            <w:tr w14:paraId="4F61C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93" w:hRule="atLeast"/>
                <w:jc w:val="center"/>
              </w:trPr>
              <w:tc>
                <w:tcPr>
                  <w:tcW w:w="465" w:type="pct"/>
                  <w:vMerge w:val="continue"/>
                  <w:noWrap w:val="0"/>
                  <w:vAlign w:val="center"/>
                </w:tcPr>
                <w:p w14:paraId="302955B9">
                  <w:pPr>
                    <w:jc w:val="center"/>
                    <w:rPr>
                      <w:rFonts w:hint="eastAsia"/>
                      <w:color w:val="auto"/>
                      <w:highlight w:val="none"/>
                      <w:lang w:val="en-US" w:eastAsia="zh-CN"/>
                    </w:rPr>
                  </w:pPr>
                </w:p>
              </w:tc>
              <w:tc>
                <w:tcPr>
                  <w:tcW w:w="675" w:type="pct"/>
                  <w:noWrap w:val="0"/>
                  <w:vAlign w:val="center"/>
                </w:tcPr>
                <w:p w14:paraId="60CB6935">
                  <w:pPr>
                    <w:jc w:val="center"/>
                    <w:rPr>
                      <w:rFonts w:hint="default"/>
                      <w:color w:val="auto"/>
                      <w:kern w:val="2"/>
                      <w:sz w:val="21"/>
                      <w:szCs w:val="21"/>
                      <w:highlight w:val="none"/>
                      <w:lang w:val="en-US" w:eastAsia="zh-CN" w:bidi="ar-SA"/>
                    </w:rPr>
                  </w:pPr>
                  <w:r>
                    <w:rPr>
                      <w:rFonts w:hint="eastAsia" w:ascii="宋体" w:hAnsi="宋体"/>
                      <w:color w:val="auto"/>
                      <w:sz w:val="21"/>
                      <w:szCs w:val="24"/>
                      <w:lang w:val="en-US" w:eastAsia="zh-CN"/>
                    </w:rPr>
                    <w:t>成品房</w:t>
                  </w:r>
                </w:p>
              </w:tc>
              <w:tc>
                <w:tcPr>
                  <w:tcW w:w="3516" w:type="pct"/>
                  <w:noWrap w:val="0"/>
                  <w:vAlign w:val="center"/>
                </w:tcPr>
                <w:p w14:paraId="0E3B9459">
                  <w:pPr>
                    <w:spacing w:beforeLines="0" w:afterLines="0"/>
                    <w:jc w:val="left"/>
                    <w:rPr>
                      <w:rFonts w:hint="default"/>
                      <w:color w:val="auto"/>
                      <w:kern w:val="2"/>
                      <w:sz w:val="21"/>
                      <w:szCs w:val="21"/>
                      <w:highlight w:val="none"/>
                      <w:lang w:val="en-US" w:eastAsia="zh-CN" w:bidi="ar-SA"/>
                    </w:rPr>
                  </w:pPr>
                  <w:r>
                    <w:rPr>
                      <w:rFonts w:hint="eastAsia" w:ascii="宋体" w:hAnsi="宋体"/>
                      <w:color w:val="auto"/>
                      <w:sz w:val="21"/>
                      <w:szCs w:val="24"/>
                      <w:lang w:val="en-US" w:eastAsia="zh-CN"/>
                    </w:rPr>
                    <w:t>两间，单层，砖混结构，建筑面积</w:t>
                  </w:r>
                  <w:r>
                    <w:rPr>
                      <w:rFonts w:hint="eastAsia" w:ascii="TimesNewRomanPSMT" w:hAnsi="TimesNewRomanPSMT"/>
                      <w:color w:val="auto"/>
                      <w:sz w:val="21"/>
                      <w:szCs w:val="24"/>
                      <w:lang w:val="en-US" w:eastAsia="zh-CN"/>
                    </w:rPr>
                    <w:t>6</w:t>
                  </w:r>
                  <w:r>
                    <w:rPr>
                      <w:rFonts w:hint="eastAsia" w:ascii="TimesNewRomanPSMT" w:hAnsi="TimesNewRomanPSMT" w:eastAsia="TimesNewRomanPSMT"/>
                      <w:color w:val="auto"/>
                      <w:sz w:val="21"/>
                      <w:szCs w:val="24"/>
                    </w:rPr>
                    <w:t>0m</w:t>
                  </w:r>
                  <w:r>
                    <w:rPr>
                      <w:rFonts w:hint="eastAsia" w:ascii="TimesNewRomanPSMT" w:hAnsi="TimesNewRomanPSMT" w:eastAsia="宋体"/>
                      <w:color w:val="auto"/>
                      <w:sz w:val="21"/>
                      <w:szCs w:val="24"/>
                      <w:vertAlign w:val="superscript"/>
                      <w:lang w:val="en-US" w:eastAsia="zh-CN"/>
                    </w:rPr>
                    <w:t>2</w:t>
                  </w:r>
                  <w:r>
                    <w:rPr>
                      <w:rFonts w:hint="eastAsia" w:ascii="宋体" w:hAnsi="宋体" w:eastAsia="宋体"/>
                      <w:color w:val="auto"/>
                      <w:sz w:val="21"/>
                      <w:szCs w:val="24"/>
                    </w:rPr>
                    <w:t>，</w:t>
                  </w:r>
                  <w:r>
                    <w:rPr>
                      <w:rFonts w:hint="eastAsia" w:ascii="宋体" w:hAnsi="宋体"/>
                      <w:color w:val="auto"/>
                      <w:sz w:val="21"/>
                      <w:szCs w:val="24"/>
                      <w:lang w:val="en-US" w:eastAsia="zh-CN"/>
                    </w:rPr>
                    <w:t>主要用于成品生产板芯的存放。</w:t>
                  </w:r>
                </w:p>
              </w:tc>
              <w:tc>
                <w:tcPr>
                  <w:tcW w:w="342" w:type="pct"/>
                  <w:noWrap w:val="0"/>
                  <w:vAlign w:val="center"/>
                </w:tcPr>
                <w:p w14:paraId="114308F2">
                  <w:pPr>
                    <w:jc w:val="center"/>
                    <w:rPr>
                      <w:rFonts w:hint="default"/>
                      <w:color w:val="auto"/>
                      <w:kern w:val="2"/>
                      <w:sz w:val="21"/>
                      <w:szCs w:val="21"/>
                      <w:highlight w:val="none"/>
                      <w:lang w:val="en-US" w:eastAsia="zh-CN" w:bidi="ar-SA"/>
                    </w:rPr>
                  </w:pPr>
                  <w:r>
                    <w:rPr>
                      <w:rFonts w:hint="eastAsia"/>
                      <w:color w:val="auto"/>
                      <w:szCs w:val="21"/>
                      <w:highlight w:val="none"/>
                      <w:lang w:val="en-US" w:eastAsia="zh-CN"/>
                    </w:rPr>
                    <w:t>已建</w:t>
                  </w:r>
                </w:p>
              </w:tc>
            </w:tr>
            <w:tr w14:paraId="144DA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61" w:hRule="atLeast"/>
                <w:jc w:val="center"/>
              </w:trPr>
              <w:tc>
                <w:tcPr>
                  <w:tcW w:w="465" w:type="pct"/>
                  <w:vMerge w:val="restart"/>
                  <w:noWrap w:val="0"/>
                  <w:vAlign w:val="center"/>
                </w:tcPr>
                <w:p w14:paraId="6C114651">
                  <w:pPr>
                    <w:jc w:val="center"/>
                    <w:rPr>
                      <w:b/>
                      <w:bCs/>
                      <w:color w:val="auto"/>
                      <w:szCs w:val="21"/>
                      <w:highlight w:val="none"/>
                    </w:rPr>
                  </w:pPr>
                  <w:r>
                    <w:rPr>
                      <w:rFonts w:hint="eastAsia"/>
                      <w:b/>
                      <w:bCs/>
                      <w:color w:val="auto"/>
                      <w:szCs w:val="21"/>
                      <w:highlight w:val="none"/>
                    </w:rPr>
                    <w:t>公用工程</w:t>
                  </w:r>
                </w:p>
              </w:tc>
              <w:tc>
                <w:tcPr>
                  <w:tcW w:w="675" w:type="pct"/>
                  <w:noWrap w:val="0"/>
                  <w:vAlign w:val="center"/>
                </w:tcPr>
                <w:p w14:paraId="6A5EF4BE">
                  <w:pPr>
                    <w:widowControl/>
                    <w:jc w:val="center"/>
                    <w:rPr>
                      <w:bCs/>
                      <w:color w:val="auto"/>
                      <w:kern w:val="0"/>
                      <w:szCs w:val="21"/>
                      <w:highlight w:val="none"/>
                    </w:rPr>
                  </w:pPr>
                  <w:r>
                    <w:rPr>
                      <w:rFonts w:hint="eastAsia" w:ascii="宋体" w:hAnsi="宋体" w:eastAsia="宋体"/>
                      <w:color w:val="auto"/>
                      <w:sz w:val="21"/>
                      <w:szCs w:val="24"/>
                    </w:rPr>
                    <w:t>供水工程</w:t>
                  </w:r>
                </w:p>
              </w:tc>
              <w:tc>
                <w:tcPr>
                  <w:tcW w:w="3516" w:type="pct"/>
                  <w:noWrap w:val="0"/>
                  <w:vAlign w:val="center"/>
                </w:tcPr>
                <w:p w14:paraId="4450F522">
                  <w:pPr>
                    <w:widowControl/>
                    <w:jc w:val="both"/>
                    <w:rPr>
                      <w:rFonts w:hint="default" w:eastAsia="宋体"/>
                      <w:bCs/>
                      <w:color w:val="auto"/>
                      <w:kern w:val="0"/>
                      <w:szCs w:val="21"/>
                      <w:highlight w:val="none"/>
                      <w:lang w:val="en-US" w:eastAsia="zh-CN"/>
                    </w:rPr>
                  </w:pPr>
                  <w:r>
                    <w:rPr>
                      <w:rFonts w:hint="eastAsia" w:eastAsia="宋体"/>
                      <w:bCs/>
                      <w:color w:val="auto"/>
                      <w:kern w:val="0"/>
                      <w:szCs w:val="21"/>
                      <w:highlight w:val="none"/>
                      <w:lang w:val="en-US" w:eastAsia="zh-CN"/>
                    </w:rPr>
                    <w:t>本项目生活用水</w:t>
                  </w:r>
                  <w:r>
                    <w:rPr>
                      <w:rFonts w:hint="eastAsia" w:ascii="宋体" w:hAnsi="宋体" w:eastAsia="宋体"/>
                      <w:color w:val="auto"/>
                      <w:sz w:val="21"/>
                      <w:szCs w:val="24"/>
                    </w:rPr>
                    <w:t>由当地供水管网供给</w:t>
                  </w:r>
                  <w:r>
                    <w:rPr>
                      <w:rFonts w:hint="eastAsia" w:ascii="宋体" w:hAnsi="宋体"/>
                      <w:color w:val="auto"/>
                      <w:sz w:val="21"/>
                      <w:szCs w:val="24"/>
                      <w:lang w:eastAsia="zh-CN"/>
                    </w:rPr>
                    <w:t>，</w:t>
                  </w:r>
                  <w:r>
                    <w:rPr>
                      <w:rFonts w:hint="eastAsia" w:ascii="宋体" w:hAnsi="宋体"/>
                      <w:color w:val="auto"/>
                      <w:sz w:val="21"/>
                      <w:szCs w:val="24"/>
                      <w:lang w:val="en-US" w:eastAsia="zh-CN"/>
                    </w:rPr>
                    <w:t>无生产用水。</w:t>
                  </w:r>
                </w:p>
              </w:tc>
              <w:tc>
                <w:tcPr>
                  <w:tcW w:w="342" w:type="pct"/>
                  <w:noWrap w:val="0"/>
                  <w:vAlign w:val="center"/>
                </w:tcPr>
                <w:p w14:paraId="703BA3F0">
                  <w:pPr>
                    <w:widowControl/>
                    <w:jc w:val="center"/>
                    <w:rPr>
                      <w:rFonts w:hint="default" w:eastAsia="宋体"/>
                      <w:bCs/>
                      <w:color w:val="auto"/>
                      <w:kern w:val="0"/>
                      <w:szCs w:val="21"/>
                      <w:highlight w:val="none"/>
                      <w:lang w:val="en-US" w:eastAsia="zh-CN"/>
                    </w:rPr>
                  </w:pPr>
                  <w:r>
                    <w:rPr>
                      <w:rFonts w:hint="eastAsia"/>
                      <w:color w:val="auto"/>
                      <w:szCs w:val="21"/>
                      <w:highlight w:val="none"/>
                      <w:lang w:val="en-US" w:eastAsia="zh-CN"/>
                    </w:rPr>
                    <w:t>已建</w:t>
                  </w:r>
                </w:p>
              </w:tc>
            </w:tr>
            <w:tr w14:paraId="6EF15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81" w:hRule="atLeast"/>
                <w:jc w:val="center"/>
              </w:trPr>
              <w:tc>
                <w:tcPr>
                  <w:tcW w:w="465" w:type="pct"/>
                  <w:vMerge w:val="continue"/>
                  <w:noWrap w:val="0"/>
                  <w:vAlign w:val="center"/>
                </w:tcPr>
                <w:p w14:paraId="6485A214">
                  <w:pPr>
                    <w:jc w:val="center"/>
                    <w:rPr>
                      <w:b/>
                      <w:bCs/>
                      <w:color w:val="auto"/>
                      <w:szCs w:val="21"/>
                      <w:highlight w:val="none"/>
                    </w:rPr>
                  </w:pPr>
                </w:p>
              </w:tc>
              <w:tc>
                <w:tcPr>
                  <w:tcW w:w="675" w:type="pct"/>
                  <w:noWrap w:val="0"/>
                  <w:vAlign w:val="center"/>
                </w:tcPr>
                <w:p w14:paraId="3136EBC6">
                  <w:pPr>
                    <w:widowControl/>
                    <w:jc w:val="center"/>
                    <w:rPr>
                      <w:bCs/>
                      <w:color w:val="auto"/>
                      <w:kern w:val="0"/>
                      <w:szCs w:val="21"/>
                      <w:highlight w:val="none"/>
                    </w:rPr>
                  </w:pPr>
                  <w:r>
                    <w:rPr>
                      <w:rFonts w:hint="eastAsia" w:ascii="宋体" w:hAnsi="宋体" w:eastAsia="宋体"/>
                      <w:color w:val="auto"/>
                      <w:sz w:val="21"/>
                      <w:szCs w:val="24"/>
                      <w:highlight w:val="none"/>
                    </w:rPr>
                    <w:t>供热工程</w:t>
                  </w:r>
                </w:p>
              </w:tc>
              <w:tc>
                <w:tcPr>
                  <w:tcW w:w="3516" w:type="pct"/>
                  <w:noWrap w:val="0"/>
                  <w:vAlign w:val="center"/>
                </w:tcPr>
                <w:p w14:paraId="77837E1D">
                  <w:pPr>
                    <w:widowControl/>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由1台</w:t>
                  </w:r>
                  <w:r>
                    <w:rPr>
                      <w:rFonts w:hint="eastAsia" w:cs="Times New Roman"/>
                      <w:color w:val="auto"/>
                      <w:szCs w:val="21"/>
                      <w:highlight w:val="none"/>
                      <w:lang w:val="en-US" w:eastAsia="zh-CN"/>
                    </w:rPr>
                    <w:t>1.75MW</w:t>
                  </w:r>
                  <w:r>
                    <w:rPr>
                      <w:rFonts w:hint="eastAsia" w:ascii="Times New Roman" w:hAnsi="Times New Roman" w:eastAsia="宋体" w:cs="Times New Roman"/>
                      <w:color w:val="auto"/>
                      <w:szCs w:val="21"/>
                      <w:highlight w:val="none"/>
                      <w:lang w:val="en-US" w:eastAsia="zh-CN"/>
                    </w:rPr>
                    <w:t>燃生物质</w:t>
                  </w:r>
                  <w:r>
                    <w:rPr>
                      <w:rFonts w:hint="eastAsia" w:cs="Times New Roman"/>
                      <w:color w:val="auto"/>
                      <w:szCs w:val="21"/>
                      <w:highlight w:val="none"/>
                      <w:lang w:val="en-US" w:eastAsia="zh-CN"/>
                    </w:rPr>
                    <w:t>导热油</w:t>
                  </w:r>
                  <w:r>
                    <w:rPr>
                      <w:rFonts w:hint="eastAsia" w:ascii="Times New Roman" w:hAnsi="Times New Roman" w:eastAsia="宋体" w:cs="Times New Roman"/>
                      <w:color w:val="auto"/>
                      <w:szCs w:val="21"/>
                      <w:highlight w:val="none"/>
                      <w:lang w:val="en-US" w:eastAsia="zh-CN"/>
                    </w:rPr>
                    <w:t>锅炉提供，年运行时间2</w:t>
                  </w:r>
                  <w:r>
                    <w:rPr>
                      <w:rFonts w:hint="eastAsia" w:cs="Times New Roman"/>
                      <w:color w:val="auto"/>
                      <w:szCs w:val="21"/>
                      <w:highlight w:val="none"/>
                      <w:lang w:val="en-US" w:eastAsia="zh-CN"/>
                    </w:rPr>
                    <w:t>160</w:t>
                  </w:r>
                  <w:r>
                    <w:rPr>
                      <w:rFonts w:hint="eastAsia" w:ascii="Times New Roman" w:hAnsi="Times New Roman" w:eastAsia="宋体" w:cs="Times New Roman"/>
                      <w:color w:val="auto"/>
                      <w:szCs w:val="21"/>
                      <w:highlight w:val="none"/>
                      <w:lang w:val="en-US" w:eastAsia="zh-CN"/>
                    </w:rPr>
                    <w:t>h，用于加热、烘干等生产工序；本项目不设置食宿，冬季供暖依托生产余热，年使用生物质成型颗粒约</w:t>
                  </w:r>
                  <w:r>
                    <w:rPr>
                      <w:rFonts w:hint="eastAsia" w:cs="Times New Roman"/>
                      <w:color w:val="auto"/>
                      <w:szCs w:val="21"/>
                      <w:highlight w:val="none"/>
                      <w:lang w:val="en-US" w:eastAsia="zh-CN"/>
                    </w:rPr>
                    <w:t>1530</w:t>
                  </w:r>
                  <w:r>
                    <w:rPr>
                      <w:rFonts w:hint="eastAsia" w:ascii="Times New Roman" w:hAnsi="Times New Roman" w:eastAsia="宋体" w:cs="Times New Roman"/>
                      <w:color w:val="auto"/>
                      <w:szCs w:val="21"/>
                      <w:highlight w:val="none"/>
                      <w:lang w:val="en-US" w:eastAsia="zh-CN"/>
                    </w:rPr>
                    <w:t>t/a</w:t>
                  </w:r>
                  <w:r>
                    <w:rPr>
                      <w:rFonts w:hint="eastAsia" w:cs="Times New Roman"/>
                      <w:color w:val="auto"/>
                      <w:szCs w:val="21"/>
                      <w:highlight w:val="none"/>
                      <w:lang w:val="en-US" w:eastAsia="zh-CN"/>
                    </w:rPr>
                    <w:t>。</w:t>
                  </w:r>
                </w:p>
              </w:tc>
              <w:tc>
                <w:tcPr>
                  <w:tcW w:w="342" w:type="pct"/>
                  <w:noWrap w:val="0"/>
                  <w:vAlign w:val="center"/>
                </w:tcPr>
                <w:p w14:paraId="2DEF91FB">
                  <w:pPr>
                    <w:widowControl/>
                    <w:jc w:val="center"/>
                    <w:rPr>
                      <w:rFonts w:hint="eastAsia" w:eastAsia="宋体"/>
                      <w:bCs/>
                      <w:color w:val="auto"/>
                      <w:kern w:val="0"/>
                      <w:szCs w:val="21"/>
                      <w:highlight w:val="none"/>
                      <w:lang w:eastAsia="zh-CN"/>
                    </w:rPr>
                  </w:pPr>
                  <w:r>
                    <w:rPr>
                      <w:rFonts w:hint="eastAsia"/>
                      <w:color w:val="auto"/>
                      <w:lang w:val="en-US" w:eastAsia="zh-CN"/>
                    </w:rPr>
                    <w:t>已建</w:t>
                  </w:r>
                </w:p>
              </w:tc>
            </w:tr>
            <w:tr w14:paraId="7CA36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86" w:hRule="atLeast"/>
                <w:jc w:val="center"/>
              </w:trPr>
              <w:tc>
                <w:tcPr>
                  <w:tcW w:w="465" w:type="pct"/>
                  <w:vMerge w:val="continue"/>
                  <w:tcBorders>
                    <w:bottom w:val="single" w:color="000000" w:sz="4" w:space="0"/>
                  </w:tcBorders>
                  <w:noWrap w:val="0"/>
                  <w:vAlign w:val="center"/>
                </w:tcPr>
                <w:p w14:paraId="10A72F23">
                  <w:pPr>
                    <w:jc w:val="center"/>
                    <w:rPr>
                      <w:b/>
                      <w:bCs/>
                      <w:color w:val="auto"/>
                      <w:szCs w:val="21"/>
                      <w:highlight w:val="none"/>
                    </w:rPr>
                  </w:pPr>
                </w:p>
              </w:tc>
              <w:tc>
                <w:tcPr>
                  <w:tcW w:w="675" w:type="pct"/>
                  <w:noWrap w:val="0"/>
                  <w:vAlign w:val="center"/>
                </w:tcPr>
                <w:p w14:paraId="5EA4DFFA">
                  <w:pPr>
                    <w:widowControl/>
                    <w:jc w:val="center"/>
                    <w:rPr>
                      <w:rFonts w:hint="eastAsia" w:ascii="宋体" w:hAnsi="宋体" w:eastAsia="宋体"/>
                      <w:color w:val="auto"/>
                      <w:sz w:val="21"/>
                      <w:szCs w:val="24"/>
                      <w:lang w:val="en-US" w:eastAsia="zh-CN"/>
                    </w:rPr>
                  </w:pPr>
                  <w:r>
                    <w:rPr>
                      <w:rFonts w:hint="eastAsia" w:ascii="宋体" w:hAnsi="宋体"/>
                      <w:color w:val="auto"/>
                      <w:sz w:val="21"/>
                      <w:szCs w:val="24"/>
                      <w:lang w:val="en-US" w:eastAsia="zh-CN"/>
                    </w:rPr>
                    <w:t>供电工程</w:t>
                  </w:r>
                </w:p>
              </w:tc>
              <w:tc>
                <w:tcPr>
                  <w:tcW w:w="3516" w:type="pct"/>
                  <w:noWrap w:val="0"/>
                  <w:vAlign w:val="center"/>
                </w:tcPr>
                <w:p w14:paraId="236148DB">
                  <w:pPr>
                    <w:widowControl/>
                    <w:jc w:val="left"/>
                    <w:rPr>
                      <w:rFonts w:hint="eastAsia" w:ascii="宋体" w:hAnsi="宋体" w:eastAsia="宋体"/>
                      <w:color w:val="auto"/>
                      <w:sz w:val="21"/>
                      <w:szCs w:val="24"/>
                      <w:lang w:val="en-US" w:eastAsia="zh-CN"/>
                    </w:rPr>
                  </w:pPr>
                  <w:r>
                    <w:rPr>
                      <w:rFonts w:hint="eastAsia" w:ascii="宋体" w:hAnsi="宋体" w:eastAsia="宋体"/>
                      <w:color w:val="auto"/>
                      <w:sz w:val="21"/>
                      <w:szCs w:val="24"/>
                    </w:rPr>
                    <w:t>供电依托市政电网</w:t>
                  </w:r>
                  <w:r>
                    <w:rPr>
                      <w:rFonts w:hint="eastAsia" w:ascii="宋体" w:hAnsi="宋体"/>
                      <w:color w:val="auto"/>
                      <w:sz w:val="21"/>
                      <w:szCs w:val="24"/>
                      <w:lang w:eastAsia="zh-CN"/>
                    </w:rPr>
                    <w:t>。</w:t>
                  </w:r>
                </w:p>
              </w:tc>
              <w:tc>
                <w:tcPr>
                  <w:tcW w:w="342" w:type="pct"/>
                  <w:noWrap w:val="0"/>
                  <w:vAlign w:val="center"/>
                </w:tcPr>
                <w:p w14:paraId="287C8827">
                  <w:pPr>
                    <w:widowControl/>
                    <w:jc w:val="center"/>
                    <w:rPr>
                      <w:rFonts w:hint="eastAsia"/>
                      <w:bCs/>
                      <w:color w:val="auto"/>
                      <w:kern w:val="0"/>
                      <w:szCs w:val="21"/>
                      <w:highlight w:val="none"/>
                      <w:lang w:val="en-US" w:eastAsia="zh-CN"/>
                    </w:rPr>
                  </w:pPr>
                  <w:r>
                    <w:rPr>
                      <w:rFonts w:hint="eastAsia"/>
                      <w:bCs/>
                      <w:color w:val="auto"/>
                      <w:kern w:val="0"/>
                      <w:szCs w:val="21"/>
                      <w:highlight w:val="none"/>
                      <w:lang w:val="en-US" w:eastAsia="zh-CN"/>
                    </w:rPr>
                    <w:t>依托</w:t>
                  </w:r>
                </w:p>
              </w:tc>
            </w:tr>
            <w:tr w14:paraId="0CCD72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21" w:hRule="atLeast"/>
                <w:jc w:val="center"/>
              </w:trPr>
              <w:tc>
                <w:tcPr>
                  <w:tcW w:w="465" w:type="pct"/>
                  <w:vMerge w:val="restart"/>
                  <w:noWrap w:val="0"/>
                  <w:vAlign w:val="center"/>
                </w:tcPr>
                <w:p w14:paraId="4A24C808">
                  <w:pPr>
                    <w:jc w:val="center"/>
                    <w:rPr>
                      <w:b/>
                      <w:bCs/>
                      <w:color w:val="auto"/>
                      <w:szCs w:val="21"/>
                      <w:highlight w:val="none"/>
                    </w:rPr>
                  </w:pPr>
                  <w:r>
                    <w:rPr>
                      <w:b/>
                      <w:bCs/>
                      <w:color w:val="auto"/>
                      <w:szCs w:val="21"/>
                      <w:highlight w:val="none"/>
                    </w:rPr>
                    <w:t>环保工程</w:t>
                  </w:r>
                </w:p>
              </w:tc>
              <w:tc>
                <w:tcPr>
                  <w:tcW w:w="675" w:type="pct"/>
                  <w:noWrap w:val="0"/>
                  <w:vAlign w:val="center"/>
                </w:tcPr>
                <w:p w14:paraId="74AD89B0">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废气治理</w:t>
                  </w:r>
                </w:p>
              </w:tc>
              <w:tc>
                <w:tcPr>
                  <w:tcW w:w="3516" w:type="pct"/>
                  <w:noWrap w:val="0"/>
                  <w:vAlign w:val="center"/>
                </w:tcPr>
                <w:p w14:paraId="30001B22">
                  <w:pPr>
                    <w:keepNext w:val="0"/>
                    <w:keepLines w:val="0"/>
                    <w:pageBreakBefore w:val="0"/>
                    <w:widowControl/>
                    <w:kinsoku/>
                    <w:wordWrap/>
                    <w:overflowPunct/>
                    <w:topLinePunct w:val="0"/>
                    <w:autoSpaceDE/>
                    <w:autoSpaceDN/>
                    <w:bidi w:val="0"/>
                    <w:adjustRightInd/>
                    <w:spacing w:line="240" w:lineRule="auto"/>
                    <w:ind w:right="0"/>
                    <w:jc w:val="both"/>
                    <w:textAlignment w:val="auto"/>
                    <w:rPr>
                      <w:rFonts w:hint="eastAsia"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锅炉烟气：由布袋除尘器处理后经</w:t>
                  </w:r>
                  <w:r>
                    <w:rPr>
                      <w:rFonts w:hint="eastAsia" w:cs="Times New Roman"/>
                      <w:color w:val="auto"/>
                      <w:szCs w:val="21"/>
                      <w:highlight w:val="none"/>
                      <w:lang w:val="en-US" w:eastAsia="zh-CN"/>
                    </w:rPr>
                    <w:t>30</w:t>
                  </w:r>
                  <w:r>
                    <w:rPr>
                      <w:rFonts w:hint="eastAsia" w:ascii="Times New Roman" w:hAnsi="Times New Roman" w:eastAsia="宋体" w:cs="Times New Roman"/>
                      <w:color w:val="auto"/>
                      <w:szCs w:val="21"/>
                      <w:highlight w:val="none"/>
                      <w:lang w:val="en-US" w:eastAsia="zh-CN"/>
                    </w:rPr>
                    <w:t>m高烟囱排放</w:t>
                  </w:r>
                  <w:r>
                    <w:rPr>
                      <w:rFonts w:hint="eastAsia" w:cs="Times New Roman"/>
                      <w:color w:val="auto"/>
                      <w:szCs w:val="21"/>
                      <w:highlight w:val="none"/>
                      <w:lang w:val="en-US" w:eastAsia="zh-CN"/>
                    </w:rPr>
                    <w:t>；</w:t>
                  </w:r>
                </w:p>
                <w:p w14:paraId="22E2C128">
                  <w:pPr>
                    <w:pStyle w:val="11"/>
                    <w:keepNext w:val="0"/>
                    <w:keepLines w:val="0"/>
                    <w:pageBreakBefore w:val="0"/>
                    <w:widowControl/>
                    <w:kinsoku/>
                    <w:wordWrap/>
                    <w:overflowPunct/>
                    <w:topLinePunct w:val="0"/>
                    <w:autoSpaceDE/>
                    <w:autoSpaceDN/>
                    <w:bidi w:val="0"/>
                    <w:adjustRightInd/>
                    <w:spacing w:before="0" w:after="0" w:line="240" w:lineRule="auto"/>
                    <w:ind w:right="0"/>
                    <w:jc w:val="left"/>
                    <w:textAlignment w:val="auto"/>
                    <w:rPr>
                      <w:rFonts w:hint="eastAsia"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锯切、</w:t>
                  </w:r>
                  <w:r>
                    <w:rPr>
                      <w:rFonts w:hint="eastAsia" w:cs="Times New Roman"/>
                      <w:color w:val="auto"/>
                      <w:kern w:val="2"/>
                      <w:sz w:val="21"/>
                      <w:szCs w:val="21"/>
                      <w:highlight w:val="none"/>
                      <w:lang w:val="en-US" w:eastAsia="zh-CN" w:bidi="ar-SA"/>
                    </w:rPr>
                    <w:t>仿形、</w:t>
                  </w:r>
                  <w:r>
                    <w:rPr>
                      <w:rFonts w:hint="eastAsia" w:ascii="Times New Roman" w:hAnsi="Times New Roman" w:eastAsia="宋体" w:cs="Times New Roman"/>
                      <w:color w:val="auto"/>
                      <w:kern w:val="2"/>
                      <w:sz w:val="21"/>
                      <w:szCs w:val="21"/>
                      <w:highlight w:val="none"/>
                      <w:lang w:val="en-US" w:eastAsia="zh-CN" w:bidi="ar-SA"/>
                    </w:rPr>
                    <w:t>抛光工段颗粒物：</w:t>
                  </w:r>
                  <w:r>
                    <w:rPr>
                      <w:rFonts w:hint="eastAsia" w:cs="Times New Roman"/>
                      <w:color w:val="auto"/>
                      <w:kern w:val="2"/>
                      <w:sz w:val="21"/>
                      <w:szCs w:val="21"/>
                      <w:highlight w:val="none"/>
                      <w:lang w:val="en-US" w:eastAsia="zh-CN" w:bidi="ar-SA"/>
                    </w:rPr>
                    <w:t>由旋风分离器处理后无组织排放；</w:t>
                  </w:r>
                </w:p>
                <w:p w14:paraId="6E4DFE60">
                  <w:pPr>
                    <w:rPr>
                      <w:rFonts w:hint="default"/>
                      <w:lang w:val="en-US" w:eastAsia="zh-CN"/>
                    </w:rPr>
                  </w:pPr>
                  <w:r>
                    <w:rPr>
                      <w:rFonts w:hint="eastAsia" w:cs="Times New Roman"/>
                      <w:color w:val="auto"/>
                      <w:kern w:val="2"/>
                      <w:sz w:val="21"/>
                      <w:szCs w:val="21"/>
                      <w:highlight w:val="none"/>
                      <w:lang w:val="en-US" w:eastAsia="zh-CN" w:bidi="ar-SA"/>
                    </w:rPr>
                    <w:t>涂胶、热压工段产生的有机废气：经活性炭吸附装置处理后经15m高排气筒排放。</w:t>
                  </w:r>
                </w:p>
              </w:tc>
              <w:tc>
                <w:tcPr>
                  <w:tcW w:w="342" w:type="pct"/>
                  <w:noWrap w:val="0"/>
                  <w:vAlign w:val="center"/>
                </w:tcPr>
                <w:p w14:paraId="3EA6B848">
                  <w:pPr>
                    <w:widowControl/>
                    <w:jc w:val="center"/>
                    <w:rPr>
                      <w:rFonts w:hint="default" w:eastAsia="宋体"/>
                      <w:bCs/>
                      <w:color w:val="auto"/>
                      <w:kern w:val="0"/>
                      <w:szCs w:val="21"/>
                      <w:highlight w:val="none"/>
                      <w:lang w:val="en-US" w:eastAsia="zh-CN"/>
                    </w:rPr>
                  </w:pPr>
                  <w:r>
                    <w:rPr>
                      <w:rFonts w:hint="eastAsia"/>
                      <w:color w:val="auto"/>
                      <w:spacing w:val="-8"/>
                      <w:szCs w:val="21"/>
                      <w:highlight w:val="none"/>
                      <w:lang w:val="en-US" w:eastAsia="zh-CN"/>
                    </w:rPr>
                    <w:t>改造</w:t>
                  </w:r>
                </w:p>
              </w:tc>
            </w:tr>
            <w:tr w14:paraId="4E84E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2" w:hRule="atLeast"/>
                <w:jc w:val="center"/>
              </w:trPr>
              <w:tc>
                <w:tcPr>
                  <w:tcW w:w="465" w:type="pct"/>
                  <w:vMerge w:val="continue"/>
                  <w:noWrap w:val="0"/>
                  <w:vAlign w:val="center"/>
                </w:tcPr>
                <w:p w14:paraId="798EC7FF">
                  <w:pPr>
                    <w:jc w:val="center"/>
                    <w:rPr>
                      <w:b/>
                      <w:bCs/>
                      <w:color w:val="auto"/>
                      <w:szCs w:val="21"/>
                      <w:highlight w:val="none"/>
                    </w:rPr>
                  </w:pPr>
                </w:p>
              </w:tc>
              <w:tc>
                <w:tcPr>
                  <w:tcW w:w="675" w:type="pct"/>
                  <w:noWrap w:val="0"/>
                  <w:vAlign w:val="center"/>
                </w:tcPr>
                <w:p w14:paraId="2914F3B0">
                  <w:pPr>
                    <w:widowControl/>
                    <w:jc w:val="center"/>
                    <w:rPr>
                      <w:rFonts w:hint="default"/>
                      <w:bCs/>
                      <w:color w:val="auto"/>
                      <w:kern w:val="0"/>
                      <w:szCs w:val="21"/>
                      <w:highlight w:val="none"/>
                      <w:lang w:val="en-US" w:eastAsia="zh-CN"/>
                    </w:rPr>
                  </w:pPr>
                  <w:r>
                    <w:rPr>
                      <w:rFonts w:hint="eastAsia"/>
                      <w:bCs/>
                      <w:color w:val="auto"/>
                      <w:kern w:val="0"/>
                      <w:szCs w:val="21"/>
                      <w:highlight w:val="none"/>
                      <w:lang w:val="en-US" w:eastAsia="zh-CN"/>
                    </w:rPr>
                    <w:t>废水治理</w:t>
                  </w:r>
                </w:p>
              </w:tc>
              <w:tc>
                <w:tcPr>
                  <w:tcW w:w="3516" w:type="pct"/>
                  <w:noWrap w:val="0"/>
                  <w:vAlign w:val="center"/>
                </w:tcPr>
                <w:p w14:paraId="5869D217">
                  <w:pPr>
                    <w:widowControl/>
                    <w:jc w:val="left"/>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本项目不产生生产废水，职工如厕依托附近宝成家具厂。</w:t>
                  </w:r>
                </w:p>
              </w:tc>
              <w:tc>
                <w:tcPr>
                  <w:tcW w:w="342" w:type="pct"/>
                  <w:noWrap w:val="0"/>
                  <w:vAlign w:val="center"/>
                </w:tcPr>
                <w:p w14:paraId="75CD1DA9">
                  <w:pPr>
                    <w:widowControl/>
                    <w:jc w:val="center"/>
                    <w:rPr>
                      <w:color w:val="auto"/>
                      <w:spacing w:val="-8"/>
                      <w:szCs w:val="21"/>
                      <w:highlight w:val="none"/>
                    </w:rPr>
                  </w:pPr>
                  <w:r>
                    <w:rPr>
                      <w:rFonts w:hint="eastAsia"/>
                      <w:bCs/>
                      <w:color w:val="auto"/>
                      <w:kern w:val="0"/>
                      <w:szCs w:val="21"/>
                      <w:highlight w:val="none"/>
                      <w:lang w:val="en-US" w:eastAsia="zh-CN"/>
                    </w:rPr>
                    <w:t>依托</w:t>
                  </w:r>
                </w:p>
              </w:tc>
            </w:tr>
            <w:tr w14:paraId="55D4A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465" w:type="pct"/>
                  <w:vMerge w:val="continue"/>
                  <w:noWrap w:val="0"/>
                  <w:vAlign w:val="center"/>
                </w:tcPr>
                <w:p w14:paraId="02C84ADD">
                  <w:pPr>
                    <w:jc w:val="center"/>
                    <w:rPr>
                      <w:b/>
                      <w:bCs/>
                      <w:color w:val="auto"/>
                      <w:szCs w:val="21"/>
                      <w:highlight w:val="none"/>
                    </w:rPr>
                  </w:pPr>
                </w:p>
              </w:tc>
              <w:tc>
                <w:tcPr>
                  <w:tcW w:w="675" w:type="pct"/>
                  <w:noWrap w:val="0"/>
                  <w:vAlign w:val="center"/>
                </w:tcPr>
                <w:p w14:paraId="51773FF0">
                  <w:pPr>
                    <w:widowControl/>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噪声治理</w:t>
                  </w:r>
                </w:p>
              </w:tc>
              <w:tc>
                <w:tcPr>
                  <w:tcW w:w="3516" w:type="pct"/>
                  <w:noWrap w:val="0"/>
                  <w:vAlign w:val="center"/>
                </w:tcPr>
                <w:p w14:paraId="12599C56">
                  <w:pPr>
                    <w:widowControl/>
                    <w:jc w:val="both"/>
                    <w:rPr>
                      <w:rFonts w:hint="eastAsia" w:ascii="宋体" w:hAnsi="宋体" w:eastAsia="宋体"/>
                      <w:color w:val="auto"/>
                      <w:sz w:val="21"/>
                      <w:szCs w:val="24"/>
                      <w:lang w:val="en-US" w:eastAsia="zh-CN"/>
                    </w:rPr>
                  </w:pPr>
                  <w:r>
                    <w:rPr>
                      <w:rFonts w:hint="eastAsia" w:ascii="宋体" w:hAnsi="宋体" w:eastAsia="宋体"/>
                      <w:color w:val="auto"/>
                      <w:sz w:val="21"/>
                      <w:szCs w:val="24"/>
                    </w:rPr>
                    <w:t>采用低噪声设备，采用封闭、隔离等降噪措施</w:t>
                  </w:r>
                  <w:r>
                    <w:rPr>
                      <w:rFonts w:hint="eastAsia" w:ascii="宋体" w:hAnsi="宋体"/>
                      <w:color w:val="auto"/>
                      <w:sz w:val="21"/>
                      <w:szCs w:val="24"/>
                      <w:lang w:eastAsia="zh-CN"/>
                    </w:rPr>
                    <w:t>。</w:t>
                  </w:r>
                </w:p>
              </w:tc>
              <w:tc>
                <w:tcPr>
                  <w:tcW w:w="342" w:type="pct"/>
                  <w:noWrap w:val="0"/>
                  <w:vAlign w:val="center"/>
                </w:tcPr>
                <w:p w14:paraId="2C6B00AC">
                  <w:pPr>
                    <w:widowControl/>
                    <w:jc w:val="center"/>
                    <w:rPr>
                      <w:rFonts w:hint="eastAsia" w:eastAsia="宋体"/>
                      <w:bCs/>
                      <w:color w:val="auto"/>
                      <w:kern w:val="0"/>
                      <w:szCs w:val="21"/>
                      <w:highlight w:val="none"/>
                      <w:lang w:eastAsia="zh-CN"/>
                    </w:rPr>
                  </w:pPr>
                  <w:r>
                    <w:rPr>
                      <w:rFonts w:hint="eastAsia"/>
                      <w:bCs/>
                      <w:color w:val="auto"/>
                      <w:kern w:val="0"/>
                      <w:szCs w:val="21"/>
                      <w:highlight w:val="none"/>
                      <w:lang w:val="en-US" w:eastAsia="zh-CN"/>
                    </w:rPr>
                    <w:t>/</w:t>
                  </w:r>
                </w:p>
              </w:tc>
            </w:tr>
            <w:tr w14:paraId="14A445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99" w:hRule="atLeast"/>
                <w:jc w:val="center"/>
              </w:trPr>
              <w:tc>
                <w:tcPr>
                  <w:tcW w:w="465" w:type="pct"/>
                  <w:vMerge w:val="continue"/>
                  <w:noWrap w:val="0"/>
                  <w:vAlign w:val="center"/>
                </w:tcPr>
                <w:p w14:paraId="1AEE80E4">
                  <w:pPr>
                    <w:jc w:val="center"/>
                    <w:rPr>
                      <w:color w:val="auto"/>
                      <w:szCs w:val="21"/>
                      <w:highlight w:val="none"/>
                    </w:rPr>
                  </w:pPr>
                </w:p>
              </w:tc>
              <w:tc>
                <w:tcPr>
                  <w:tcW w:w="675" w:type="pct"/>
                  <w:noWrap w:val="0"/>
                  <w:vAlign w:val="center"/>
                </w:tcPr>
                <w:p w14:paraId="6C2AB0E4">
                  <w:pPr>
                    <w:jc w:val="center"/>
                    <w:rPr>
                      <w:rFonts w:hint="default" w:eastAsia="宋体"/>
                      <w:color w:val="auto"/>
                      <w:szCs w:val="21"/>
                      <w:highlight w:val="none"/>
                      <w:lang w:val="en-US" w:eastAsia="zh-CN"/>
                    </w:rPr>
                  </w:pPr>
                  <w:r>
                    <w:rPr>
                      <w:rFonts w:hint="eastAsia"/>
                      <w:color w:val="auto"/>
                      <w:szCs w:val="21"/>
                      <w:highlight w:val="none"/>
                      <w:lang w:val="en-US" w:eastAsia="zh-CN"/>
                    </w:rPr>
                    <w:t>固废治理</w:t>
                  </w:r>
                </w:p>
              </w:tc>
              <w:tc>
                <w:tcPr>
                  <w:tcW w:w="3516" w:type="pct"/>
                  <w:noWrap w:val="0"/>
                  <w:vAlign w:val="center"/>
                </w:tcPr>
                <w:p w14:paraId="2C1AD23E">
                  <w:pPr>
                    <w:jc w:val="left"/>
                    <w:rPr>
                      <w:rFonts w:hint="default" w:eastAsia="宋体"/>
                      <w:color w:val="auto"/>
                      <w:szCs w:val="21"/>
                      <w:highlight w:val="none"/>
                      <w:lang w:val="en-US" w:eastAsia="zh-CN"/>
                    </w:rPr>
                  </w:pPr>
                  <w:r>
                    <w:rPr>
                      <w:rFonts w:hint="default" w:eastAsia="宋体"/>
                      <w:color w:val="auto"/>
                      <w:szCs w:val="21"/>
                      <w:highlight w:val="none"/>
                      <w:lang w:val="en-US" w:eastAsia="zh-CN"/>
                    </w:rPr>
                    <w:t>生活垃圾集中收集，</w:t>
                  </w:r>
                  <w:r>
                    <w:rPr>
                      <w:rFonts w:hint="eastAsia"/>
                      <w:color w:val="auto"/>
                      <w:szCs w:val="21"/>
                      <w:highlight w:val="none"/>
                      <w:lang w:val="en-US" w:eastAsia="zh-CN"/>
                    </w:rPr>
                    <w:t>暂存于收纳桶，</w:t>
                  </w:r>
                  <w:r>
                    <w:rPr>
                      <w:rFonts w:hint="default" w:eastAsia="宋体"/>
                      <w:color w:val="auto"/>
                      <w:szCs w:val="21"/>
                      <w:highlight w:val="none"/>
                      <w:lang w:val="en-US" w:eastAsia="zh-CN"/>
                    </w:rPr>
                    <w:t>由环卫部门定期清运处理；</w:t>
                  </w:r>
                </w:p>
                <w:p w14:paraId="48B8B0F4">
                  <w:pPr>
                    <w:spacing w:beforeLines="0" w:afterLines="0"/>
                    <w:jc w:val="left"/>
                    <w:rPr>
                      <w:rFonts w:hint="eastAsia"/>
                      <w:color w:val="auto"/>
                      <w:szCs w:val="21"/>
                      <w:highlight w:val="none"/>
                      <w:lang w:val="en-US" w:eastAsia="zh-CN"/>
                    </w:rPr>
                  </w:pPr>
                  <w:r>
                    <w:rPr>
                      <w:rFonts w:hint="eastAsia" w:ascii="宋体" w:hAnsi="宋体" w:eastAsia="宋体"/>
                      <w:sz w:val="21"/>
                      <w:szCs w:val="24"/>
                    </w:rPr>
                    <w:t>一般工业固体废物（废包装袋、废边角料、</w:t>
                  </w:r>
                  <w:r>
                    <w:rPr>
                      <w:rFonts w:hint="eastAsia" w:ascii="宋体" w:hAnsi="宋体" w:eastAsia="宋体"/>
                      <w:sz w:val="21"/>
                      <w:szCs w:val="24"/>
                      <w:lang w:val="en-US" w:eastAsia="zh-CN"/>
                    </w:rPr>
                    <w:t>锅炉灰渣、</w:t>
                  </w:r>
                  <w:r>
                    <w:rPr>
                      <w:rFonts w:hint="eastAsia" w:ascii="宋体" w:hAnsi="宋体" w:eastAsia="宋体"/>
                      <w:sz w:val="21"/>
                      <w:szCs w:val="24"/>
                    </w:rPr>
                    <w:t>除尘器收集粉尘</w:t>
                  </w:r>
                  <w:r>
                    <w:rPr>
                      <w:rFonts w:hint="eastAsia" w:ascii="宋体" w:hAnsi="宋体"/>
                      <w:sz w:val="21"/>
                      <w:szCs w:val="24"/>
                      <w:lang w:eastAsia="zh-CN"/>
                    </w:rPr>
                    <w:t>、</w:t>
                  </w:r>
                  <w:r>
                    <w:rPr>
                      <w:rFonts w:hint="eastAsia" w:ascii="宋体" w:hAnsi="宋体"/>
                      <w:sz w:val="21"/>
                      <w:szCs w:val="24"/>
                      <w:lang w:val="en-US" w:eastAsia="zh-CN"/>
                    </w:rPr>
                    <w:t>废胶桶、废胶渣</w:t>
                  </w:r>
                  <w:r>
                    <w:rPr>
                      <w:rFonts w:hint="eastAsia" w:ascii="宋体" w:hAnsi="宋体" w:eastAsia="宋体"/>
                      <w:sz w:val="21"/>
                      <w:szCs w:val="24"/>
                    </w:rPr>
                    <w:t>）集中收集后暂存于</w:t>
                  </w:r>
                  <w:r>
                    <w:rPr>
                      <w:rFonts w:hint="eastAsia" w:ascii="宋体" w:hAnsi="宋体" w:eastAsia="宋体"/>
                      <w:sz w:val="21"/>
                      <w:szCs w:val="24"/>
                      <w:lang w:val="en-US" w:eastAsia="zh-CN"/>
                    </w:rPr>
                    <w:t>收纳桶</w:t>
                  </w:r>
                  <w:r>
                    <w:rPr>
                      <w:rFonts w:hint="eastAsia" w:ascii="宋体" w:hAnsi="宋体" w:eastAsia="宋体"/>
                      <w:sz w:val="21"/>
                      <w:szCs w:val="24"/>
                    </w:rPr>
                    <w:t>，定期</w:t>
                  </w:r>
                  <w:r>
                    <w:rPr>
                      <w:rFonts w:hint="eastAsia" w:ascii="宋体" w:hAnsi="宋体"/>
                      <w:sz w:val="21"/>
                      <w:szCs w:val="24"/>
                      <w:lang w:val="en-US" w:eastAsia="zh-CN"/>
                    </w:rPr>
                    <w:t>厂家回收或</w:t>
                  </w:r>
                  <w:r>
                    <w:rPr>
                      <w:rFonts w:hint="eastAsia" w:ascii="宋体" w:hAnsi="宋体" w:eastAsia="宋体"/>
                      <w:sz w:val="21"/>
                      <w:szCs w:val="24"/>
                    </w:rPr>
                    <w:t>外售综合利用</w:t>
                  </w:r>
                  <w:r>
                    <w:rPr>
                      <w:rFonts w:hint="eastAsia" w:ascii="宋体" w:hAnsi="宋体"/>
                      <w:sz w:val="21"/>
                      <w:szCs w:val="24"/>
                      <w:lang w:eastAsia="zh-CN"/>
                    </w:rPr>
                    <w:t>，</w:t>
                  </w:r>
                  <w:r>
                    <w:rPr>
                      <w:rFonts w:hint="eastAsia" w:ascii="宋体" w:hAnsi="宋体"/>
                      <w:sz w:val="21"/>
                      <w:szCs w:val="24"/>
                      <w:lang w:val="en-US" w:eastAsia="zh-CN"/>
                    </w:rPr>
                    <w:t>其中</w:t>
                  </w:r>
                  <w:r>
                    <w:rPr>
                      <w:rFonts w:hint="eastAsia"/>
                      <w:color w:val="auto"/>
                      <w:szCs w:val="21"/>
                      <w:highlight w:val="none"/>
                      <w:lang w:val="en-US" w:eastAsia="zh-CN"/>
                    </w:rPr>
                    <w:t>废布袋</w:t>
                  </w:r>
                  <w:r>
                    <w:rPr>
                      <w:rFonts w:hint="default" w:eastAsia="宋体"/>
                      <w:color w:val="auto"/>
                      <w:szCs w:val="21"/>
                      <w:highlight w:val="none"/>
                      <w:lang w:val="en-US" w:eastAsia="zh-CN"/>
                    </w:rPr>
                    <w:t>属于一般固废，厂家更换后带走回收</w:t>
                  </w:r>
                  <w:r>
                    <w:rPr>
                      <w:rFonts w:hint="eastAsia"/>
                      <w:color w:val="auto"/>
                      <w:szCs w:val="21"/>
                      <w:highlight w:val="none"/>
                      <w:lang w:val="en-US" w:eastAsia="zh-CN"/>
                    </w:rPr>
                    <w:t>。</w:t>
                  </w:r>
                </w:p>
                <w:p w14:paraId="23F828B6">
                  <w:pPr>
                    <w:spacing w:beforeLines="0" w:afterLines="0"/>
                    <w:jc w:val="left"/>
                    <w:rPr>
                      <w:rFonts w:hint="default"/>
                      <w:color w:val="auto"/>
                      <w:szCs w:val="21"/>
                      <w:highlight w:val="none"/>
                      <w:lang w:val="en-US" w:eastAsia="zh-CN"/>
                    </w:rPr>
                  </w:pPr>
                  <w:r>
                    <w:rPr>
                      <w:rFonts w:hint="eastAsia" w:ascii="宋体" w:hAnsi="宋体" w:eastAsia="宋体"/>
                      <w:sz w:val="21"/>
                      <w:szCs w:val="24"/>
                    </w:rPr>
                    <w:t>危险废物（</w:t>
                  </w:r>
                  <w:r>
                    <w:rPr>
                      <w:rFonts w:hint="eastAsia" w:ascii="宋体" w:hAnsi="宋体" w:eastAsia="宋体"/>
                      <w:sz w:val="21"/>
                      <w:szCs w:val="24"/>
                      <w:lang w:val="en-US" w:eastAsia="zh-CN"/>
                    </w:rPr>
                    <w:t>废导热油</w:t>
                  </w:r>
                  <w:r>
                    <w:rPr>
                      <w:rFonts w:hint="eastAsia" w:ascii="宋体" w:hAnsi="宋体" w:eastAsia="宋体"/>
                      <w:sz w:val="21"/>
                      <w:szCs w:val="24"/>
                      <w:lang w:eastAsia="zh-CN"/>
                    </w:rPr>
                    <w:t>、废</w:t>
                  </w:r>
                  <w:r>
                    <w:rPr>
                      <w:rFonts w:hint="eastAsia" w:ascii="宋体" w:hAnsi="宋体" w:eastAsia="宋体"/>
                      <w:sz w:val="21"/>
                      <w:szCs w:val="24"/>
                      <w:lang w:val="en-US" w:eastAsia="zh-CN"/>
                    </w:rPr>
                    <w:t>机油、废油桶、废弃的含油抹布及手套</w:t>
                  </w:r>
                  <w:r>
                    <w:rPr>
                      <w:rFonts w:hint="eastAsia" w:ascii="宋体" w:hAnsi="宋体" w:eastAsia="宋体"/>
                      <w:sz w:val="21"/>
                      <w:szCs w:val="24"/>
                      <w:lang w:eastAsia="zh-CN"/>
                    </w:rPr>
                    <w:t>、废活性炭</w:t>
                  </w:r>
                  <w:r>
                    <w:rPr>
                      <w:rFonts w:hint="eastAsia" w:ascii="宋体" w:hAnsi="宋体" w:eastAsia="宋体"/>
                      <w:sz w:val="21"/>
                      <w:szCs w:val="24"/>
                    </w:rPr>
                    <w:t>）集中收集后暂存于</w:t>
                  </w:r>
                  <w:r>
                    <w:rPr>
                      <w:rFonts w:hint="eastAsia" w:ascii="宋体" w:hAnsi="宋体"/>
                      <w:sz w:val="21"/>
                      <w:szCs w:val="24"/>
                      <w:lang w:val="en-US" w:eastAsia="zh-CN"/>
                    </w:rPr>
                    <w:t>危险废物贮存库</w:t>
                  </w:r>
                  <w:r>
                    <w:rPr>
                      <w:rFonts w:hint="eastAsia" w:ascii="宋体" w:hAnsi="宋体" w:eastAsia="宋体"/>
                      <w:sz w:val="21"/>
                      <w:szCs w:val="24"/>
                    </w:rPr>
                    <w:t>，定期交由有资质单位处理</w:t>
                  </w:r>
                  <w:r>
                    <w:rPr>
                      <w:rFonts w:hint="eastAsia" w:ascii="宋体" w:hAnsi="宋体"/>
                      <w:sz w:val="21"/>
                      <w:szCs w:val="24"/>
                      <w:lang w:eastAsia="zh-CN"/>
                    </w:rPr>
                    <w:t>，</w:t>
                  </w:r>
                  <w:r>
                    <w:rPr>
                      <w:rFonts w:hint="eastAsia" w:ascii="宋体" w:hAnsi="宋体"/>
                      <w:sz w:val="21"/>
                      <w:szCs w:val="24"/>
                      <w:lang w:val="en-US" w:eastAsia="zh-CN"/>
                    </w:rPr>
                    <w:t>其中，废导热油</w:t>
                  </w:r>
                  <w:r>
                    <w:rPr>
                      <w:rFonts w:hint="eastAsia" w:cs="宋体"/>
                      <w:smallCaps w:val="0"/>
                      <w:color w:val="auto"/>
                      <w:sz w:val="21"/>
                      <w:szCs w:val="21"/>
                      <w:highlight w:val="none"/>
                      <w:vertAlign w:val="baseline"/>
                      <w:lang w:val="en-US" w:eastAsia="zh-CN"/>
                    </w:rPr>
                    <w:t>更换后直接</w:t>
                  </w:r>
                  <w:r>
                    <w:rPr>
                      <w:rFonts w:hint="eastAsia" w:ascii="Times New Roman" w:hAnsi="Times New Roman" w:eastAsia="宋体" w:cs="宋体"/>
                      <w:smallCaps w:val="0"/>
                      <w:color w:val="auto"/>
                      <w:sz w:val="21"/>
                      <w:szCs w:val="21"/>
                      <w:highlight w:val="none"/>
                      <w:vertAlign w:val="baseline"/>
                      <w:lang w:val="en-US" w:eastAsia="zh-CN"/>
                    </w:rPr>
                    <w:t>由</w:t>
                  </w:r>
                  <w:r>
                    <w:rPr>
                      <w:rFonts w:hint="eastAsia" w:cs="宋体"/>
                      <w:smallCaps w:val="0"/>
                      <w:color w:val="auto"/>
                      <w:sz w:val="21"/>
                      <w:szCs w:val="21"/>
                      <w:highlight w:val="none"/>
                      <w:vertAlign w:val="baseline"/>
                      <w:lang w:val="en-US" w:eastAsia="zh-CN"/>
                    </w:rPr>
                    <w:t>有</w:t>
                  </w:r>
                  <w:r>
                    <w:rPr>
                      <w:rFonts w:hint="eastAsia" w:ascii="Times New Roman" w:hAnsi="Times New Roman" w:eastAsia="宋体" w:cs="宋体"/>
                      <w:smallCaps w:val="0"/>
                      <w:color w:val="auto"/>
                      <w:sz w:val="21"/>
                      <w:szCs w:val="21"/>
                      <w:highlight w:val="none"/>
                      <w:vertAlign w:val="baseline"/>
                      <w:lang w:val="en-US" w:eastAsia="zh-CN"/>
                    </w:rPr>
                    <w:t>资质单位处理</w:t>
                  </w:r>
                  <w:r>
                    <w:rPr>
                      <w:rFonts w:hint="eastAsia" w:cs="宋体"/>
                      <w:smallCaps w:val="0"/>
                      <w:color w:val="auto"/>
                      <w:sz w:val="21"/>
                      <w:szCs w:val="21"/>
                      <w:highlight w:val="none"/>
                      <w:vertAlign w:val="baseline"/>
                      <w:lang w:val="en-US" w:eastAsia="zh-CN"/>
                    </w:rPr>
                    <w:t>，厂区不暂存</w:t>
                  </w:r>
                  <w:r>
                    <w:rPr>
                      <w:rFonts w:hint="eastAsia" w:ascii="宋体" w:hAnsi="宋体" w:eastAsia="宋体"/>
                      <w:sz w:val="21"/>
                      <w:szCs w:val="24"/>
                    </w:rPr>
                    <w:t>。</w:t>
                  </w:r>
                </w:p>
              </w:tc>
              <w:tc>
                <w:tcPr>
                  <w:tcW w:w="342" w:type="pct"/>
                  <w:noWrap w:val="0"/>
                  <w:vAlign w:val="center"/>
                </w:tcPr>
                <w:p w14:paraId="381D7815">
                  <w:pPr>
                    <w:jc w:val="center"/>
                    <w:rPr>
                      <w:rFonts w:hint="default" w:eastAsia="宋体"/>
                      <w:color w:val="auto"/>
                      <w:szCs w:val="21"/>
                      <w:highlight w:val="none"/>
                      <w:lang w:val="en-US" w:eastAsia="zh-CN"/>
                    </w:rPr>
                  </w:pPr>
                  <w:r>
                    <w:rPr>
                      <w:rFonts w:hint="eastAsia"/>
                      <w:color w:val="auto"/>
                      <w:szCs w:val="21"/>
                      <w:highlight w:val="none"/>
                      <w:lang w:val="en-US" w:eastAsia="zh-CN"/>
                    </w:rPr>
                    <w:t>/</w:t>
                  </w:r>
                </w:p>
              </w:tc>
            </w:tr>
            <w:tr w14:paraId="2F3D61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79" w:hRule="atLeast"/>
                <w:jc w:val="center"/>
              </w:trPr>
              <w:tc>
                <w:tcPr>
                  <w:tcW w:w="465" w:type="pct"/>
                  <w:vMerge w:val="continue"/>
                  <w:noWrap w:val="0"/>
                  <w:vAlign w:val="center"/>
                </w:tcPr>
                <w:p w14:paraId="7F853973">
                  <w:pPr>
                    <w:jc w:val="center"/>
                    <w:rPr>
                      <w:color w:val="auto"/>
                      <w:szCs w:val="21"/>
                      <w:highlight w:val="none"/>
                    </w:rPr>
                  </w:pPr>
                </w:p>
              </w:tc>
              <w:tc>
                <w:tcPr>
                  <w:tcW w:w="675" w:type="pct"/>
                  <w:noWrap w:val="0"/>
                  <w:vAlign w:val="center"/>
                </w:tcPr>
                <w:p w14:paraId="21293EEF">
                  <w:pPr>
                    <w:jc w:val="center"/>
                    <w:rPr>
                      <w:rFonts w:hint="default"/>
                      <w:color w:val="auto"/>
                      <w:szCs w:val="21"/>
                      <w:highlight w:val="none"/>
                      <w:lang w:val="en-US" w:eastAsia="zh-CN"/>
                    </w:rPr>
                  </w:pPr>
                  <w:r>
                    <w:rPr>
                      <w:rFonts w:hint="eastAsia"/>
                      <w:color w:val="auto"/>
                      <w:szCs w:val="21"/>
                      <w:highlight w:val="none"/>
                      <w:lang w:val="en-US" w:eastAsia="zh-CN"/>
                    </w:rPr>
                    <w:t>环境风险</w:t>
                  </w:r>
                </w:p>
              </w:tc>
              <w:tc>
                <w:tcPr>
                  <w:tcW w:w="3516" w:type="pct"/>
                  <w:noWrap w:val="0"/>
                  <w:vAlign w:val="center"/>
                </w:tcPr>
                <w:p w14:paraId="41550EC8">
                  <w:pPr>
                    <w:spacing w:beforeLines="0" w:afterLines="0"/>
                    <w:jc w:val="left"/>
                    <w:rPr>
                      <w:rFonts w:hint="eastAsia" w:ascii="宋体" w:hAnsi="宋体" w:eastAsia="宋体"/>
                      <w:sz w:val="21"/>
                      <w:szCs w:val="24"/>
                      <w:lang w:eastAsia="zh-CN"/>
                    </w:rPr>
                  </w:pPr>
                  <w:r>
                    <w:rPr>
                      <w:rFonts w:hint="eastAsia" w:ascii="宋体" w:hAnsi="宋体" w:eastAsia="宋体"/>
                      <w:sz w:val="21"/>
                      <w:szCs w:val="24"/>
                    </w:rPr>
                    <w:t>配备灭火器等消防设施，制定环境风险事故应急预案</w:t>
                  </w:r>
                  <w:r>
                    <w:rPr>
                      <w:rFonts w:hint="eastAsia" w:ascii="宋体" w:hAnsi="宋体" w:eastAsia="宋体"/>
                      <w:sz w:val="21"/>
                      <w:szCs w:val="24"/>
                      <w:lang w:eastAsia="zh-CN"/>
                    </w:rPr>
                    <w:t>。</w:t>
                  </w:r>
                  <w:r>
                    <w:rPr>
                      <w:rFonts w:hint="eastAsia" w:ascii="宋体" w:hAnsi="宋体"/>
                      <w:sz w:val="21"/>
                      <w:szCs w:val="24"/>
                      <w:lang w:val="en-US" w:eastAsia="zh-CN"/>
                    </w:rPr>
                    <w:t>导热油下储罐作为备用储罐。</w:t>
                  </w:r>
                  <w:r>
                    <w:rPr>
                      <w:rFonts w:hint="eastAsia" w:ascii="宋体" w:hAnsi="宋体" w:eastAsia="宋体"/>
                      <w:sz w:val="21"/>
                      <w:szCs w:val="24"/>
                    </w:rPr>
                    <w:t>分区防渗，厂区分为重点防渗（</w:t>
                  </w:r>
                  <w:r>
                    <w:rPr>
                      <w:rFonts w:hint="eastAsia" w:ascii="宋体" w:hAnsi="宋体"/>
                      <w:sz w:val="21"/>
                      <w:szCs w:val="24"/>
                      <w:lang w:val="en-US" w:eastAsia="zh-CN"/>
                    </w:rPr>
                    <w:t>危险废物贮存库</w:t>
                  </w:r>
                  <w:r>
                    <w:rPr>
                      <w:rFonts w:hint="eastAsia" w:ascii="宋体" w:hAnsi="宋体" w:eastAsia="宋体"/>
                      <w:sz w:val="21"/>
                      <w:szCs w:val="24"/>
                      <w:highlight w:val="none"/>
                    </w:rPr>
                    <w:t>、</w:t>
                  </w:r>
                  <w:r>
                    <w:rPr>
                      <w:rFonts w:hint="eastAsia" w:ascii="宋体" w:hAnsi="宋体"/>
                      <w:sz w:val="21"/>
                      <w:szCs w:val="24"/>
                      <w:highlight w:val="none"/>
                      <w:lang w:val="en-US" w:eastAsia="zh-CN"/>
                    </w:rPr>
                    <w:t>导热油储罐区域</w:t>
                  </w:r>
                  <w:r>
                    <w:rPr>
                      <w:rFonts w:hint="eastAsia" w:ascii="宋体" w:hAnsi="宋体" w:eastAsia="宋体"/>
                      <w:sz w:val="21"/>
                      <w:szCs w:val="24"/>
                      <w:highlight w:val="none"/>
                    </w:rPr>
                    <w:t>）</w:t>
                  </w:r>
                  <w:r>
                    <w:rPr>
                      <w:rFonts w:hint="eastAsia" w:ascii="宋体" w:hAnsi="宋体" w:eastAsia="宋体"/>
                      <w:sz w:val="21"/>
                      <w:szCs w:val="24"/>
                    </w:rPr>
                    <w:t>、一般防渗（生产厂房）和简单防渗区（办公区、道路及其他区域）。</w:t>
                  </w:r>
                </w:p>
              </w:tc>
              <w:tc>
                <w:tcPr>
                  <w:tcW w:w="342" w:type="pct"/>
                  <w:noWrap w:val="0"/>
                  <w:vAlign w:val="center"/>
                </w:tcPr>
                <w:p w14:paraId="687E7F4E">
                  <w:pPr>
                    <w:jc w:val="center"/>
                    <w:rPr>
                      <w:rFonts w:hint="default"/>
                      <w:color w:val="auto"/>
                      <w:szCs w:val="21"/>
                      <w:highlight w:val="none"/>
                      <w:lang w:val="en-US" w:eastAsia="zh-CN"/>
                    </w:rPr>
                  </w:pPr>
                  <w:r>
                    <w:rPr>
                      <w:rFonts w:hint="eastAsia"/>
                      <w:color w:val="auto"/>
                      <w:szCs w:val="21"/>
                      <w:highlight w:val="none"/>
                      <w:lang w:val="en-US" w:eastAsia="zh-CN"/>
                    </w:rPr>
                    <w:t>已建</w:t>
                  </w:r>
                </w:p>
              </w:tc>
            </w:tr>
          </w:tbl>
          <w:p w14:paraId="773D1260">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4、</w:t>
            </w:r>
            <w:r>
              <w:rPr>
                <w:rFonts w:hint="eastAsia" w:cs="Times New Roman"/>
                <w:b/>
                <w:bCs/>
                <w:color w:val="auto"/>
                <w:sz w:val="24"/>
                <w:highlight w:val="none"/>
                <w:lang w:val="en-US" w:eastAsia="zh-CN"/>
              </w:rPr>
              <w:t>主要生产设备</w:t>
            </w:r>
          </w:p>
          <w:p w14:paraId="48E2AFAD">
            <w:pPr>
              <w:pStyle w:val="53"/>
              <w:keepNext w:val="0"/>
              <w:keepLines w:val="0"/>
              <w:pageBreakBefore w:val="0"/>
              <w:widowControl w:val="0"/>
              <w:kinsoku/>
              <w:wordWrap/>
              <w:overflowPunct/>
              <w:topLinePunct w:val="0"/>
              <w:autoSpaceDE w:val="0"/>
              <w:autoSpaceDN w:val="0"/>
              <w:bidi w:val="0"/>
              <w:adjustRightInd/>
              <w:snapToGrid/>
              <w:spacing w:line="480" w:lineRule="exact"/>
              <w:ind w:left="0" w:leftChars="0" w:firstLine="480" w:firstLineChars="200"/>
              <w:jc w:val="both"/>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ascii="Times New Roman" w:hAnsi="Times New Roman" w:cs="Times New Roman"/>
                <w:color w:val="auto"/>
                <w:highlight w:val="none"/>
                <w:lang w:val="en-US" w:eastAsia="zh-CN"/>
              </w:rPr>
              <w:t>主要生产</w:t>
            </w:r>
            <w:r>
              <w:rPr>
                <w:rFonts w:hint="default" w:ascii="Times New Roman" w:hAnsi="Times New Roman" w:eastAsia="宋体" w:cs="Times New Roman"/>
                <w:color w:val="auto"/>
                <w:highlight w:val="none"/>
              </w:rPr>
              <w:t>设备见表</w:t>
            </w:r>
            <w:r>
              <w:rPr>
                <w:rFonts w:hint="eastAsia" w:ascii="Times New Roman" w:hAnsi="Times New Roman" w:cs="Times New Roman"/>
                <w:color w:val="auto"/>
                <w:highlight w:val="none"/>
                <w:lang w:val="en-US" w:eastAsia="zh-CN"/>
              </w:rPr>
              <w:t>2-2</w:t>
            </w:r>
            <w:r>
              <w:rPr>
                <w:rFonts w:hint="default" w:ascii="Times New Roman" w:hAnsi="Times New Roman" w:eastAsia="宋体" w:cs="Times New Roman"/>
                <w:color w:val="auto"/>
                <w:highlight w:val="none"/>
              </w:rPr>
              <w:t>。</w:t>
            </w:r>
          </w:p>
          <w:p w14:paraId="1019EDBE">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表</w:t>
            </w:r>
            <w:r>
              <w:rPr>
                <w:rFonts w:hint="eastAsia" w:ascii="Times New Roman" w:hAnsi="Times New Roman" w:eastAsia="宋体" w:cs="Times New Roman"/>
                <w:b/>
                <w:bCs/>
                <w:color w:val="auto"/>
                <w:sz w:val="24"/>
                <w:szCs w:val="24"/>
                <w:highlight w:val="none"/>
                <w:lang w:val="en-US" w:eastAsia="zh-CN"/>
              </w:rPr>
              <w:t>2-2</w:t>
            </w:r>
            <w:r>
              <w:rPr>
                <w:rFonts w:hint="default" w:ascii="Times New Roman" w:hAnsi="Times New Roman" w:eastAsia="宋体" w:cs="Times New Roman"/>
                <w:b/>
                <w:bCs/>
                <w:color w:val="auto"/>
                <w:sz w:val="24"/>
                <w:szCs w:val="24"/>
                <w:highlight w:val="none"/>
              </w:rPr>
              <w:t xml:space="preserve">  本项目设备</w:t>
            </w:r>
            <w:r>
              <w:rPr>
                <w:rFonts w:hint="eastAsia" w:cs="Times New Roman"/>
                <w:b/>
                <w:bCs/>
                <w:color w:val="auto"/>
                <w:sz w:val="24"/>
                <w:szCs w:val="24"/>
                <w:highlight w:val="none"/>
                <w:lang w:val="en-US" w:eastAsia="zh-CN"/>
              </w:rPr>
              <w:t>一览表</w:t>
            </w:r>
          </w:p>
          <w:tbl>
            <w:tblPr>
              <w:tblStyle w:val="31"/>
              <w:tblW w:w="4995"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5"/>
              <w:gridCol w:w="3062"/>
              <w:gridCol w:w="1680"/>
              <w:gridCol w:w="1200"/>
              <w:gridCol w:w="1309"/>
            </w:tblGrid>
            <w:tr w14:paraId="3252A4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81" w:type="pct"/>
                  <w:noWrap w:val="0"/>
                  <w:vAlign w:val="center"/>
                </w:tcPr>
                <w:p w14:paraId="220A77DA">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序号</w:t>
                  </w:r>
                </w:p>
              </w:tc>
              <w:tc>
                <w:tcPr>
                  <w:tcW w:w="1865" w:type="pct"/>
                  <w:noWrap w:val="0"/>
                  <w:vAlign w:val="center"/>
                </w:tcPr>
                <w:p w14:paraId="5BC6793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设备名称</w:t>
                  </w:r>
                </w:p>
              </w:tc>
              <w:tc>
                <w:tcPr>
                  <w:tcW w:w="1023" w:type="pct"/>
                  <w:noWrap w:val="0"/>
                  <w:vAlign w:val="center"/>
                </w:tcPr>
                <w:p w14:paraId="2B63B688">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规格及型号</w:t>
                  </w:r>
                </w:p>
              </w:tc>
              <w:tc>
                <w:tcPr>
                  <w:tcW w:w="731" w:type="pct"/>
                  <w:noWrap w:val="0"/>
                  <w:vAlign w:val="center"/>
                </w:tcPr>
                <w:p w14:paraId="7850AA1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单位</w:t>
                  </w:r>
                </w:p>
              </w:tc>
              <w:tc>
                <w:tcPr>
                  <w:tcW w:w="797" w:type="pct"/>
                  <w:noWrap w:val="0"/>
                  <w:vAlign w:val="center"/>
                </w:tcPr>
                <w:p w14:paraId="7359677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数量</w:t>
                  </w:r>
                </w:p>
              </w:tc>
            </w:tr>
            <w:tr w14:paraId="13F9CA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81" w:type="pct"/>
                  <w:noWrap w:val="0"/>
                  <w:vAlign w:val="center"/>
                </w:tcPr>
                <w:p w14:paraId="2BEC968E">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1</w:t>
                  </w:r>
                </w:p>
              </w:tc>
              <w:tc>
                <w:tcPr>
                  <w:tcW w:w="1865" w:type="pct"/>
                  <w:noWrap w:val="0"/>
                  <w:vAlign w:val="center"/>
                </w:tcPr>
                <w:p w14:paraId="0DA97FD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val="en-US" w:eastAsia="zh-CN"/>
                    </w:rPr>
                    <w:t>截锯</w:t>
                  </w:r>
                </w:p>
              </w:tc>
              <w:tc>
                <w:tcPr>
                  <w:tcW w:w="1023" w:type="pct"/>
                  <w:noWrap w:val="0"/>
                  <w:vAlign w:val="center"/>
                </w:tcPr>
                <w:p w14:paraId="1EBA29C6">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lang w:val="en-US" w:eastAsia="zh-CN"/>
                    </w:rPr>
                    <w:t>/</w:t>
                  </w:r>
                </w:p>
              </w:tc>
              <w:tc>
                <w:tcPr>
                  <w:tcW w:w="731" w:type="pct"/>
                  <w:noWrap w:val="0"/>
                  <w:vAlign w:val="center"/>
                </w:tcPr>
                <w:p w14:paraId="118FC58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台</w:t>
                  </w:r>
                </w:p>
              </w:tc>
              <w:tc>
                <w:tcPr>
                  <w:tcW w:w="797" w:type="pct"/>
                  <w:noWrap w:val="0"/>
                  <w:vAlign w:val="center"/>
                </w:tcPr>
                <w:p w14:paraId="4B92F4AB">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val="en-US" w:eastAsia="zh-CN"/>
                    </w:rPr>
                    <w:t>2</w:t>
                  </w:r>
                </w:p>
              </w:tc>
            </w:tr>
            <w:tr w14:paraId="2CA7BB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81" w:type="pct"/>
                  <w:noWrap w:val="0"/>
                  <w:vAlign w:val="center"/>
                </w:tcPr>
                <w:p w14:paraId="4A15E601">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2</w:t>
                  </w:r>
                </w:p>
              </w:tc>
              <w:tc>
                <w:tcPr>
                  <w:tcW w:w="1865" w:type="pct"/>
                  <w:noWrap w:val="0"/>
                  <w:vAlign w:val="center"/>
                </w:tcPr>
                <w:p w14:paraId="2F4E347D">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eastAsia="zh-CN"/>
                    </w:rPr>
                    <w:t>烘干设备</w:t>
                  </w:r>
                </w:p>
              </w:tc>
              <w:tc>
                <w:tcPr>
                  <w:tcW w:w="1023" w:type="pct"/>
                  <w:noWrap w:val="0"/>
                  <w:vAlign w:val="center"/>
                </w:tcPr>
                <w:p w14:paraId="3CE798B1">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731" w:type="pct"/>
                  <w:noWrap w:val="0"/>
                  <w:vAlign w:val="center"/>
                </w:tcPr>
                <w:p w14:paraId="30B2E299">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rPr>
                    <w:t>台</w:t>
                  </w:r>
                </w:p>
              </w:tc>
              <w:tc>
                <w:tcPr>
                  <w:tcW w:w="797" w:type="pct"/>
                  <w:noWrap w:val="0"/>
                  <w:vAlign w:val="center"/>
                </w:tcPr>
                <w:p w14:paraId="7EF62B1D">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2</w:t>
                  </w:r>
                </w:p>
              </w:tc>
            </w:tr>
            <w:tr w14:paraId="40A68C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81" w:type="pct"/>
                  <w:noWrap w:val="0"/>
                  <w:vAlign w:val="center"/>
                </w:tcPr>
                <w:p w14:paraId="18C4B2E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eastAsia="zh-CN"/>
                    </w:rPr>
                    <w:t>3</w:t>
                  </w:r>
                </w:p>
              </w:tc>
              <w:tc>
                <w:tcPr>
                  <w:tcW w:w="1865" w:type="pct"/>
                  <w:noWrap w:val="0"/>
                  <w:vAlign w:val="center"/>
                </w:tcPr>
                <w:p w14:paraId="355F90A0">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燃生物质导热油锅炉</w:t>
                  </w:r>
                </w:p>
              </w:tc>
              <w:tc>
                <w:tcPr>
                  <w:tcW w:w="1023" w:type="pct"/>
                  <w:noWrap w:val="0"/>
                  <w:vAlign w:val="center"/>
                </w:tcPr>
                <w:p w14:paraId="1918709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1.75MW</w:t>
                  </w:r>
                </w:p>
              </w:tc>
              <w:tc>
                <w:tcPr>
                  <w:tcW w:w="731" w:type="pct"/>
                  <w:noWrap w:val="0"/>
                  <w:vAlign w:val="center"/>
                </w:tcPr>
                <w:p w14:paraId="591FECD7">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eastAsia="zh-CN"/>
                    </w:rPr>
                    <w:t>台</w:t>
                  </w:r>
                </w:p>
              </w:tc>
              <w:tc>
                <w:tcPr>
                  <w:tcW w:w="797" w:type="pct"/>
                  <w:noWrap w:val="0"/>
                  <w:vAlign w:val="center"/>
                </w:tcPr>
                <w:p w14:paraId="7258939E">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w:t>
                  </w:r>
                </w:p>
              </w:tc>
            </w:tr>
            <w:tr w14:paraId="62C1E7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81" w:type="pct"/>
                  <w:noWrap w:val="0"/>
                  <w:vAlign w:val="center"/>
                </w:tcPr>
                <w:p w14:paraId="2EDF9BB0">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4</w:t>
                  </w:r>
                </w:p>
              </w:tc>
              <w:tc>
                <w:tcPr>
                  <w:tcW w:w="1865" w:type="pct"/>
                  <w:noWrap w:val="0"/>
                  <w:vAlign w:val="center"/>
                </w:tcPr>
                <w:p w14:paraId="60F6EA7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val="en-US" w:eastAsia="zh-CN"/>
                    </w:rPr>
                    <w:t>拼板机</w:t>
                  </w:r>
                </w:p>
              </w:tc>
              <w:tc>
                <w:tcPr>
                  <w:tcW w:w="1023" w:type="pct"/>
                  <w:noWrap w:val="0"/>
                  <w:vAlign w:val="center"/>
                </w:tcPr>
                <w:p w14:paraId="344FBA17">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731" w:type="pct"/>
                  <w:noWrap w:val="0"/>
                  <w:vAlign w:val="center"/>
                </w:tcPr>
                <w:p w14:paraId="2763734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rPr>
                    <w:t>台</w:t>
                  </w:r>
                </w:p>
              </w:tc>
              <w:tc>
                <w:tcPr>
                  <w:tcW w:w="797" w:type="pct"/>
                  <w:noWrap w:val="0"/>
                  <w:vAlign w:val="center"/>
                </w:tcPr>
                <w:p w14:paraId="6F7E4DD4">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w:t>
                  </w:r>
                </w:p>
              </w:tc>
            </w:tr>
            <w:tr w14:paraId="27D685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81" w:type="pct"/>
                  <w:noWrap w:val="0"/>
                  <w:vAlign w:val="center"/>
                </w:tcPr>
                <w:p w14:paraId="42BCB03D">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5</w:t>
                  </w:r>
                </w:p>
              </w:tc>
              <w:tc>
                <w:tcPr>
                  <w:tcW w:w="1865" w:type="pct"/>
                  <w:noWrap w:val="0"/>
                  <w:vAlign w:val="center"/>
                </w:tcPr>
                <w:p w14:paraId="7DF618AA">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eastAsia="zh-CN"/>
                    </w:rPr>
                    <w:t>涂胶机</w:t>
                  </w:r>
                </w:p>
              </w:tc>
              <w:tc>
                <w:tcPr>
                  <w:tcW w:w="1023" w:type="pct"/>
                  <w:noWrap w:val="0"/>
                  <w:vAlign w:val="center"/>
                </w:tcPr>
                <w:p w14:paraId="7AB7BD96">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731" w:type="pct"/>
                  <w:noWrap w:val="0"/>
                  <w:vAlign w:val="center"/>
                </w:tcPr>
                <w:p w14:paraId="2CC0E05F">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rPr>
                    <w:t>台</w:t>
                  </w:r>
                </w:p>
              </w:tc>
              <w:tc>
                <w:tcPr>
                  <w:tcW w:w="797" w:type="pct"/>
                  <w:noWrap w:val="0"/>
                  <w:vAlign w:val="center"/>
                </w:tcPr>
                <w:p w14:paraId="07B40F83">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w:t>
                  </w:r>
                </w:p>
              </w:tc>
            </w:tr>
            <w:tr w14:paraId="1F3FE2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81" w:type="pct"/>
                  <w:noWrap w:val="0"/>
                  <w:vAlign w:val="center"/>
                </w:tcPr>
                <w:p w14:paraId="77AF8849">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6</w:t>
                  </w:r>
                </w:p>
              </w:tc>
              <w:tc>
                <w:tcPr>
                  <w:tcW w:w="1865" w:type="pct"/>
                  <w:noWrap w:val="0"/>
                  <w:vAlign w:val="center"/>
                </w:tcPr>
                <w:p w14:paraId="6E93C514">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val="en-US" w:eastAsia="zh-CN"/>
                    </w:rPr>
                    <w:t>多边锯</w:t>
                  </w:r>
                </w:p>
              </w:tc>
              <w:tc>
                <w:tcPr>
                  <w:tcW w:w="1023" w:type="pct"/>
                  <w:noWrap w:val="0"/>
                  <w:vAlign w:val="center"/>
                </w:tcPr>
                <w:p w14:paraId="5401962A">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731" w:type="pct"/>
                  <w:noWrap w:val="0"/>
                  <w:vAlign w:val="center"/>
                </w:tcPr>
                <w:p w14:paraId="7D88CA2B">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rPr>
                    <w:t>台</w:t>
                  </w:r>
                </w:p>
              </w:tc>
              <w:tc>
                <w:tcPr>
                  <w:tcW w:w="797" w:type="pct"/>
                  <w:noWrap w:val="0"/>
                  <w:vAlign w:val="center"/>
                </w:tcPr>
                <w:p w14:paraId="176F725F">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w:t>
                  </w:r>
                </w:p>
              </w:tc>
            </w:tr>
            <w:tr w14:paraId="37A2B1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81" w:type="pct"/>
                  <w:noWrap w:val="0"/>
                  <w:vAlign w:val="center"/>
                </w:tcPr>
                <w:p w14:paraId="7B36571B">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7</w:t>
                  </w:r>
                </w:p>
              </w:tc>
              <w:tc>
                <w:tcPr>
                  <w:tcW w:w="1865" w:type="pct"/>
                  <w:noWrap w:val="0"/>
                  <w:vAlign w:val="center"/>
                </w:tcPr>
                <w:p w14:paraId="26469847">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val="en-US" w:eastAsia="zh-CN"/>
                    </w:rPr>
                    <w:t>齐边锯</w:t>
                  </w:r>
                </w:p>
              </w:tc>
              <w:tc>
                <w:tcPr>
                  <w:tcW w:w="1023" w:type="pct"/>
                  <w:noWrap w:val="0"/>
                  <w:vAlign w:val="center"/>
                </w:tcPr>
                <w:p w14:paraId="0001C281">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731" w:type="pct"/>
                  <w:noWrap w:val="0"/>
                  <w:vAlign w:val="center"/>
                </w:tcPr>
                <w:p w14:paraId="50E07280">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eastAsia="zh-CN"/>
                    </w:rPr>
                    <w:t>台</w:t>
                  </w:r>
                </w:p>
              </w:tc>
              <w:tc>
                <w:tcPr>
                  <w:tcW w:w="797" w:type="pct"/>
                  <w:noWrap w:val="0"/>
                  <w:vAlign w:val="center"/>
                </w:tcPr>
                <w:p w14:paraId="6EBE3FD8">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w:t>
                  </w:r>
                </w:p>
              </w:tc>
            </w:tr>
            <w:tr w14:paraId="522576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81" w:type="pct"/>
                  <w:noWrap w:val="0"/>
                  <w:vAlign w:val="center"/>
                </w:tcPr>
                <w:p w14:paraId="19A449C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8</w:t>
                  </w:r>
                </w:p>
              </w:tc>
              <w:tc>
                <w:tcPr>
                  <w:tcW w:w="1865" w:type="pct"/>
                  <w:noWrap w:val="0"/>
                  <w:vAlign w:val="center"/>
                </w:tcPr>
                <w:p w14:paraId="065B4A5E">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热压机</w:t>
                  </w:r>
                </w:p>
              </w:tc>
              <w:tc>
                <w:tcPr>
                  <w:tcW w:w="1023" w:type="pct"/>
                  <w:noWrap w:val="0"/>
                  <w:vAlign w:val="center"/>
                </w:tcPr>
                <w:p w14:paraId="623937A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731" w:type="pct"/>
                  <w:noWrap w:val="0"/>
                  <w:vAlign w:val="center"/>
                </w:tcPr>
                <w:p w14:paraId="65BF293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台</w:t>
                  </w:r>
                </w:p>
              </w:tc>
              <w:tc>
                <w:tcPr>
                  <w:tcW w:w="797" w:type="pct"/>
                  <w:noWrap w:val="0"/>
                  <w:vAlign w:val="center"/>
                </w:tcPr>
                <w:p w14:paraId="13CF350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w:t>
                  </w:r>
                </w:p>
              </w:tc>
            </w:tr>
          </w:tbl>
          <w:p w14:paraId="29C96185">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5、</w:t>
            </w:r>
            <w:r>
              <w:rPr>
                <w:rFonts w:hint="eastAsia" w:cs="Times New Roman"/>
                <w:b/>
                <w:bCs/>
                <w:color w:val="auto"/>
                <w:sz w:val="24"/>
                <w:highlight w:val="none"/>
                <w:lang w:val="en-US" w:eastAsia="zh-CN"/>
              </w:rPr>
              <w:t>项目产品方案</w:t>
            </w:r>
          </w:p>
          <w:p w14:paraId="4D70C4A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w:t>
            </w:r>
            <w:r>
              <w:rPr>
                <w:rFonts w:hint="eastAsia" w:cs="Times New Roman"/>
                <w:color w:val="auto"/>
                <w:sz w:val="24"/>
                <w:highlight w:val="none"/>
                <w:lang w:val="en-US" w:eastAsia="zh-CN"/>
              </w:rPr>
              <w:t>为人造板项目</w:t>
            </w:r>
            <w:r>
              <w:rPr>
                <w:rFonts w:hint="eastAsia" w:ascii="Times New Roman" w:hAnsi="Times New Roman" w:eastAsia="宋体" w:cs="Times New Roman"/>
                <w:color w:val="auto"/>
                <w:sz w:val="24"/>
                <w:highlight w:val="none"/>
                <w:lang w:val="en-US" w:eastAsia="zh-CN"/>
              </w:rPr>
              <w:t>，产品方案详见表</w:t>
            </w:r>
            <w:r>
              <w:rPr>
                <w:rFonts w:hint="eastAsia"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3。</w:t>
            </w:r>
          </w:p>
          <w:p w14:paraId="0001B5B8">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表</w:t>
            </w:r>
            <w:r>
              <w:rPr>
                <w:rFonts w:hint="eastAsia" w:ascii="Times New Roman" w:hAnsi="Times New Roman" w:eastAsia="宋体"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本项目</w:t>
            </w:r>
            <w:r>
              <w:rPr>
                <w:rFonts w:hint="eastAsia" w:cs="Times New Roman"/>
                <w:b/>
                <w:bCs/>
                <w:color w:val="auto"/>
                <w:sz w:val="24"/>
                <w:szCs w:val="24"/>
                <w:highlight w:val="none"/>
                <w:lang w:val="en-US" w:eastAsia="zh-CN"/>
              </w:rPr>
              <w:t>产品一览表</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7"/>
              <w:gridCol w:w="1854"/>
              <w:gridCol w:w="2016"/>
              <w:gridCol w:w="822"/>
              <w:gridCol w:w="2381"/>
            </w:tblGrid>
            <w:tr w14:paraId="34803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2" w:type="pct"/>
                  <w:tcBorders>
                    <w:tl2br w:val="nil"/>
                    <w:tr2bl w:val="nil"/>
                  </w:tcBorders>
                  <w:noWrap w:val="0"/>
                  <w:vAlign w:val="center"/>
                </w:tcPr>
                <w:p w14:paraId="233E0A38">
                  <w:pPr>
                    <w:pStyle w:val="124"/>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val="en-US" w:eastAsia="zh-CN"/>
                    </w:rPr>
                    <w:t>序号</w:t>
                  </w:r>
                </w:p>
              </w:tc>
              <w:tc>
                <w:tcPr>
                  <w:tcW w:w="1129" w:type="pct"/>
                  <w:tcBorders>
                    <w:tl2br w:val="nil"/>
                    <w:tr2bl w:val="nil"/>
                  </w:tcBorders>
                  <w:noWrap w:val="0"/>
                  <w:vAlign w:val="center"/>
                </w:tcPr>
                <w:p w14:paraId="5979534E">
                  <w:pPr>
                    <w:pStyle w:val="124"/>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val="en-US" w:eastAsia="zh-CN"/>
                    </w:rPr>
                    <w:t>产品名称</w:t>
                  </w:r>
                </w:p>
              </w:tc>
              <w:tc>
                <w:tcPr>
                  <w:tcW w:w="1227" w:type="pct"/>
                  <w:tcBorders>
                    <w:tl2br w:val="nil"/>
                    <w:tr2bl w:val="nil"/>
                  </w:tcBorders>
                  <w:noWrap w:val="0"/>
                  <w:vAlign w:val="center"/>
                </w:tcPr>
                <w:p w14:paraId="7BE0D206">
                  <w:pPr>
                    <w:pStyle w:val="124"/>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olor w:val="auto"/>
                      <w:sz w:val="21"/>
                      <w:szCs w:val="24"/>
                    </w:rPr>
                    <w:t>生产规模</w:t>
                  </w:r>
                </w:p>
              </w:tc>
              <w:tc>
                <w:tcPr>
                  <w:tcW w:w="500" w:type="pct"/>
                  <w:tcBorders>
                    <w:tl2br w:val="nil"/>
                    <w:tr2bl w:val="nil"/>
                  </w:tcBorders>
                  <w:noWrap w:val="0"/>
                  <w:vAlign w:val="center"/>
                </w:tcPr>
                <w:p w14:paraId="67220E64">
                  <w:pPr>
                    <w:pStyle w:val="124"/>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val="en-US" w:eastAsia="zh-CN"/>
                    </w:rPr>
                    <w:t>单位</w:t>
                  </w:r>
                </w:p>
              </w:tc>
              <w:tc>
                <w:tcPr>
                  <w:tcW w:w="1449" w:type="pct"/>
                  <w:tcBorders>
                    <w:tl2br w:val="nil"/>
                    <w:tr2bl w:val="nil"/>
                  </w:tcBorders>
                  <w:noWrap w:val="0"/>
                  <w:vAlign w:val="center"/>
                </w:tcPr>
                <w:p w14:paraId="2C0C05FE">
                  <w:pPr>
                    <w:pStyle w:val="124"/>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olor w:val="auto"/>
                      <w:sz w:val="21"/>
                      <w:szCs w:val="24"/>
                    </w:rPr>
                    <w:t>备注</w:t>
                  </w:r>
                </w:p>
              </w:tc>
            </w:tr>
            <w:tr w14:paraId="7B1C8E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2" w:type="pct"/>
                  <w:tcBorders>
                    <w:tl2br w:val="nil"/>
                    <w:tr2bl w:val="nil"/>
                  </w:tcBorders>
                  <w:noWrap w:val="0"/>
                  <w:vAlign w:val="center"/>
                </w:tcPr>
                <w:p w14:paraId="70D7A13E">
                  <w:pPr>
                    <w:pStyle w:val="124"/>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color w:val="auto"/>
                      <w:sz w:val="21"/>
                      <w:szCs w:val="21"/>
                      <w:highlight w:val="none"/>
                    </w:rPr>
                  </w:pPr>
                  <w:r>
                    <w:rPr>
                      <w:rFonts w:hint="eastAsia" w:eastAsia="宋体" w:cs="Times New Roman"/>
                      <w:color w:val="auto"/>
                      <w:sz w:val="21"/>
                      <w:szCs w:val="21"/>
                      <w:highlight w:val="none"/>
                      <w:lang w:val="en-US" w:eastAsia="zh-CN"/>
                    </w:rPr>
                    <w:t>1</w:t>
                  </w:r>
                </w:p>
              </w:tc>
              <w:tc>
                <w:tcPr>
                  <w:tcW w:w="1129" w:type="pct"/>
                  <w:tcBorders>
                    <w:tl2br w:val="nil"/>
                    <w:tr2bl w:val="nil"/>
                  </w:tcBorders>
                  <w:noWrap w:val="0"/>
                  <w:vAlign w:val="center"/>
                </w:tcPr>
                <w:p w14:paraId="54EFD11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 w:val="21"/>
                      <w:szCs w:val="24"/>
                      <w:lang w:val="en-US" w:eastAsia="zh-CN"/>
                    </w:rPr>
                    <w:t>生态板芯</w:t>
                  </w:r>
                </w:p>
              </w:tc>
              <w:tc>
                <w:tcPr>
                  <w:tcW w:w="1227" w:type="pct"/>
                  <w:tcBorders>
                    <w:tl2br w:val="nil"/>
                    <w:tr2bl w:val="nil"/>
                  </w:tcBorders>
                  <w:noWrap w:val="0"/>
                  <w:vAlign w:val="center"/>
                </w:tcPr>
                <w:p w14:paraId="67AF342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11000</w:t>
                  </w:r>
                </w:p>
              </w:tc>
              <w:tc>
                <w:tcPr>
                  <w:tcW w:w="500" w:type="pct"/>
                  <w:tcBorders>
                    <w:tl2br w:val="nil"/>
                    <w:tr2bl w:val="nil"/>
                  </w:tcBorders>
                  <w:noWrap w:val="0"/>
                  <w:vAlign w:val="center"/>
                </w:tcPr>
                <w:p w14:paraId="29634D5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3</w:t>
                  </w:r>
                  <w:r>
                    <w:rPr>
                      <w:rFonts w:hint="eastAsia" w:cs="Times New Roman"/>
                      <w:color w:val="auto"/>
                      <w:kern w:val="0"/>
                      <w:sz w:val="21"/>
                      <w:szCs w:val="21"/>
                      <w:highlight w:val="none"/>
                      <w:lang w:val="en-US" w:eastAsia="zh-CN" w:bidi="ar-SA"/>
                    </w:rPr>
                    <w:t>/a</w:t>
                  </w:r>
                </w:p>
              </w:tc>
              <w:tc>
                <w:tcPr>
                  <w:tcW w:w="1449" w:type="pct"/>
                  <w:tcBorders>
                    <w:tl2br w:val="nil"/>
                    <w:tr2bl w:val="nil"/>
                  </w:tcBorders>
                  <w:noWrap w:val="0"/>
                  <w:vAlign w:val="center"/>
                </w:tcPr>
                <w:p w14:paraId="10953ACB">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352C8855">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eastAsia"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6</w:t>
            </w:r>
            <w:r>
              <w:rPr>
                <w:rFonts w:hint="eastAsia" w:ascii="Times New Roman" w:hAnsi="Times New Roman" w:eastAsia="宋体" w:cs="Times New Roman"/>
                <w:b/>
                <w:bCs/>
                <w:color w:val="auto"/>
                <w:sz w:val="24"/>
                <w:highlight w:val="none"/>
                <w:lang w:val="en-US" w:eastAsia="zh-CN"/>
              </w:rPr>
              <w:t>.主要原/辅料及能源消耗</w:t>
            </w:r>
          </w:p>
          <w:p w14:paraId="185D618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本项目主要原辅材料见表</w:t>
            </w:r>
            <w:r>
              <w:rPr>
                <w:rFonts w:hint="eastAsia"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4。</w:t>
            </w:r>
          </w:p>
          <w:p w14:paraId="3A4E4A9F">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表</w:t>
            </w:r>
            <w:r>
              <w:rPr>
                <w:rFonts w:hint="eastAsia" w:ascii="Times New Roman" w:hAnsi="Times New Roman" w:eastAsia="宋体"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val="en-US" w:eastAsia="zh-CN"/>
              </w:rPr>
              <w:t>本期运营期主要能源消耗估算</w:t>
            </w:r>
          </w:p>
          <w:tbl>
            <w:tblPr>
              <w:tblStyle w:val="3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403"/>
              <w:gridCol w:w="1283"/>
              <w:gridCol w:w="4805"/>
            </w:tblGrid>
            <w:tr w14:paraId="0D8EBD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647" w:type="dxa"/>
                  <w:tcBorders>
                    <w:tl2br w:val="nil"/>
                    <w:tr2bl w:val="nil"/>
                  </w:tcBorders>
                  <w:noWrap w:val="0"/>
                  <w:vAlign w:val="center"/>
                </w:tcPr>
                <w:p w14:paraId="6F1240FE">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序号</w:t>
                  </w:r>
                </w:p>
              </w:tc>
              <w:tc>
                <w:tcPr>
                  <w:tcW w:w="1403" w:type="dxa"/>
                  <w:tcBorders>
                    <w:tl2br w:val="nil"/>
                    <w:tr2bl w:val="nil"/>
                  </w:tcBorders>
                  <w:noWrap w:val="0"/>
                  <w:vAlign w:val="center"/>
                </w:tcPr>
                <w:p w14:paraId="51DE3011">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名称</w:t>
                  </w:r>
                </w:p>
              </w:tc>
              <w:tc>
                <w:tcPr>
                  <w:tcW w:w="1283" w:type="dxa"/>
                  <w:tcBorders>
                    <w:tl2br w:val="nil"/>
                    <w:tr2bl w:val="nil"/>
                  </w:tcBorders>
                  <w:noWrap w:val="0"/>
                  <w:vAlign w:val="center"/>
                </w:tcPr>
                <w:p w14:paraId="76DFB138">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耗用量</w:t>
                  </w:r>
                </w:p>
              </w:tc>
              <w:tc>
                <w:tcPr>
                  <w:tcW w:w="4805" w:type="dxa"/>
                  <w:tcBorders>
                    <w:tl2br w:val="nil"/>
                    <w:tr2bl w:val="nil"/>
                  </w:tcBorders>
                  <w:noWrap w:val="0"/>
                  <w:vAlign w:val="center"/>
                </w:tcPr>
                <w:p w14:paraId="562126C4">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备注(来源及储存方式)</w:t>
                  </w:r>
                </w:p>
              </w:tc>
            </w:tr>
            <w:tr w14:paraId="1745F2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647" w:type="dxa"/>
                  <w:tcBorders>
                    <w:tl2br w:val="nil"/>
                    <w:tr2bl w:val="nil"/>
                  </w:tcBorders>
                  <w:noWrap w:val="0"/>
                  <w:vAlign w:val="center"/>
                </w:tcPr>
                <w:p w14:paraId="24B4150F">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w:t>
                  </w:r>
                </w:p>
              </w:tc>
              <w:tc>
                <w:tcPr>
                  <w:tcW w:w="1403" w:type="dxa"/>
                  <w:tcBorders>
                    <w:tl2br w:val="nil"/>
                    <w:tr2bl w:val="nil"/>
                  </w:tcBorders>
                  <w:noWrap w:val="0"/>
                  <w:vAlign w:val="center"/>
                </w:tcPr>
                <w:p w14:paraId="33222A12">
                  <w:pPr>
                    <w:spacing w:line="240" w:lineRule="auto"/>
                    <w:jc w:val="center"/>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val="en-US" w:eastAsia="zh-CN"/>
                    </w:rPr>
                    <w:t>杨木</w:t>
                  </w:r>
                </w:p>
              </w:tc>
              <w:tc>
                <w:tcPr>
                  <w:tcW w:w="1283" w:type="dxa"/>
                  <w:tcBorders>
                    <w:tl2br w:val="nil"/>
                    <w:tr2bl w:val="nil"/>
                  </w:tcBorders>
                  <w:noWrap w:val="0"/>
                  <w:vAlign w:val="center"/>
                </w:tcPr>
                <w:p w14:paraId="3AD5935B">
                  <w:pPr>
                    <w:spacing w:line="240" w:lineRule="auto"/>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12</w:t>
                  </w:r>
                  <w:r>
                    <w:rPr>
                      <w:rFonts w:hint="default" w:ascii="Times New Roman" w:hAnsi="Times New Roman" w:cs="Times New Roman"/>
                      <w:color w:val="auto"/>
                      <w:sz w:val="21"/>
                      <w:szCs w:val="21"/>
                      <w:highlight w:val="none"/>
                      <w:u w:val="none" w:color="auto"/>
                    </w:rPr>
                    <w:t>000m</w:t>
                  </w:r>
                  <w:r>
                    <w:rPr>
                      <w:rFonts w:hint="default" w:ascii="Times New Roman" w:hAnsi="Times New Roman" w:cs="Times New Roman"/>
                      <w:color w:val="auto"/>
                      <w:sz w:val="21"/>
                      <w:szCs w:val="21"/>
                      <w:highlight w:val="none"/>
                      <w:u w:val="none" w:color="auto"/>
                      <w:vertAlign w:val="superscript"/>
                    </w:rPr>
                    <w:t>3</w:t>
                  </w:r>
                  <w:r>
                    <w:rPr>
                      <w:rFonts w:hint="default" w:ascii="Times New Roman" w:hAnsi="Times New Roman" w:cs="Times New Roman"/>
                      <w:color w:val="auto"/>
                      <w:sz w:val="21"/>
                      <w:szCs w:val="21"/>
                      <w:highlight w:val="none"/>
                      <w:u w:val="none" w:color="auto"/>
                    </w:rPr>
                    <w:t>/a</w:t>
                  </w:r>
                </w:p>
              </w:tc>
              <w:tc>
                <w:tcPr>
                  <w:tcW w:w="4805" w:type="dxa"/>
                  <w:tcBorders>
                    <w:tl2br w:val="nil"/>
                    <w:tr2bl w:val="nil"/>
                  </w:tcBorders>
                  <w:noWrap w:val="0"/>
                  <w:vAlign w:val="center"/>
                </w:tcPr>
                <w:p w14:paraId="419D7F08">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外购，固态，储存于原料</w:t>
                  </w:r>
                  <w:r>
                    <w:rPr>
                      <w:rFonts w:hint="eastAsia" w:cs="Times New Roman"/>
                      <w:color w:val="auto"/>
                      <w:sz w:val="21"/>
                      <w:szCs w:val="21"/>
                      <w:highlight w:val="none"/>
                      <w:u w:val="none" w:color="auto"/>
                      <w:lang w:val="en-US" w:eastAsia="zh-CN"/>
                    </w:rPr>
                    <w:t>棚</w:t>
                  </w:r>
                </w:p>
              </w:tc>
            </w:tr>
            <w:tr w14:paraId="6E3DD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7" w:hRule="atLeast"/>
                <w:jc w:val="center"/>
              </w:trPr>
              <w:tc>
                <w:tcPr>
                  <w:tcW w:w="647" w:type="dxa"/>
                  <w:tcBorders>
                    <w:tl2br w:val="nil"/>
                    <w:tr2bl w:val="nil"/>
                  </w:tcBorders>
                  <w:noWrap w:val="0"/>
                  <w:vAlign w:val="center"/>
                </w:tcPr>
                <w:p w14:paraId="38C946A2">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w:t>
                  </w:r>
                </w:p>
              </w:tc>
              <w:tc>
                <w:tcPr>
                  <w:tcW w:w="1403" w:type="dxa"/>
                  <w:tcBorders>
                    <w:tl2br w:val="nil"/>
                    <w:tr2bl w:val="nil"/>
                  </w:tcBorders>
                  <w:noWrap w:val="0"/>
                  <w:vAlign w:val="center"/>
                </w:tcPr>
                <w:p w14:paraId="2DC9DEEC">
                  <w:pPr>
                    <w:spacing w:line="240" w:lineRule="auto"/>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大豆</w:t>
                  </w:r>
                  <w:r>
                    <w:rPr>
                      <w:rFonts w:hint="default" w:ascii="Times New Roman" w:hAnsi="Times New Roman" w:cs="Times New Roman"/>
                      <w:color w:val="auto"/>
                      <w:sz w:val="21"/>
                      <w:szCs w:val="21"/>
                      <w:highlight w:val="none"/>
                      <w:u w:val="none" w:color="auto"/>
                    </w:rPr>
                    <w:t>胶</w:t>
                  </w:r>
                </w:p>
              </w:tc>
              <w:tc>
                <w:tcPr>
                  <w:tcW w:w="1283" w:type="dxa"/>
                  <w:tcBorders>
                    <w:tl2br w:val="nil"/>
                    <w:tr2bl w:val="nil"/>
                  </w:tcBorders>
                  <w:noWrap w:val="0"/>
                  <w:vAlign w:val="center"/>
                </w:tcPr>
                <w:p w14:paraId="2E38C141">
                  <w:pPr>
                    <w:spacing w:line="240" w:lineRule="auto"/>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16</w:t>
                  </w:r>
                  <w:r>
                    <w:rPr>
                      <w:rFonts w:hint="default" w:ascii="Times New Roman" w:hAnsi="Times New Roman" w:cs="Times New Roman"/>
                      <w:color w:val="auto"/>
                      <w:sz w:val="21"/>
                      <w:szCs w:val="21"/>
                      <w:highlight w:val="none"/>
                      <w:u w:val="none" w:color="auto"/>
                    </w:rPr>
                    <w:t>t/a</w:t>
                  </w:r>
                </w:p>
              </w:tc>
              <w:tc>
                <w:tcPr>
                  <w:tcW w:w="4805" w:type="dxa"/>
                  <w:tcBorders>
                    <w:tl2br w:val="nil"/>
                    <w:tr2bl w:val="nil"/>
                  </w:tcBorders>
                  <w:noWrap w:val="0"/>
                  <w:vAlign w:val="center"/>
                </w:tcPr>
                <w:p w14:paraId="3B864488">
                  <w:pPr>
                    <w:spacing w:line="240" w:lineRule="auto"/>
                    <w:jc w:val="center"/>
                    <w:rPr>
                      <w:rFonts w:hint="eastAsia" w:ascii="Times New Roman" w:hAnsi="Times New Roman" w:eastAsia="宋体" w:cs="Times New Roman"/>
                      <w:color w:val="auto"/>
                      <w:sz w:val="21"/>
                      <w:szCs w:val="21"/>
                      <w:highlight w:val="none"/>
                      <w:u w:val="none" w:color="auto"/>
                      <w:lang w:eastAsia="zh-CN"/>
                    </w:rPr>
                  </w:pPr>
                  <w:r>
                    <w:rPr>
                      <w:rFonts w:hint="default" w:ascii="Times New Roman" w:hAnsi="Times New Roman" w:cs="Times New Roman"/>
                      <w:color w:val="auto"/>
                      <w:sz w:val="21"/>
                      <w:szCs w:val="21"/>
                      <w:highlight w:val="none"/>
                      <w:u w:val="none" w:color="auto"/>
                    </w:rPr>
                    <w:t>外购，液态，储存于原料仓库，外购，成品胶，无需在厂内调配，厂区最大贮存量为0.5t，</w:t>
                  </w:r>
                  <w:r>
                    <w:rPr>
                      <w:rFonts w:hint="eastAsia" w:cs="Times New Roman"/>
                      <w:color w:val="auto"/>
                      <w:sz w:val="21"/>
                      <w:szCs w:val="21"/>
                      <w:highlight w:val="none"/>
                      <w:u w:val="none" w:color="auto"/>
                      <w:lang w:val="en-US" w:eastAsia="zh-CN" w:bidi="ar"/>
                    </w:rPr>
                    <w:t>大豆</w:t>
                  </w:r>
                  <w:r>
                    <w:rPr>
                      <w:rFonts w:hint="default" w:ascii="Times New Roman" w:hAnsi="Times New Roman" w:cs="Times New Roman"/>
                      <w:color w:val="auto"/>
                      <w:sz w:val="21"/>
                      <w:szCs w:val="21"/>
                      <w:highlight w:val="none"/>
                      <w:u w:val="none" w:color="auto"/>
                      <w:lang w:bidi="ar"/>
                    </w:rPr>
                    <w:t>胶甲醛含量</w:t>
                  </w:r>
                  <w:r>
                    <w:rPr>
                      <w:rFonts w:hint="eastAsia" w:cs="Times New Roman"/>
                      <w:color w:val="auto"/>
                      <w:sz w:val="21"/>
                      <w:szCs w:val="21"/>
                      <w:highlight w:val="none"/>
                      <w:u w:val="none" w:color="auto"/>
                      <w:lang w:val="en-US" w:eastAsia="zh-CN" w:bidi="ar"/>
                    </w:rPr>
                    <w:t>未检出</w:t>
                  </w:r>
                </w:p>
              </w:tc>
            </w:tr>
            <w:tr w14:paraId="72C62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7" w:type="dxa"/>
                  <w:tcBorders>
                    <w:tl2br w:val="nil"/>
                    <w:tr2bl w:val="nil"/>
                  </w:tcBorders>
                  <w:noWrap w:val="0"/>
                  <w:vAlign w:val="center"/>
                </w:tcPr>
                <w:p w14:paraId="7275FEEA">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3</w:t>
                  </w:r>
                </w:p>
              </w:tc>
              <w:tc>
                <w:tcPr>
                  <w:tcW w:w="1403" w:type="dxa"/>
                  <w:tcBorders>
                    <w:tl2br w:val="nil"/>
                    <w:tr2bl w:val="nil"/>
                  </w:tcBorders>
                  <w:noWrap w:val="0"/>
                  <w:vAlign w:val="center"/>
                </w:tcPr>
                <w:p w14:paraId="12C8C7B0">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面粉</w:t>
                  </w:r>
                </w:p>
              </w:tc>
              <w:tc>
                <w:tcPr>
                  <w:tcW w:w="1283" w:type="dxa"/>
                  <w:tcBorders>
                    <w:tl2br w:val="nil"/>
                    <w:tr2bl w:val="nil"/>
                  </w:tcBorders>
                  <w:noWrap w:val="0"/>
                  <w:vAlign w:val="center"/>
                </w:tcPr>
                <w:p w14:paraId="5251DAA3">
                  <w:pPr>
                    <w:spacing w:line="240" w:lineRule="auto"/>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20</w:t>
                  </w:r>
                  <w:r>
                    <w:rPr>
                      <w:rFonts w:hint="default" w:ascii="Times New Roman" w:hAnsi="Times New Roman" w:cs="Times New Roman"/>
                      <w:color w:val="auto"/>
                      <w:sz w:val="21"/>
                      <w:szCs w:val="21"/>
                      <w:highlight w:val="none"/>
                      <w:u w:val="none" w:color="auto"/>
                    </w:rPr>
                    <w:t>t/a</w:t>
                  </w:r>
                </w:p>
              </w:tc>
              <w:tc>
                <w:tcPr>
                  <w:tcW w:w="4805" w:type="dxa"/>
                  <w:tcBorders>
                    <w:tl2br w:val="nil"/>
                    <w:tr2bl w:val="nil"/>
                  </w:tcBorders>
                  <w:noWrap w:val="0"/>
                  <w:vAlign w:val="center"/>
                </w:tcPr>
                <w:p w14:paraId="0A2DC4E9">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外购，储存于原料仓库，袋装，25kg/袋</w:t>
                  </w:r>
                </w:p>
              </w:tc>
            </w:tr>
            <w:tr w14:paraId="423795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647" w:type="dxa"/>
                  <w:tcBorders>
                    <w:tl2br w:val="nil"/>
                    <w:tr2bl w:val="nil"/>
                  </w:tcBorders>
                  <w:noWrap w:val="0"/>
                  <w:vAlign w:val="center"/>
                </w:tcPr>
                <w:p w14:paraId="0C41F3B7">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4</w:t>
                  </w:r>
                </w:p>
              </w:tc>
              <w:tc>
                <w:tcPr>
                  <w:tcW w:w="1403" w:type="dxa"/>
                  <w:tcBorders>
                    <w:tl2br w:val="nil"/>
                    <w:tr2bl w:val="nil"/>
                  </w:tcBorders>
                  <w:noWrap w:val="0"/>
                  <w:vAlign w:val="center"/>
                </w:tcPr>
                <w:p w14:paraId="2C4F0F03">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生物质燃料</w:t>
                  </w:r>
                </w:p>
              </w:tc>
              <w:tc>
                <w:tcPr>
                  <w:tcW w:w="1283" w:type="dxa"/>
                  <w:tcBorders>
                    <w:tl2br w:val="nil"/>
                    <w:tr2bl w:val="nil"/>
                  </w:tcBorders>
                  <w:noWrap w:val="0"/>
                  <w:vAlign w:val="center"/>
                </w:tcPr>
                <w:p w14:paraId="106B5042">
                  <w:pPr>
                    <w:spacing w:line="240" w:lineRule="auto"/>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1530</w:t>
                  </w:r>
                  <w:r>
                    <w:rPr>
                      <w:rFonts w:hint="default" w:ascii="Times New Roman" w:hAnsi="Times New Roman" w:cs="Times New Roman"/>
                      <w:color w:val="auto"/>
                      <w:sz w:val="21"/>
                      <w:szCs w:val="21"/>
                      <w:highlight w:val="none"/>
                      <w:u w:val="none" w:color="auto"/>
                    </w:rPr>
                    <w:t>t/a</w:t>
                  </w:r>
                </w:p>
              </w:tc>
              <w:tc>
                <w:tcPr>
                  <w:tcW w:w="4805" w:type="dxa"/>
                  <w:tcBorders>
                    <w:tl2br w:val="nil"/>
                    <w:tr2bl w:val="nil"/>
                  </w:tcBorders>
                  <w:noWrap w:val="0"/>
                  <w:vAlign w:val="center"/>
                </w:tcPr>
                <w:p w14:paraId="1357C139">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贮存于锅炉房</w:t>
                  </w:r>
                  <w:r>
                    <w:rPr>
                      <w:rStyle w:val="38"/>
                      <w:rFonts w:hint="default" w:ascii="Times New Roman" w:hAnsi="Times New Roman" w:cs="Times New Roman"/>
                      <w:color w:val="auto"/>
                      <w:kern w:val="28"/>
                      <w:sz w:val="21"/>
                      <w:szCs w:val="21"/>
                      <w:highlight w:val="none"/>
                      <w:u w:val="none" w:color="auto"/>
                    </w:rPr>
                    <w:t>，</w:t>
                  </w:r>
                  <w:r>
                    <w:rPr>
                      <w:rFonts w:hint="default" w:ascii="Times New Roman" w:hAnsi="Times New Roman" w:cs="Times New Roman"/>
                      <w:color w:val="auto"/>
                      <w:sz w:val="21"/>
                      <w:szCs w:val="21"/>
                      <w:highlight w:val="none"/>
                      <w:u w:val="none" w:color="auto"/>
                      <w:lang w:bidi="ar"/>
                    </w:rPr>
                    <w:t>生物质含硫量为0.03%</w:t>
                  </w:r>
                </w:p>
              </w:tc>
            </w:tr>
            <w:tr w14:paraId="22395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647" w:type="dxa"/>
                  <w:tcBorders>
                    <w:tl2br w:val="nil"/>
                    <w:tr2bl w:val="nil"/>
                  </w:tcBorders>
                  <w:noWrap w:val="0"/>
                  <w:vAlign w:val="center"/>
                </w:tcPr>
                <w:p w14:paraId="72997493">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5</w:t>
                  </w:r>
                </w:p>
              </w:tc>
              <w:tc>
                <w:tcPr>
                  <w:tcW w:w="1403" w:type="dxa"/>
                  <w:tcBorders>
                    <w:tl2br w:val="nil"/>
                    <w:tr2bl w:val="nil"/>
                  </w:tcBorders>
                  <w:noWrap w:val="0"/>
                  <w:vAlign w:val="center"/>
                </w:tcPr>
                <w:p w14:paraId="5281A64B">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导热油</w:t>
                  </w:r>
                </w:p>
              </w:tc>
              <w:tc>
                <w:tcPr>
                  <w:tcW w:w="1283" w:type="dxa"/>
                  <w:tcBorders>
                    <w:tl2br w:val="nil"/>
                    <w:tr2bl w:val="nil"/>
                  </w:tcBorders>
                  <w:noWrap w:val="0"/>
                  <w:vAlign w:val="center"/>
                </w:tcPr>
                <w:p w14:paraId="01FFCF8B">
                  <w:pPr>
                    <w:spacing w:line="240" w:lineRule="auto"/>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6</w:t>
                  </w:r>
                  <w:r>
                    <w:rPr>
                      <w:rFonts w:hint="default" w:ascii="Times New Roman" w:hAnsi="Times New Roman" w:cs="Times New Roman"/>
                      <w:color w:val="auto"/>
                      <w:sz w:val="21"/>
                      <w:szCs w:val="21"/>
                      <w:highlight w:val="none"/>
                      <w:u w:val="none" w:color="auto"/>
                    </w:rPr>
                    <w:t>t/</w:t>
                  </w:r>
                  <w:r>
                    <w:rPr>
                      <w:rFonts w:hint="default" w:ascii="Times New Roman" w:hAnsi="Times New Roman" w:cs="Times New Roman"/>
                      <w:color w:val="auto"/>
                      <w:sz w:val="21"/>
                      <w:szCs w:val="21"/>
                      <w:highlight w:val="none"/>
                      <w:u w:val="none" w:color="auto"/>
                      <w:lang w:val="en-US" w:eastAsia="zh-CN"/>
                    </w:rPr>
                    <w:t>3</w:t>
                  </w:r>
                  <w:r>
                    <w:rPr>
                      <w:rFonts w:hint="default" w:ascii="Times New Roman" w:hAnsi="Times New Roman" w:cs="Times New Roman"/>
                      <w:color w:val="auto"/>
                      <w:sz w:val="21"/>
                      <w:szCs w:val="21"/>
                      <w:highlight w:val="none"/>
                      <w:u w:val="none" w:color="auto"/>
                    </w:rPr>
                    <w:t>a</w:t>
                  </w:r>
                </w:p>
              </w:tc>
              <w:tc>
                <w:tcPr>
                  <w:tcW w:w="4805" w:type="dxa"/>
                  <w:tcBorders>
                    <w:tl2br w:val="nil"/>
                    <w:tr2bl w:val="nil"/>
                  </w:tcBorders>
                  <w:noWrap w:val="0"/>
                  <w:vAlign w:val="center"/>
                </w:tcPr>
                <w:p w14:paraId="77F2B503">
                  <w:pPr>
                    <w:spacing w:line="240" w:lineRule="auto"/>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3年更换一次</w:t>
                  </w:r>
                </w:p>
              </w:tc>
            </w:tr>
            <w:tr w14:paraId="70CBA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647" w:type="dxa"/>
                  <w:tcBorders>
                    <w:tl2br w:val="nil"/>
                    <w:tr2bl w:val="nil"/>
                  </w:tcBorders>
                  <w:noWrap w:val="0"/>
                  <w:vAlign w:val="center"/>
                </w:tcPr>
                <w:p w14:paraId="1E81CA7B">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6</w:t>
                  </w:r>
                </w:p>
              </w:tc>
              <w:tc>
                <w:tcPr>
                  <w:tcW w:w="1403" w:type="dxa"/>
                  <w:tcBorders>
                    <w:tl2br w:val="nil"/>
                    <w:tr2bl w:val="nil"/>
                  </w:tcBorders>
                  <w:noWrap w:val="0"/>
                  <w:vAlign w:val="center"/>
                </w:tcPr>
                <w:p w14:paraId="3B4BD9CF">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水</w:t>
                  </w:r>
                </w:p>
              </w:tc>
              <w:tc>
                <w:tcPr>
                  <w:tcW w:w="1283" w:type="dxa"/>
                  <w:tcBorders>
                    <w:tl2br w:val="nil"/>
                    <w:tr2bl w:val="nil"/>
                  </w:tcBorders>
                  <w:noWrap w:val="0"/>
                  <w:vAlign w:val="center"/>
                </w:tcPr>
                <w:p w14:paraId="58178DDB">
                  <w:pPr>
                    <w:spacing w:line="240" w:lineRule="auto"/>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194.4</w:t>
                  </w:r>
                  <w:r>
                    <w:rPr>
                      <w:rFonts w:hint="default" w:ascii="Times New Roman" w:hAnsi="Times New Roman" w:cs="Times New Roman"/>
                      <w:color w:val="auto"/>
                      <w:sz w:val="21"/>
                      <w:szCs w:val="21"/>
                      <w:highlight w:val="none"/>
                      <w:u w:val="none" w:color="auto"/>
                    </w:rPr>
                    <w:t>t/a</w:t>
                  </w:r>
                </w:p>
              </w:tc>
              <w:tc>
                <w:tcPr>
                  <w:tcW w:w="4805" w:type="dxa"/>
                  <w:tcBorders>
                    <w:tl2br w:val="nil"/>
                    <w:tr2bl w:val="nil"/>
                  </w:tcBorders>
                  <w:noWrap w:val="0"/>
                  <w:vAlign w:val="center"/>
                </w:tcPr>
                <w:p w14:paraId="78EBA588">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项目由当地自来水管网供给</w:t>
                  </w:r>
                </w:p>
              </w:tc>
            </w:tr>
            <w:tr w14:paraId="1E0ED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47" w:type="dxa"/>
                  <w:tcBorders>
                    <w:tl2br w:val="nil"/>
                    <w:tr2bl w:val="nil"/>
                  </w:tcBorders>
                  <w:noWrap w:val="0"/>
                  <w:vAlign w:val="center"/>
                </w:tcPr>
                <w:p w14:paraId="6A7EC9C7">
                  <w:pPr>
                    <w:spacing w:line="240" w:lineRule="auto"/>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7</w:t>
                  </w:r>
                </w:p>
              </w:tc>
              <w:tc>
                <w:tcPr>
                  <w:tcW w:w="1403" w:type="dxa"/>
                  <w:tcBorders>
                    <w:tl2br w:val="nil"/>
                    <w:tr2bl w:val="nil"/>
                  </w:tcBorders>
                  <w:noWrap w:val="0"/>
                  <w:vAlign w:val="center"/>
                </w:tcPr>
                <w:p w14:paraId="1D80BE12">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电</w:t>
                  </w:r>
                </w:p>
              </w:tc>
              <w:tc>
                <w:tcPr>
                  <w:tcW w:w="1283" w:type="dxa"/>
                  <w:tcBorders>
                    <w:tl2br w:val="nil"/>
                    <w:tr2bl w:val="nil"/>
                  </w:tcBorders>
                  <w:noWrap w:val="0"/>
                  <w:vAlign w:val="center"/>
                </w:tcPr>
                <w:p w14:paraId="3D7AB285">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0.7万k</w:t>
                  </w:r>
                  <w:r>
                    <w:rPr>
                      <w:rFonts w:hint="eastAsia" w:ascii="Times New Roman" w:hAnsi="Times New Roman" w:cs="Times New Roman"/>
                      <w:color w:val="auto"/>
                      <w:sz w:val="21"/>
                      <w:szCs w:val="21"/>
                      <w:highlight w:val="none"/>
                      <w:u w:val="none" w:color="auto"/>
                      <w:lang w:val="en-US" w:eastAsia="zh-CN"/>
                    </w:rPr>
                    <w:t>W</w:t>
                  </w:r>
                  <w:r>
                    <w:rPr>
                      <w:rFonts w:hint="default" w:ascii="Times New Roman" w:hAnsi="Times New Roman" w:cs="Times New Roman"/>
                      <w:color w:val="auto"/>
                      <w:sz w:val="21"/>
                      <w:szCs w:val="21"/>
                      <w:highlight w:val="none"/>
                      <w:u w:val="none" w:color="auto"/>
                    </w:rPr>
                    <w:t>·h</w:t>
                  </w:r>
                </w:p>
              </w:tc>
              <w:tc>
                <w:tcPr>
                  <w:tcW w:w="4805" w:type="dxa"/>
                  <w:tcBorders>
                    <w:tl2br w:val="nil"/>
                    <w:tr2bl w:val="nil"/>
                  </w:tcBorders>
                  <w:noWrap w:val="0"/>
                  <w:vAlign w:val="center"/>
                </w:tcPr>
                <w:p w14:paraId="55084AE4">
                  <w:pPr>
                    <w:spacing w:line="240" w:lineRule="auto"/>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当地电网接入(厂区建设配电房)</w:t>
                  </w:r>
                </w:p>
              </w:tc>
            </w:tr>
          </w:tbl>
          <w:p w14:paraId="616BBF4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宋体" w:hAnsi="宋体" w:eastAsia="宋体"/>
                <w:color w:val="auto"/>
                <w:sz w:val="24"/>
                <w:szCs w:val="24"/>
              </w:rPr>
            </w:pPr>
            <w:r>
              <w:rPr>
                <w:rFonts w:hint="eastAsia" w:ascii="宋体" w:hAnsi="宋体" w:eastAsia="宋体"/>
                <w:color w:val="auto"/>
                <w:sz w:val="24"/>
                <w:szCs w:val="24"/>
              </w:rPr>
              <w:t>原辅材料物化性质：</w:t>
            </w:r>
          </w:p>
          <w:p w14:paraId="404DEC0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宋体" w:hAnsi="宋体" w:eastAsia="宋体"/>
                <w:color w:val="auto"/>
                <w:sz w:val="24"/>
                <w:szCs w:val="24"/>
                <w:lang w:val="en-US" w:eastAsia="zh-CN"/>
              </w:rPr>
            </w:pPr>
            <w:r>
              <w:rPr>
                <w:rFonts w:hint="eastAsia" w:ascii="Times New Roman" w:hAnsi="Times New Roman" w:eastAsia="宋体" w:cs="Times New Roman"/>
                <w:color w:val="auto"/>
                <w:sz w:val="24"/>
                <w:highlight w:val="none"/>
                <w:lang w:val="en-US" w:eastAsia="zh-CN"/>
              </w:rPr>
              <w:t>大豆胶：大豆胶是一种以大豆蛋白为主要原料制成的胶黏剂。通常为淡黄色至浅棕色的粉末或块状物，可在水中溶胀，但不完全溶解，需在一定条件下（如加热）才能形成具有一定黏度的胶体溶液。具有大豆特有的淡淡的豆香味，无刺激性气味。主要成分为大豆蛋白，此外还可能含有少量的脂肪、碳水化合物、矿物质等杂质，是一种新型的绿色环保胶黏剂，大豆胶是一种水溶性胶粘剂，以水为主体分散介质的胶粘剂。本项目外购大豆胶为调配好的液体胶，无需在厂内调配。根据企业提供的大豆胶MSDS 报告（附件八），项目使用大豆胶与《胶粘剂挥发性有机化合物限量》（GB33372-2020）的符合性分析见表2-7。</w:t>
            </w:r>
          </w:p>
          <w:p w14:paraId="66A4A1C7">
            <w:pPr>
              <w:pStyle w:val="23"/>
              <w:keepNext w:val="0"/>
              <w:keepLines w:val="0"/>
              <w:pageBreakBefore w:val="0"/>
              <w:widowControl/>
              <w:kinsoku/>
              <w:wordWrap/>
              <w:overflowPunct/>
              <w:topLinePunct w:val="0"/>
              <w:autoSpaceDE/>
              <w:autoSpaceDN/>
              <w:bidi w:val="0"/>
              <w:adjustRightInd w:val="0"/>
              <w:snapToGrid w:val="0"/>
              <w:spacing w:before="157" w:beforeLines="50" w:line="240" w:lineRule="auto"/>
              <w:textAlignment w:val="auto"/>
              <w:rPr>
                <w:rFonts w:ascii="Times New Roman" w:hAnsi="Times New Roman" w:eastAsia="宋体" w:cs="Times New Roman"/>
                <w:color w:val="auto"/>
              </w:rPr>
            </w:pPr>
            <w:r>
              <w:rPr>
                <w:rFonts w:hint="eastAsia" w:ascii="Times New Roman" w:hAnsi="Times New Roman" w:eastAsia="宋体" w:cs="Times New Roman"/>
                <w:color w:val="auto"/>
              </w:rPr>
              <w:t>表2-</w:t>
            </w:r>
            <w:r>
              <w:rPr>
                <w:rFonts w:hint="eastAsia" w:ascii="Times New Roman" w:hAnsi="Times New Roman" w:eastAsia="宋体" w:cs="Times New Roman"/>
                <w:color w:val="auto"/>
                <w:lang w:val="en-US" w:eastAsia="zh-CN"/>
              </w:rPr>
              <w:t>7</w:t>
            </w:r>
            <w:r>
              <w:rPr>
                <w:rFonts w:hint="eastAsia" w:ascii="Times New Roman" w:hAnsi="Times New Roman" w:eastAsia="宋体" w:cs="Times New Roman"/>
                <w:color w:val="auto"/>
              </w:rPr>
              <w:t xml:space="preserve"> 大豆胶与《胶粘剂挥发性有机化合物限量》符合性</w:t>
            </w:r>
          </w:p>
          <w:tbl>
            <w:tblPr>
              <w:tblStyle w:val="31"/>
              <w:tblW w:w="4995" w:type="pct"/>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1048"/>
              <w:gridCol w:w="1002"/>
              <w:gridCol w:w="944"/>
              <w:gridCol w:w="1034"/>
              <w:gridCol w:w="990"/>
              <w:gridCol w:w="1020"/>
              <w:gridCol w:w="1110"/>
              <w:gridCol w:w="1057"/>
            </w:tblGrid>
            <w:tr w14:paraId="2C67EB02">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638" w:type="pct"/>
                  <w:vMerge w:val="restart"/>
                  <w:tcBorders>
                    <w:tl2br w:val="nil"/>
                    <w:tr2bl w:val="nil"/>
                  </w:tcBorders>
                  <w:noWrap w:val="0"/>
                  <w:tcMar>
                    <w:left w:w="28" w:type="dxa"/>
                    <w:right w:w="28" w:type="dxa"/>
                  </w:tcMar>
                  <w:vAlign w:val="center"/>
                </w:tcPr>
                <w:p w14:paraId="588F7F4F">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类型</w:t>
                  </w:r>
                </w:p>
              </w:tc>
              <w:tc>
                <w:tcPr>
                  <w:tcW w:w="4361" w:type="pct"/>
                  <w:gridSpan w:val="7"/>
                  <w:tcBorders>
                    <w:tl2br w:val="nil"/>
                    <w:tr2bl w:val="nil"/>
                  </w:tcBorders>
                  <w:noWrap w:val="0"/>
                  <w:tcMar>
                    <w:left w:w="28" w:type="dxa"/>
                    <w:right w:w="28" w:type="dxa"/>
                  </w:tcMar>
                  <w:vAlign w:val="center"/>
                </w:tcPr>
                <w:p w14:paraId="09437236">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eastAsia="宋体" w:cs="Times New Roman"/>
                      <w:color w:val="auto"/>
                      <w:sz w:val="21"/>
                      <w:szCs w:val="21"/>
                      <w:shd w:val="clear" w:color="auto" w:fill="auto"/>
                      <w:lang w:val="en-US" w:eastAsia="zh-CN"/>
                    </w:rPr>
                    <w:t>限量值/（g/L）≤</w:t>
                  </w:r>
                </w:p>
              </w:tc>
            </w:tr>
            <w:tr w14:paraId="09D0D40B">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638" w:type="pct"/>
                  <w:vMerge w:val="continue"/>
                  <w:tcBorders>
                    <w:tl2br w:val="nil"/>
                    <w:tr2bl w:val="nil"/>
                  </w:tcBorders>
                  <w:noWrap w:val="0"/>
                  <w:tcMar>
                    <w:left w:w="28" w:type="dxa"/>
                    <w:right w:w="28" w:type="dxa"/>
                  </w:tcMar>
                  <w:vAlign w:val="center"/>
                </w:tcPr>
                <w:p w14:paraId="5748A2B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eastAsia="zh-CN"/>
                    </w:rPr>
                  </w:pPr>
                </w:p>
              </w:tc>
              <w:tc>
                <w:tcPr>
                  <w:tcW w:w="610" w:type="pct"/>
                  <w:tcBorders>
                    <w:tl2br w:val="nil"/>
                    <w:tr2bl w:val="nil"/>
                  </w:tcBorders>
                  <w:noWrap w:val="0"/>
                  <w:tcMar>
                    <w:left w:w="28" w:type="dxa"/>
                    <w:right w:w="28" w:type="dxa"/>
                  </w:tcMar>
                  <w:vAlign w:val="center"/>
                </w:tcPr>
                <w:p w14:paraId="4750541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聚乙酸乙烯酯类</w:t>
                  </w:r>
                </w:p>
              </w:tc>
              <w:tc>
                <w:tcPr>
                  <w:tcW w:w="575" w:type="pct"/>
                  <w:tcBorders>
                    <w:tl2br w:val="nil"/>
                    <w:tr2bl w:val="nil"/>
                  </w:tcBorders>
                  <w:noWrap w:val="0"/>
                  <w:tcMar>
                    <w:left w:w="28" w:type="dxa"/>
                    <w:right w:w="28" w:type="dxa"/>
                  </w:tcMar>
                  <w:vAlign w:val="center"/>
                </w:tcPr>
                <w:p w14:paraId="209C0496">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聚乙烯醇类</w:t>
                  </w:r>
                </w:p>
              </w:tc>
              <w:tc>
                <w:tcPr>
                  <w:tcW w:w="630" w:type="pct"/>
                  <w:tcBorders>
                    <w:tl2br w:val="nil"/>
                    <w:tr2bl w:val="nil"/>
                  </w:tcBorders>
                  <w:noWrap w:val="0"/>
                  <w:tcMar>
                    <w:left w:w="28" w:type="dxa"/>
                    <w:right w:w="28" w:type="dxa"/>
                  </w:tcMar>
                  <w:vAlign w:val="center"/>
                </w:tcPr>
                <w:p w14:paraId="31D550E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橡胶类</w:t>
                  </w:r>
                </w:p>
              </w:tc>
              <w:tc>
                <w:tcPr>
                  <w:tcW w:w="603" w:type="pct"/>
                  <w:tcBorders>
                    <w:tl2br w:val="nil"/>
                    <w:tr2bl w:val="nil"/>
                  </w:tcBorders>
                  <w:noWrap w:val="0"/>
                  <w:tcMar>
                    <w:left w:w="28" w:type="dxa"/>
                    <w:right w:w="28" w:type="dxa"/>
                  </w:tcMar>
                  <w:vAlign w:val="center"/>
                </w:tcPr>
                <w:p w14:paraId="0F315EC4">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聚氨酯类</w:t>
                  </w:r>
                </w:p>
              </w:tc>
              <w:tc>
                <w:tcPr>
                  <w:tcW w:w="621" w:type="pct"/>
                  <w:tcBorders>
                    <w:tl2br w:val="nil"/>
                    <w:tr2bl w:val="nil"/>
                  </w:tcBorders>
                  <w:noWrap w:val="0"/>
                  <w:tcMar>
                    <w:left w:w="28" w:type="dxa"/>
                    <w:right w:w="28" w:type="dxa"/>
                  </w:tcMar>
                  <w:vAlign w:val="center"/>
                </w:tcPr>
                <w:p w14:paraId="361745E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醋酸乙烯-乙烯共聚乳液类</w:t>
                  </w:r>
                </w:p>
              </w:tc>
              <w:tc>
                <w:tcPr>
                  <w:tcW w:w="676" w:type="pct"/>
                  <w:tcBorders>
                    <w:tl2br w:val="nil"/>
                    <w:tr2bl w:val="nil"/>
                  </w:tcBorders>
                  <w:noWrap w:val="0"/>
                  <w:tcMar>
                    <w:left w:w="28" w:type="dxa"/>
                    <w:right w:w="28" w:type="dxa"/>
                  </w:tcMar>
                  <w:vAlign w:val="center"/>
                </w:tcPr>
                <w:p w14:paraId="3E1C307F">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丙烯酸酯类</w:t>
                  </w:r>
                </w:p>
              </w:tc>
              <w:tc>
                <w:tcPr>
                  <w:tcW w:w="644" w:type="pct"/>
                  <w:tcBorders>
                    <w:tl2br w:val="nil"/>
                    <w:tr2bl w:val="nil"/>
                  </w:tcBorders>
                  <w:noWrap w:val="0"/>
                  <w:tcMar>
                    <w:left w:w="28" w:type="dxa"/>
                    <w:right w:w="28" w:type="dxa"/>
                  </w:tcMar>
                  <w:vAlign w:val="center"/>
                </w:tcPr>
                <w:p w14:paraId="7468494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shd w:val="clear" w:color="auto" w:fill="auto"/>
                      <w:lang w:val="en-US" w:eastAsia="zh-CN"/>
                    </w:rPr>
                    <w:t>其他</w:t>
                  </w:r>
                </w:p>
              </w:tc>
            </w:tr>
            <w:tr w14:paraId="480B2FC5">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638" w:type="pct"/>
                  <w:tcBorders>
                    <w:tl2br w:val="nil"/>
                    <w:tr2bl w:val="nil"/>
                  </w:tcBorders>
                  <w:noWrap w:val="0"/>
                  <w:tcMar>
                    <w:left w:w="28" w:type="dxa"/>
                    <w:right w:w="28" w:type="dxa"/>
                  </w:tcMar>
                  <w:vAlign w:val="center"/>
                </w:tcPr>
                <w:p w14:paraId="35F898DD">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木工与家具</w:t>
                  </w:r>
                </w:p>
              </w:tc>
              <w:tc>
                <w:tcPr>
                  <w:tcW w:w="610" w:type="pct"/>
                  <w:tcBorders>
                    <w:tl2br w:val="nil"/>
                    <w:tr2bl w:val="nil"/>
                  </w:tcBorders>
                  <w:noWrap w:val="0"/>
                  <w:tcMar>
                    <w:left w:w="28" w:type="dxa"/>
                    <w:right w:w="28" w:type="dxa"/>
                  </w:tcMar>
                  <w:vAlign w:val="center"/>
                </w:tcPr>
                <w:p w14:paraId="553450EA">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100</w:t>
                  </w:r>
                </w:p>
              </w:tc>
              <w:tc>
                <w:tcPr>
                  <w:tcW w:w="575" w:type="pct"/>
                  <w:tcBorders>
                    <w:tl2br w:val="nil"/>
                    <w:tr2bl w:val="nil"/>
                  </w:tcBorders>
                  <w:noWrap w:val="0"/>
                  <w:tcMar>
                    <w:left w:w="28" w:type="dxa"/>
                    <w:right w:w="28" w:type="dxa"/>
                  </w:tcMar>
                  <w:vAlign w:val="center"/>
                </w:tcPr>
                <w:p w14:paraId="07070E1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630" w:type="pct"/>
                  <w:tcBorders>
                    <w:tl2br w:val="nil"/>
                    <w:tr2bl w:val="nil"/>
                  </w:tcBorders>
                  <w:noWrap w:val="0"/>
                  <w:tcMar>
                    <w:left w:w="28" w:type="dxa"/>
                    <w:right w:w="28" w:type="dxa"/>
                  </w:tcMar>
                  <w:vAlign w:val="center"/>
                </w:tcPr>
                <w:p w14:paraId="5B46E77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100</w:t>
                  </w:r>
                </w:p>
              </w:tc>
              <w:tc>
                <w:tcPr>
                  <w:tcW w:w="603" w:type="pct"/>
                  <w:tcBorders>
                    <w:tl2br w:val="nil"/>
                    <w:tr2bl w:val="nil"/>
                  </w:tcBorders>
                  <w:noWrap w:val="0"/>
                  <w:tcMar>
                    <w:left w:w="28" w:type="dxa"/>
                    <w:right w:w="28" w:type="dxa"/>
                  </w:tcMar>
                  <w:vAlign w:val="center"/>
                </w:tcPr>
                <w:p w14:paraId="5BBF0448">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50</w:t>
                  </w:r>
                </w:p>
              </w:tc>
              <w:tc>
                <w:tcPr>
                  <w:tcW w:w="621" w:type="pct"/>
                  <w:tcBorders>
                    <w:tl2br w:val="nil"/>
                    <w:tr2bl w:val="nil"/>
                  </w:tcBorders>
                  <w:noWrap w:val="0"/>
                  <w:tcMar>
                    <w:left w:w="28" w:type="dxa"/>
                    <w:right w:w="28" w:type="dxa"/>
                  </w:tcMar>
                  <w:vAlign w:val="center"/>
                </w:tcPr>
                <w:p w14:paraId="779E533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50</w:t>
                  </w:r>
                </w:p>
              </w:tc>
              <w:tc>
                <w:tcPr>
                  <w:tcW w:w="676" w:type="pct"/>
                  <w:tcBorders>
                    <w:tl2br w:val="nil"/>
                    <w:tr2bl w:val="nil"/>
                  </w:tcBorders>
                  <w:noWrap w:val="0"/>
                  <w:tcMar>
                    <w:left w:w="28" w:type="dxa"/>
                    <w:right w:w="28" w:type="dxa"/>
                  </w:tcMar>
                  <w:vAlign w:val="center"/>
                </w:tcPr>
                <w:p w14:paraId="4F47E068">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50</w:t>
                  </w:r>
                </w:p>
              </w:tc>
              <w:tc>
                <w:tcPr>
                  <w:tcW w:w="644" w:type="pct"/>
                  <w:tcBorders>
                    <w:tl2br w:val="nil"/>
                    <w:tr2bl w:val="nil"/>
                  </w:tcBorders>
                  <w:noWrap w:val="0"/>
                  <w:tcMar>
                    <w:left w:w="28" w:type="dxa"/>
                    <w:right w:w="28" w:type="dxa"/>
                  </w:tcMar>
                  <w:vAlign w:val="center"/>
                </w:tcPr>
                <w:p w14:paraId="454B36F6">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50</w:t>
                  </w:r>
                </w:p>
              </w:tc>
            </w:tr>
            <w:tr w14:paraId="3E54DE51">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638" w:type="pct"/>
                  <w:tcBorders>
                    <w:tl2br w:val="nil"/>
                    <w:tr2bl w:val="nil"/>
                  </w:tcBorders>
                  <w:noWrap w:val="0"/>
                  <w:tcMar>
                    <w:left w:w="28" w:type="dxa"/>
                    <w:right w:w="28" w:type="dxa"/>
                  </w:tcMar>
                  <w:vAlign w:val="center"/>
                </w:tcPr>
                <w:p w14:paraId="249CB5C7">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本项目使用大豆胶</w:t>
                  </w:r>
                </w:p>
              </w:tc>
              <w:tc>
                <w:tcPr>
                  <w:tcW w:w="610" w:type="pct"/>
                  <w:tcBorders>
                    <w:tl2br w:val="nil"/>
                    <w:tr2bl w:val="nil"/>
                  </w:tcBorders>
                  <w:noWrap w:val="0"/>
                  <w:tcMar>
                    <w:left w:w="28" w:type="dxa"/>
                    <w:right w:w="28" w:type="dxa"/>
                  </w:tcMar>
                  <w:vAlign w:val="center"/>
                </w:tcPr>
                <w:p w14:paraId="67530853">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575" w:type="pct"/>
                  <w:tcBorders>
                    <w:tl2br w:val="nil"/>
                    <w:tr2bl w:val="nil"/>
                  </w:tcBorders>
                  <w:noWrap w:val="0"/>
                  <w:tcMar>
                    <w:left w:w="28" w:type="dxa"/>
                    <w:right w:w="28" w:type="dxa"/>
                  </w:tcMar>
                  <w:vAlign w:val="center"/>
                </w:tcPr>
                <w:p w14:paraId="32A50344">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630" w:type="pct"/>
                  <w:tcBorders>
                    <w:tl2br w:val="nil"/>
                    <w:tr2bl w:val="nil"/>
                  </w:tcBorders>
                  <w:noWrap w:val="0"/>
                  <w:tcMar>
                    <w:left w:w="28" w:type="dxa"/>
                    <w:right w:w="28" w:type="dxa"/>
                  </w:tcMar>
                  <w:vAlign w:val="center"/>
                </w:tcPr>
                <w:p w14:paraId="4A1F2B2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603" w:type="pct"/>
                  <w:tcBorders>
                    <w:tl2br w:val="nil"/>
                    <w:tr2bl w:val="nil"/>
                  </w:tcBorders>
                  <w:noWrap w:val="0"/>
                  <w:tcMar>
                    <w:left w:w="28" w:type="dxa"/>
                    <w:right w:w="28" w:type="dxa"/>
                  </w:tcMar>
                  <w:vAlign w:val="center"/>
                </w:tcPr>
                <w:p w14:paraId="1458E8BB">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621" w:type="pct"/>
                  <w:tcBorders>
                    <w:tl2br w:val="nil"/>
                    <w:tr2bl w:val="nil"/>
                  </w:tcBorders>
                  <w:noWrap w:val="0"/>
                  <w:tcMar>
                    <w:left w:w="28" w:type="dxa"/>
                    <w:right w:w="28" w:type="dxa"/>
                  </w:tcMar>
                  <w:vAlign w:val="center"/>
                </w:tcPr>
                <w:p w14:paraId="5F4EB96A">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676" w:type="pct"/>
                  <w:tcBorders>
                    <w:tl2br w:val="nil"/>
                    <w:tr2bl w:val="nil"/>
                  </w:tcBorders>
                  <w:noWrap w:val="0"/>
                  <w:tcMar>
                    <w:left w:w="28" w:type="dxa"/>
                    <w:right w:w="28" w:type="dxa"/>
                  </w:tcMar>
                  <w:vAlign w:val="center"/>
                </w:tcPr>
                <w:p w14:paraId="1DB8168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w:t>
                  </w:r>
                </w:p>
              </w:tc>
              <w:tc>
                <w:tcPr>
                  <w:tcW w:w="644" w:type="pct"/>
                  <w:tcBorders>
                    <w:tl2br w:val="nil"/>
                    <w:tr2bl w:val="nil"/>
                  </w:tcBorders>
                  <w:noWrap w:val="0"/>
                  <w:tcMar>
                    <w:left w:w="28" w:type="dxa"/>
                    <w:right w:w="28" w:type="dxa"/>
                  </w:tcMar>
                  <w:vAlign w:val="center"/>
                </w:tcPr>
                <w:p w14:paraId="75378FBF">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33</w:t>
                  </w:r>
                </w:p>
              </w:tc>
            </w:tr>
            <w:tr w14:paraId="045A1F20">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638" w:type="pct"/>
                  <w:tcBorders>
                    <w:tl2br w:val="nil"/>
                    <w:tr2bl w:val="nil"/>
                  </w:tcBorders>
                  <w:noWrap w:val="0"/>
                  <w:tcMar>
                    <w:left w:w="28" w:type="dxa"/>
                    <w:right w:w="28" w:type="dxa"/>
                  </w:tcMar>
                  <w:vAlign w:val="center"/>
                </w:tcPr>
                <w:p w14:paraId="13617BD8">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是否符合</w:t>
                  </w:r>
                </w:p>
              </w:tc>
              <w:tc>
                <w:tcPr>
                  <w:tcW w:w="610" w:type="pct"/>
                  <w:tcBorders>
                    <w:tl2br w:val="nil"/>
                    <w:tr2bl w:val="nil"/>
                  </w:tcBorders>
                  <w:noWrap w:val="0"/>
                  <w:tcMar>
                    <w:left w:w="28" w:type="dxa"/>
                    <w:right w:w="28" w:type="dxa"/>
                  </w:tcMar>
                  <w:vAlign w:val="center"/>
                </w:tcPr>
                <w:p w14:paraId="64FE945D">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shd w:val="clear" w:color="auto" w:fill="auto"/>
                      <w:lang w:val="en-US" w:eastAsia="zh-CN"/>
                    </w:rPr>
                    <w:t>是</w:t>
                  </w:r>
                </w:p>
              </w:tc>
              <w:tc>
                <w:tcPr>
                  <w:tcW w:w="575" w:type="pct"/>
                  <w:tcBorders>
                    <w:tl2br w:val="nil"/>
                    <w:tr2bl w:val="nil"/>
                  </w:tcBorders>
                  <w:noWrap w:val="0"/>
                  <w:tcMar>
                    <w:left w:w="28" w:type="dxa"/>
                    <w:right w:w="28" w:type="dxa"/>
                  </w:tcMar>
                  <w:vAlign w:val="center"/>
                </w:tcPr>
                <w:p w14:paraId="069C5373">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lang w:val="en-US" w:eastAsia="zh-CN"/>
                    </w:rPr>
                    <w:t>是</w:t>
                  </w:r>
                </w:p>
              </w:tc>
              <w:tc>
                <w:tcPr>
                  <w:tcW w:w="630" w:type="pct"/>
                  <w:tcBorders>
                    <w:tl2br w:val="nil"/>
                    <w:tr2bl w:val="nil"/>
                  </w:tcBorders>
                  <w:noWrap w:val="0"/>
                  <w:tcMar>
                    <w:left w:w="28" w:type="dxa"/>
                    <w:right w:w="28" w:type="dxa"/>
                  </w:tcMar>
                  <w:vAlign w:val="center"/>
                </w:tcPr>
                <w:p w14:paraId="706F200F">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lang w:val="en-US" w:eastAsia="zh-CN"/>
                    </w:rPr>
                    <w:t>是</w:t>
                  </w:r>
                </w:p>
              </w:tc>
              <w:tc>
                <w:tcPr>
                  <w:tcW w:w="603" w:type="pct"/>
                  <w:tcBorders>
                    <w:tl2br w:val="nil"/>
                    <w:tr2bl w:val="nil"/>
                  </w:tcBorders>
                  <w:noWrap w:val="0"/>
                  <w:tcMar>
                    <w:left w:w="28" w:type="dxa"/>
                    <w:right w:w="28" w:type="dxa"/>
                  </w:tcMar>
                  <w:vAlign w:val="center"/>
                </w:tcPr>
                <w:p w14:paraId="636DECA6">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lang w:val="en-US" w:eastAsia="zh-CN"/>
                    </w:rPr>
                    <w:t>是</w:t>
                  </w:r>
                </w:p>
              </w:tc>
              <w:tc>
                <w:tcPr>
                  <w:tcW w:w="621" w:type="pct"/>
                  <w:tcBorders>
                    <w:tl2br w:val="nil"/>
                    <w:tr2bl w:val="nil"/>
                  </w:tcBorders>
                  <w:noWrap w:val="0"/>
                  <w:tcMar>
                    <w:left w:w="28" w:type="dxa"/>
                    <w:right w:w="28" w:type="dxa"/>
                  </w:tcMar>
                  <w:vAlign w:val="center"/>
                </w:tcPr>
                <w:p w14:paraId="6C9351E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lang w:val="en-US" w:eastAsia="zh-CN"/>
                    </w:rPr>
                    <w:t>是</w:t>
                  </w:r>
                </w:p>
              </w:tc>
              <w:tc>
                <w:tcPr>
                  <w:tcW w:w="676" w:type="pct"/>
                  <w:tcBorders>
                    <w:tl2br w:val="nil"/>
                    <w:tr2bl w:val="nil"/>
                  </w:tcBorders>
                  <w:noWrap w:val="0"/>
                  <w:tcMar>
                    <w:left w:w="28" w:type="dxa"/>
                    <w:right w:w="28" w:type="dxa"/>
                  </w:tcMar>
                  <w:vAlign w:val="center"/>
                </w:tcPr>
                <w:p w14:paraId="62049789">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lang w:val="en-US" w:eastAsia="zh-CN"/>
                    </w:rPr>
                    <w:t>是</w:t>
                  </w:r>
                </w:p>
              </w:tc>
              <w:tc>
                <w:tcPr>
                  <w:tcW w:w="644" w:type="pct"/>
                  <w:tcBorders>
                    <w:tl2br w:val="nil"/>
                    <w:tr2bl w:val="nil"/>
                  </w:tcBorders>
                  <w:noWrap w:val="0"/>
                  <w:tcMar>
                    <w:left w:w="28" w:type="dxa"/>
                    <w:right w:w="28" w:type="dxa"/>
                  </w:tcMar>
                  <w:vAlign w:val="center"/>
                </w:tcPr>
                <w:p w14:paraId="0251EF0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shd w:val="clear" w:color="auto" w:fill="auto"/>
                    </w:rPr>
                  </w:pPr>
                  <w:r>
                    <w:rPr>
                      <w:rFonts w:hint="eastAsia" w:ascii="Times New Roman" w:hAnsi="Times New Roman" w:eastAsia="宋体" w:cs="Times New Roman"/>
                      <w:color w:val="auto"/>
                      <w:sz w:val="21"/>
                      <w:szCs w:val="21"/>
                      <w:shd w:val="clear" w:color="auto" w:fill="auto"/>
                      <w:lang w:val="en-US" w:eastAsia="zh-CN"/>
                    </w:rPr>
                    <w:t>是</w:t>
                  </w:r>
                </w:p>
              </w:tc>
            </w:tr>
          </w:tbl>
          <w:p w14:paraId="479B203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综上分析，项目使用大豆胶符合《胶粘剂挥发性有机化合物限量》（GB33372-2020）中的限值要求。</w:t>
            </w:r>
          </w:p>
          <w:p w14:paraId="01D8544D">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cs="Times New Roman"/>
                <w:b/>
                <w:bCs/>
                <w:color w:val="auto"/>
                <w:sz w:val="24"/>
                <w:highlight w:val="none"/>
                <w:lang w:val="en-US" w:eastAsia="zh-CN"/>
              </w:rPr>
            </w:pPr>
            <w:r>
              <w:rPr>
                <w:rFonts w:hint="eastAsia" w:cs="Times New Roman"/>
                <w:b/>
                <w:bCs/>
                <w:color w:val="auto"/>
                <w:sz w:val="24"/>
                <w:highlight w:val="none"/>
                <w:lang w:val="en-US" w:eastAsia="zh-CN"/>
              </w:rPr>
              <w:t>7</w:t>
            </w:r>
            <w:r>
              <w:rPr>
                <w:rFonts w:hint="eastAsia" w:ascii="Times New Roman" w:hAnsi="Times New Roman" w:cs="Times New Roman"/>
                <w:b/>
                <w:bCs/>
                <w:color w:val="auto"/>
                <w:sz w:val="24"/>
                <w:highlight w:val="none"/>
                <w:lang w:val="en-US" w:eastAsia="zh-CN"/>
              </w:rPr>
              <w:t>、燃料</w:t>
            </w:r>
            <w:r>
              <w:rPr>
                <w:rFonts w:hint="eastAsia" w:cs="Times New Roman"/>
                <w:b/>
                <w:bCs/>
                <w:color w:val="auto"/>
                <w:sz w:val="24"/>
                <w:highlight w:val="none"/>
                <w:lang w:val="en-US" w:eastAsia="zh-CN"/>
              </w:rPr>
              <w:t>分析</w:t>
            </w:r>
          </w:p>
          <w:p w14:paraId="378AD462">
            <w:pPr>
              <w:pStyle w:val="139"/>
              <w:spacing w:line="480" w:lineRule="exact"/>
              <w:ind w:firstLine="480"/>
              <w:rPr>
                <w:color w:val="auto"/>
                <w:kern w:val="2"/>
                <w:sz w:val="24"/>
                <w:szCs w:val="24"/>
              </w:rPr>
            </w:pPr>
            <w:r>
              <w:rPr>
                <w:rFonts w:hint="eastAsia"/>
                <w:color w:val="auto"/>
                <w:kern w:val="2"/>
                <w:sz w:val="24"/>
                <w:szCs w:val="24"/>
                <w:lang w:val="en-US" w:eastAsia="zh-CN"/>
              </w:rPr>
              <w:t>本项目生物质燃料信息</w:t>
            </w:r>
            <w:r>
              <w:rPr>
                <w:rFonts w:hint="eastAsia"/>
                <w:color w:val="auto"/>
                <w:kern w:val="2"/>
                <w:sz w:val="24"/>
                <w:szCs w:val="24"/>
              </w:rPr>
              <w:t>见附件</w:t>
            </w:r>
            <w:r>
              <w:rPr>
                <w:rFonts w:hint="eastAsia"/>
                <w:color w:val="auto"/>
                <w:kern w:val="2"/>
                <w:sz w:val="24"/>
                <w:szCs w:val="24"/>
                <w:lang w:val="en-US" w:eastAsia="zh-CN"/>
              </w:rPr>
              <w:t>1</w:t>
            </w:r>
            <w:r>
              <w:rPr>
                <w:rFonts w:hint="eastAsia"/>
                <w:color w:val="auto"/>
                <w:kern w:val="2"/>
                <w:sz w:val="24"/>
                <w:szCs w:val="24"/>
              </w:rPr>
              <w:t>。</w:t>
            </w:r>
          </w:p>
          <w:p w14:paraId="277FD1FB">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8</w:t>
            </w:r>
            <w:r>
              <w:rPr>
                <w:rFonts w:hint="default" w:ascii="Times New Roman" w:hAnsi="Times New Roman" w:cs="Times New Roman"/>
                <w:b/>
                <w:bCs/>
                <w:color w:val="auto"/>
                <w:sz w:val="24"/>
                <w:highlight w:val="none"/>
              </w:rPr>
              <w:t>、</w:t>
            </w:r>
            <w:r>
              <w:rPr>
                <w:rFonts w:hint="eastAsia" w:ascii="Times New Roman" w:hAnsi="Times New Roman" w:cs="Times New Roman"/>
                <w:b/>
                <w:bCs/>
                <w:color w:val="auto"/>
                <w:sz w:val="24"/>
                <w:highlight w:val="none"/>
                <w:lang w:val="en-US" w:eastAsia="zh-CN"/>
              </w:rPr>
              <w:t>厂区平面布置</w:t>
            </w:r>
          </w:p>
          <w:p w14:paraId="0F39A8E8">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color w:val="auto"/>
                <w:sz w:val="24"/>
                <w:highlight w:val="none"/>
              </w:rPr>
              <w:t>本项目根据场地情况及工艺流程要求，参照国家有关规定，总平面布置根据生产需求合理布置，项目按功能进行分区，分办公生活区和生产区。根据项目平面布置图及周围的环境情况，办公生活区位于厂区</w:t>
            </w:r>
            <w:r>
              <w:rPr>
                <w:rFonts w:hint="eastAsia"/>
                <w:color w:val="auto"/>
                <w:sz w:val="24"/>
                <w:highlight w:val="none"/>
                <w:lang w:val="en-US" w:eastAsia="zh-CN"/>
              </w:rPr>
              <w:t>东南</w:t>
            </w:r>
            <w:r>
              <w:rPr>
                <w:rFonts w:hint="eastAsia"/>
                <w:color w:val="auto"/>
                <w:sz w:val="24"/>
                <w:highlight w:val="none"/>
              </w:rPr>
              <w:t>面，生产区位于位于厂区</w:t>
            </w:r>
            <w:r>
              <w:rPr>
                <w:rFonts w:hint="eastAsia"/>
                <w:color w:val="auto"/>
                <w:sz w:val="24"/>
                <w:highlight w:val="none"/>
                <w:lang w:val="en-US" w:eastAsia="zh-CN"/>
              </w:rPr>
              <w:t>北</w:t>
            </w:r>
            <w:r>
              <w:rPr>
                <w:rFonts w:hint="eastAsia"/>
                <w:color w:val="auto"/>
                <w:sz w:val="24"/>
                <w:highlight w:val="none"/>
              </w:rPr>
              <w:t>侧，</w:t>
            </w:r>
            <w:r>
              <w:rPr>
                <w:rFonts w:hint="eastAsia"/>
                <w:color w:val="auto"/>
                <w:sz w:val="24"/>
                <w:highlight w:val="none"/>
                <w:lang w:val="en-US" w:eastAsia="zh-CN"/>
              </w:rPr>
              <w:t>原料棚</w:t>
            </w:r>
            <w:r>
              <w:rPr>
                <w:rFonts w:hint="eastAsia"/>
                <w:color w:val="auto"/>
                <w:sz w:val="24"/>
                <w:highlight w:val="none"/>
              </w:rPr>
              <w:t>位于厂区西</w:t>
            </w:r>
            <w:r>
              <w:rPr>
                <w:rFonts w:hint="eastAsia"/>
                <w:color w:val="auto"/>
                <w:sz w:val="24"/>
                <w:highlight w:val="none"/>
                <w:lang w:val="en-US" w:eastAsia="zh-CN"/>
              </w:rPr>
              <w:t>北</w:t>
            </w:r>
            <w:r>
              <w:rPr>
                <w:rFonts w:hint="eastAsia"/>
                <w:color w:val="auto"/>
                <w:sz w:val="24"/>
                <w:highlight w:val="none"/>
              </w:rPr>
              <w:t>侧，为了保持厂区内车流畅通，便于原材料和产品出入和装卸，厂区</w:t>
            </w:r>
            <w:r>
              <w:rPr>
                <w:rFonts w:hint="eastAsia"/>
                <w:color w:val="auto"/>
                <w:sz w:val="24"/>
                <w:highlight w:val="none"/>
                <w:lang w:val="en-US" w:eastAsia="zh-CN"/>
              </w:rPr>
              <w:t>东</w:t>
            </w:r>
            <w:r>
              <w:rPr>
                <w:rFonts w:hint="eastAsia"/>
                <w:color w:val="auto"/>
                <w:sz w:val="24"/>
                <w:highlight w:val="none"/>
              </w:rPr>
              <w:t>面设置主出入口，连接</w:t>
            </w:r>
            <w:r>
              <w:rPr>
                <w:rFonts w:hint="eastAsia"/>
                <w:color w:val="auto"/>
                <w:sz w:val="24"/>
                <w:highlight w:val="none"/>
                <w:lang w:val="en-US" w:eastAsia="zh-CN"/>
              </w:rPr>
              <w:t>窑地路</w:t>
            </w:r>
            <w:r>
              <w:rPr>
                <w:rFonts w:hint="eastAsia"/>
                <w:color w:val="auto"/>
                <w:sz w:val="24"/>
                <w:highlight w:val="none"/>
              </w:rPr>
              <w:t>，厂区</w:t>
            </w:r>
            <w:r>
              <w:rPr>
                <w:rFonts w:hint="eastAsia"/>
                <w:color w:val="auto"/>
                <w:sz w:val="24"/>
                <w:highlight w:val="none"/>
                <w:lang w:val="en-US" w:eastAsia="zh-CN"/>
              </w:rPr>
              <w:t>中间</w:t>
            </w:r>
            <w:r>
              <w:rPr>
                <w:rFonts w:hint="eastAsia"/>
                <w:color w:val="auto"/>
                <w:sz w:val="24"/>
                <w:highlight w:val="none"/>
              </w:rPr>
              <w:t>设置装卸区，项目锅炉房烟囱设在厂区</w:t>
            </w:r>
            <w:r>
              <w:rPr>
                <w:rFonts w:hint="eastAsia"/>
                <w:color w:val="auto"/>
                <w:sz w:val="24"/>
                <w:highlight w:val="none"/>
                <w:lang w:val="en-US" w:eastAsia="zh-CN"/>
              </w:rPr>
              <w:t>东南</w:t>
            </w:r>
            <w:r>
              <w:rPr>
                <w:rFonts w:hint="eastAsia"/>
                <w:color w:val="auto"/>
                <w:sz w:val="24"/>
                <w:highlight w:val="none"/>
              </w:rPr>
              <w:t>侧，位于居民中心区常年最大风频的</w:t>
            </w:r>
            <w:r>
              <w:rPr>
                <w:rFonts w:hint="eastAsia"/>
                <w:color w:val="auto"/>
                <w:sz w:val="24"/>
                <w:highlight w:val="none"/>
                <w:lang w:val="en-US" w:eastAsia="zh-CN"/>
              </w:rPr>
              <w:t>侧</w:t>
            </w:r>
            <w:r>
              <w:rPr>
                <w:rFonts w:hint="eastAsia"/>
                <w:color w:val="auto"/>
                <w:sz w:val="24"/>
                <w:highlight w:val="none"/>
              </w:rPr>
              <w:t>风向，对周边居民影响较小，为减少厂区粉尘和噪声对周边环境影响，环评建议在厂区空地、路边及围墙侧种植杉树等树种以及其它花草等，形成多层次隔离带与防护林带，整个规划根据生产需求布置合理。项目厂区平面布置图详见附图</w:t>
            </w:r>
            <w:r>
              <w:rPr>
                <w:color w:val="auto"/>
                <w:sz w:val="24"/>
                <w:highlight w:val="none"/>
              </w:rPr>
              <w:t>。</w:t>
            </w:r>
          </w:p>
          <w:p w14:paraId="29E12482">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eastAsia" w:cs="Times New Roman"/>
                <w:b/>
                <w:bCs w:val="0"/>
                <w:color w:val="auto"/>
                <w:sz w:val="24"/>
                <w:highlight w:val="none"/>
                <w:lang w:val="en-US" w:eastAsia="zh-CN"/>
              </w:rPr>
            </w:pPr>
            <w:r>
              <w:rPr>
                <w:rFonts w:hint="eastAsia" w:cs="Times New Roman"/>
                <w:b/>
                <w:bCs w:val="0"/>
                <w:color w:val="auto"/>
                <w:sz w:val="24"/>
                <w:highlight w:val="none"/>
                <w:lang w:val="en-US" w:eastAsia="zh-CN"/>
              </w:rPr>
              <w:t>9、</w:t>
            </w:r>
            <w:r>
              <w:rPr>
                <w:rFonts w:hint="eastAsia" w:ascii="Times New Roman" w:hAnsi="Times New Roman" w:eastAsia="宋体" w:cs="Times New Roman"/>
                <w:b/>
                <w:bCs w:val="0"/>
                <w:color w:val="auto"/>
                <w:sz w:val="24"/>
                <w:highlight w:val="none"/>
                <w:lang w:val="en-US" w:eastAsia="zh-CN"/>
              </w:rPr>
              <w:t>劳动定员</w:t>
            </w:r>
            <w:r>
              <w:rPr>
                <w:rFonts w:hint="eastAsia" w:cs="Times New Roman"/>
                <w:b/>
                <w:bCs w:val="0"/>
                <w:color w:val="auto"/>
                <w:sz w:val="24"/>
                <w:highlight w:val="none"/>
                <w:lang w:val="en-US" w:eastAsia="zh-CN"/>
              </w:rPr>
              <w:t>及工作制度</w:t>
            </w:r>
          </w:p>
          <w:p w14:paraId="52D96D8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bCs/>
                <w:color w:val="auto"/>
                <w:sz w:val="24"/>
                <w:highlight w:val="none"/>
              </w:rPr>
            </w:pPr>
            <w:r>
              <w:rPr>
                <w:rFonts w:hint="eastAsia" w:ascii="Times New Roman" w:hAnsi="Times New Roman" w:eastAsia="宋体" w:cs="Times New Roman"/>
                <w:bCs/>
                <w:color w:val="auto"/>
                <w:sz w:val="24"/>
                <w:highlight w:val="none"/>
                <w:lang w:val="en-US" w:eastAsia="zh-CN"/>
              </w:rPr>
              <w:t>劳动定员</w:t>
            </w:r>
            <w:r>
              <w:rPr>
                <w:rFonts w:hint="eastAsia" w:cs="Times New Roman"/>
                <w:bCs/>
                <w:color w:val="auto"/>
                <w:sz w:val="24"/>
                <w:highlight w:val="none"/>
                <w:lang w:val="en-US" w:eastAsia="zh-CN"/>
              </w:rPr>
              <w:t>18</w:t>
            </w:r>
            <w:r>
              <w:rPr>
                <w:rFonts w:hint="eastAsia" w:ascii="Times New Roman" w:hAnsi="Times New Roman" w:eastAsia="宋体" w:cs="Times New Roman"/>
                <w:bCs/>
                <w:color w:val="auto"/>
                <w:sz w:val="24"/>
                <w:highlight w:val="none"/>
                <w:lang w:val="en-US" w:eastAsia="zh-CN"/>
              </w:rPr>
              <w:t>人</w:t>
            </w:r>
            <w:r>
              <w:rPr>
                <w:rFonts w:hint="eastAsia" w:cs="Times New Roman"/>
                <w:bCs/>
                <w:color w:val="auto"/>
                <w:sz w:val="24"/>
                <w:highlight w:val="none"/>
                <w:lang w:val="en-US" w:eastAsia="zh-CN"/>
              </w:rPr>
              <w:t>，厂内不提供食宿，每天工作8小时，一班制，全年营业270天。</w:t>
            </w:r>
          </w:p>
          <w:p w14:paraId="502C9736">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10、公用工程</w:t>
            </w:r>
          </w:p>
          <w:p w14:paraId="61F70D9F">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10</w:t>
            </w:r>
            <w:r>
              <w:rPr>
                <w:rFonts w:hint="eastAsia" w:ascii="Times New Roman" w:hAnsi="Times New Roman" w:eastAsia="宋体" w:cs="Times New Roman"/>
                <w:color w:val="auto"/>
                <w:sz w:val="24"/>
                <w:szCs w:val="24"/>
                <w:highlight w:val="none"/>
                <w:lang w:val="en-US" w:eastAsia="zh-CN"/>
              </w:rPr>
              <w:t>.1 给水</w:t>
            </w:r>
          </w:p>
          <w:p w14:paraId="1B961895">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项目用水由</w:t>
            </w:r>
            <w:r>
              <w:rPr>
                <w:rFonts w:hint="eastAsia" w:cs="Times New Roman"/>
                <w:color w:val="auto"/>
                <w:sz w:val="24"/>
                <w:szCs w:val="24"/>
                <w:highlight w:val="none"/>
                <w:lang w:val="en-US" w:eastAsia="zh-CN"/>
              </w:rPr>
              <w:t>当地供水管网</w:t>
            </w:r>
            <w:r>
              <w:rPr>
                <w:rFonts w:hint="eastAsia" w:ascii="Times New Roman" w:hAnsi="Times New Roman" w:eastAsia="宋体" w:cs="Times New Roman"/>
                <w:color w:val="auto"/>
                <w:sz w:val="24"/>
                <w:szCs w:val="24"/>
                <w:highlight w:val="none"/>
                <w:lang w:val="en-US" w:eastAsia="zh-CN"/>
              </w:rPr>
              <w:t>供给，项目用水主要包括生活用水</w:t>
            </w:r>
            <w:r>
              <w:rPr>
                <w:rFonts w:hint="eastAsia" w:cs="Times New Roman"/>
                <w:color w:val="auto"/>
                <w:sz w:val="24"/>
                <w:szCs w:val="24"/>
                <w:highlight w:val="none"/>
                <w:lang w:val="en-US" w:eastAsia="zh-CN"/>
              </w:rPr>
              <w:t>，无</w:t>
            </w:r>
            <w:r>
              <w:rPr>
                <w:rFonts w:hint="eastAsia" w:ascii="Times New Roman" w:hAnsi="Times New Roman" w:eastAsia="宋体" w:cs="Times New Roman"/>
                <w:color w:val="auto"/>
                <w:sz w:val="24"/>
                <w:szCs w:val="24"/>
                <w:highlight w:val="none"/>
                <w:lang w:val="en-US" w:eastAsia="zh-CN"/>
              </w:rPr>
              <w:t>生产用水。</w:t>
            </w:r>
          </w:p>
          <w:p w14:paraId="2F142DEF">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根据黑龙江省地方标准《用水定额》（DB23/T 727-20</w:t>
            </w:r>
            <w:r>
              <w:rPr>
                <w:rFonts w:hint="eastAsia" w:cs="Times New Roman"/>
                <w:color w:val="auto"/>
                <w:sz w:val="24"/>
                <w:szCs w:val="24"/>
                <w:highlight w:val="none"/>
                <w:lang w:val="en-US" w:eastAsia="zh-CN"/>
              </w:rPr>
              <w:t>25</w:t>
            </w:r>
            <w:r>
              <w:rPr>
                <w:rFonts w:hint="eastAsia" w:ascii="Times New Roman" w:hAnsi="Times New Roman" w:eastAsia="宋体" w:cs="Times New Roman"/>
                <w:color w:val="auto"/>
                <w:sz w:val="24"/>
                <w:szCs w:val="24"/>
                <w:highlight w:val="none"/>
                <w:lang w:val="en-US" w:eastAsia="zh-CN"/>
              </w:rPr>
              <w:t>），本项目工作定员</w:t>
            </w:r>
            <w:r>
              <w:rPr>
                <w:rFonts w:hint="eastAsia" w:cs="Times New Roman"/>
                <w:color w:val="auto"/>
                <w:sz w:val="24"/>
                <w:szCs w:val="24"/>
                <w:highlight w:val="none"/>
                <w:lang w:val="en-US" w:eastAsia="zh-CN"/>
              </w:rPr>
              <w:t>18</w:t>
            </w:r>
            <w:r>
              <w:rPr>
                <w:rFonts w:hint="eastAsia" w:ascii="Times New Roman" w:hAnsi="Times New Roman" w:eastAsia="宋体" w:cs="Times New Roman"/>
                <w:color w:val="auto"/>
                <w:sz w:val="24"/>
                <w:szCs w:val="24"/>
                <w:highlight w:val="none"/>
                <w:lang w:val="en-US" w:eastAsia="zh-CN"/>
              </w:rPr>
              <w:t>人，不提供食宿，生活用水按</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0L/人</w:t>
            </w:r>
            <w:r>
              <w:rPr>
                <w:rFonts w:hint="eastAsia" w:cs="Times New Roman"/>
                <w:color w:val="auto"/>
                <w:sz w:val="24"/>
                <w:szCs w:val="24"/>
                <w:highlight w:val="none"/>
                <w:lang w:val="en-US" w:eastAsia="zh-CN"/>
              </w:rPr>
              <w:t>/天</w:t>
            </w:r>
            <w:r>
              <w:rPr>
                <w:rFonts w:hint="eastAsia" w:ascii="Times New Roman" w:hAnsi="Times New Roman" w:eastAsia="宋体" w:cs="Times New Roman"/>
                <w:color w:val="auto"/>
                <w:sz w:val="24"/>
                <w:szCs w:val="24"/>
                <w:highlight w:val="none"/>
                <w:lang w:val="en-US" w:eastAsia="zh-CN"/>
              </w:rPr>
              <w:t>计算，工作时间按</w:t>
            </w:r>
            <w:r>
              <w:rPr>
                <w:rFonts w:hint="eastAsia" w:cs="Times New Roman"/>
                <w:color w:val="auto"/>
                <w:sz w:val="24"/>
                <w:szCs w:val="24"/>
                <w:highlight w:val="none"/>
                <w:lang w:val="en-US" w:eastAsia="zh-CN"/>
              </w:rPr>
              <w:t>270</w:t>
            </w:r>
            <w:r>
              <w:rPr>
                <w:rFonts w:hint="eastAsia" w:ascii="Times New Roman" w:hAnsi="Times New Roman" w:eastAsia="宋体" w:cs="Times New Roman"/>
                <w:color w:val="auto"/>
                <w:sz w:val="24"/>
                <w:szCs w:val="24"/>
                <w:highlight w:val="none"/>
                <w:lang w:val="en-US" w:eastAsia="zh-CN"/>
              </w:rPr>
              <w:t>天计，生活用水量为</w:t>
            </w:r>
            <w:r>
              <w:rPr>
                <w:rFonts w:hint="eastAsia" w:cs="Times New Roman"/>
                <w:color w:val="auto"/>
                <w:sz w:val="24"/>
                <w:szCs w:val="24"/>
                <w:highlight w:val="none"/>
                <w:lang w:val="en-US" w:eastAsia="zh-CN"/>
              </w:rPr>
              <w:t>0.72</w:t>
            </w:r>
            <w:r>
              <w:rPr>
                <w:rFonts w:hint="eastAsia" w:ascii="Times New Roman" w:hAnsi="Times New Roman" w:eastAsia="宋体" w:cs="Times New Roman"/>
                <w:color w:val="auto"/>
                <w:sz w:val="24"/>
                <w:szCs w:val="24"/>
                <w:highlight w:val="none"/>
                <w:lang w:val="en-US" w:eastAsia="zh-CN"/>
              </w:rPr>
              <w:t>t/d，年用水</w:t>
            </w:r>
            <w:r>
              <w:rPr>
                <w:rFonts w:hint="eastAsia" w:cs="Times New Roman"/>
                <w:color w:val="auto"/>
                <w:sz w:val="24"/>
                <w:szCs w:val="24"/>
                <w:highlight w:val="none"/>
                <w:lang w:val="en-US" w:eastAsia="zh-CN"/>
              </w:rPr>
              <w:t>194.4</w:t>
            </w:r>
            <w:r>
              <w:rPr>
                <w:rFonts w:hint="eastAsia" w:ascii="Times New Roman" w:hAnsi="Times New Roman" w:eastAsia="宋体" w:cs="Times New Roman"/>
                <w:color w:val="auto"/>
                <w:sz w:val="24"/>
                <w:szCs w:val="24"/>
                <w:highlight w:val="none"/>
                <w:lang w:val="en-US" w:eastAsia="zh-CN"/>
              </w:rPr>
              <w:t>t/a。</w:t>
            </w:r>
          </w:p>
          <w:p w14:paraId="0371F3CD">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综上，本项目总用水量为194.4t/a。</w:t>
            </w:r>
          </w:p>
          <w:p w14:paraId="6BF35A91">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10</w:t>
            </w:r>
            <w:r>
              <w:rPr>
                <w:rFonts w:hint="eastAsia" w:ascii="Times New Roman" w:hAnsi="Times New Roman" w:eastAsia="宋体" w:cs="Times New Roman"/>
                <w:color w:val="auto"/>
                <w:sz w:val="24"/>
                <w:szCs w:val="24"/>
                <w:highlight w:val="none"/>
                <w:lang w:val="en-US" w:eastAsia="zh-CN"/>
              </w:rPr>
              <w:t>.2 排水</w:t>
            </w:r>
          </w:p>
          <w:p w14:paraId="79F95A8F">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本项目运行期废水主要为生活污水。</w:t>
            </w:r>
          </w:p>
          <w:p w14:paraId="762E05F8">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生活污水排放系数约为0.8，本项目生活用水量为</w:t>
            </w:r>
            <w:r>
              <w:rPr>
                <w:rFonts w:hint="eastAsia" w:cs="Times New Roman"/>
                <w:color w:val="auto"/>
                <w:sz w:val="24"/>
                <w:szCs w:val="24"/>
                <w:highlight w:val="none"/>
                <w:lang w:val="en-US" w:eastAsia="zh-CN"/>
              </w:rPr>
              <w:t>0.72</w:t>
            </w:r>
            <w:r>
              <w:rPr>
                <w:rFonts w:hint="eastAsia" w:ascii="Times New Roman" w:hAnsi="Times New Roman" w:eastAsia="宋体" w:cs="Times New Roman"/>
                <w:color w:val="auto"/>
                <w:sz w:val="24"/>
                <w:szCs w:val="24"/>
                <w:highlight w:val="none"/>
                <w:lang w:val="en-US" w:eastAsia="zh-CN"/>
              </w:rPr>
              <w:t>t/d，</w:t>
            </w:r>
            <w:r>
              <w:rPr>
                <w:rFonts w:hint="eastAsia" w:cs="Times New Roman"/>
                <w:color w:val="auto"/>
                <w:sz w:val="24"/>
                <w:szCs w:val="24"/>
                <w:highlight w:val="none"/>
                <w:lang w:val="en-US" w:eastAsia="zh-CN"/>
              </w:rPr>
              <w:t>194.4</w:t>
            </w:r>
            <w:r>
              <w:rPr>
                <w:rFonts w:hint="eastAsia" w:ascii="Times New Roman" w:hAnsi="Times New Roman" w:eastAsia="宋体" w:cs="Times New Roman"/>
                <w:color w:val="auto"/>
                <w:sz w:val="24"/>
                <w:szCs w:val="24"/>
                <w:highlight w:val="none"/>
                <w:lang w:val="en-US" w:eastAsia="zh-CN"/>
              </w:rPr>
              <w:t>t/a，则生活污水产生量约为</w:t>
            </w:r>
            <w:r>
              <w:rPr>
                <w:rFonts w:hint="eastAsia" w:cs="Times New Roman"/>
                <w:color w:val="auto"/>
                <w:sz w:val="24"/>
                <w:szCs w:val="24"/>
                <w:highlight w:val="none"/>
                <w:lang w:val="en-US" w:eastAsia="zh-CN"/>
              </w:rPr>
              <w:t>0.576</w:t>
            </w:r>
            <w:r>
              <w:rPr>
                <w:rFonts w:hint="eastAsia" w:ascii="Times New Roman" w:hAnsi="Times New Roman" w:eastAsia="宋体" w:cs="Times New Roman"/>
                <w:color w:val="auto"/>
                <w:sz w:val="24"/>
                <w:szCs w:val="24"/>
                <w:highlight w:val="none"/>
                <w:lang w:val="en-US" w:eastAsia="zh-CN"/>
              </w:rPr>
              <w:t>t/d、</w:t>
            </w:r>
            <w:r>
              <w:rPr>
                <w:rFonts w:hint="eastAsia" w:cs="Times New Roman"/>
                <w:color w:val="auto"/>
                <w:sz w:val="24"/>
                <w:szCs w:val="24"/>
                <w:highlight w:val="none"/>
                <w:lang w:val="en-US" w:eastAsia="zh-CN"/>
              </w:rPr>
              <w:t>155.52</w:t>
            </w:r>
            <w:r>
              <w:rPr>
                <w:rFonts w:hint="eastAsia" w:ascii="Times New Roman" w:hAnsi="Times New Roman" w:eastAsia="宋体" w:cs="Times New Roman"/>
                <w:color w:val="auto"/>
                <w:sz w:val="24"/>
                <w:szCs w:val="24"/>
                <w:highlight w:val="none"/>
                <w:lang w:val="en-US" w:eastAsia="zh-CN"/>
              </w:rPr>
              <w:t>t/a，生活污水</w:t>
            </w:r>
            <w:r>
              <w:rPr>
                <w:rFonts w:hint="eastAsia" w:cs="Times New Roman"/>
                <w:color w:val="auto"/>
                <w:sz w:val="24"/>
                <w:szCs w:val="24"/>
                <w:highlight w:val="none"/>
                <w:lang w:val="en-US" w:eastAsia="zh-CN"/>
              </w:rPr>
              <w:t>经化粪池</w:t>
            </w:r>
            <w:r>
              <w:rPr>
                <w:rFonts w:hint="eastAsia" w:ascii="Times New Roman" w:hAnsi="Times New Roman" w:eastAsia="宋体" w:cs="Times New Roman"/>
                <w:color w:val="auto"/>
                <w:sz w:val="24"/>
                <w:szCs w:val="24"/>
                <w:highlight w:val="none"/>
                <w:lang w:val="en-US" w:eastAsia="zh-CN"/>
              </w:rPr>
              <w:t>处理后</w:t>
            </w:r>
            <w:r>
              <w:rPr>
                <w:rFonts w:hint="eastAsia" w:ascii="Times New Roman" w:hAnsi="Times New Roman" w:eastAsia="宋体" w:cs="宋体"/>
                <w:b w:val="0"/>
                <w:bCs w:val="0"/>
                <w:caps w:val="0"/>
                <w:color w:val="auto"/>
                <w:kern w:val="2"/>
                <w:sz w:val="24"/>
                <w:szCs w:val="24"/>
                <w:u w:val="none" w:color="000000"/>
                <w:lang w:val="en-US" w:eastAsia="zh-CN" w:bidi="ar-SA"/>
              </w:rPr>
              <w:t>满足《污水综合排放标准》</w:t>
            </w:r>
            <w:r>
              <w:rPr>
                <w:rFonts w:hint="eastAsia" w:ascii="Times New Roman" w:hAnsi="Times New Roman" w:eastAsia="宋体" w:cs="宋体"/>
                <w:b w:val="0"/>
                <w:bCs w:val="0"/>
                <w:caps w:val="0"/>
                <w:color w:val="auto"/>
                <w:kern w:val="2"/>
                <w:sz w:val="24"/>
                <w:szCs w:val="24"/>
                <w:u w:val="none" w:color="000000"/>
                <w:lang w:val="en-US" w:eastAsia="zh-CN" w:bidi="ar-SA"/>
              </w:rPr>
              <w:fldChar w:fldCharType="begin"/>
            </w:r>
            <w:r>
              <w:rPr>
                <w:rFonts w:hint="eastAsia" w:ascii="Times New Roman" w:hAnsi="Times New Roman" w:eastAsia="宋体" w:cs="宋体"/>
                <w:b w:val="0"/>
                <w:bCs w:val="0"/>
                <w:caps w:val="0"/>
                <w:color w:val="auto"/>
                <w:kern w:val="2"/>
                <w:sz w:val="24"/>
                <w:szCs w:val="24"/>
                <w:u w:val="none" w:color="000000"/>
                <w:lang w:val="en-US" w:eastAsia="zh-CN" w:bidi="ar-SA"/>
              </w:rPr>
              <w:instrText xml:space="preserve"> HYPERLINK "https://www.mee.gov.cn/ywgz/fgbz/bz/bzwb/shjbh/swrwpfbz/199801/W020061027521858212955.pdf" \t "https://www.mee.gov.cn/ywgz/fgbz/bz/bzwb/shjbh/swrwpfbz/199801/_self" </w:instrText>
            </w:r>
            <w:r>
              <w:rPr>
                <w:rFonts w:hint="eastAsia" w:ascii="Times New Roman" w:hAnsi="Times New Roman" w:eastAsia="宋体" w:cs="宋体"/>
                <w:b w:val="0"/>
                <w:bCs w:val="0"/>
                <w:caps w:val="0"/>
                <w:color w:val="auto"/>
                <w:kern w:val="2"/>
                <w:sz w:val="24"/>
                <w:szCs w:val="24"/>
                <w:u w:val="none" w:color="000000"/>
                <w:lang w:val="en-US" w:eastAsia="zh-CN" w:bidi="ar-SA"/>
              </w:rPr>
              <w:fldChar w:fldCharType="separate"/>
            </w:r>
            <w:r>
              <w:rPr>
                <w:rFonts w:hint="eastAsia" w:ascii="Times New Roman" w:hAnsi="Times New Roman" w:eastAsia="宋体" w:cs="宋体"/>
                <w:b w:val="0"/>
                <w:bCs w:val="0"/>
                <w:caps w:val="0"/>
                <w:color w:val="auto"/>
                <w:kern w:val="2"/>
                <w:sz w:val="24"/>
                <w:szCs w:val="24"/>
                <w:u w:val="none" w:color="000000"/>
                <w:lang w:val="en-US" w:eastAsia="zh-CN" w:bidi="ar-SA"/>
              </w:rPr>
              <w:t>（GB 8978-1996）</w:t>
            </w:r>
            <w:r>
              <w:rPr>
                <w:rFonts w:hint="eastAsia" w:ascii="Times New Roman" w:hAnsi="Times New Roman" w:eastAsia="宋体" w:cs="宋体"/>
                <w:b w:val="0"/>
                <w:bCs w:val="0"/>
                <w:caps w:val="0"/>
                <w:color w:val="auto"/>
                <w:kern w:val="2"/>
                <w:sz w:val="24"/>
                <w:szCs w:val="24"/>
                <w:u w:val="none" w:color="000000"/>
                <w:lang w:val="en-US" w:eastAsia="zh-CN" w:bidi="ar-SA"/>
              </w:rPr>
              <w:fldChar w:fldCharType="end"/>
            </w:r>
            <w:r>
              <w:rPr>
                <w:rFonts w:hint="eastAsia" w:ascii="Times New Roman" w:hAnsi="Times New Roman" w:eastAsia="宋体" w:cs="宋体"/>
                <w:b w:val="0"/>
                <w:bCs w:val="0"/>
                <w:caps w:val="0"/>
                <w:color w:val="auto"/>
                <w:kern w:val="2"/>
                <w:sz w:val="24"/>
                <w:szCs w:val="24"/>
                <w:u w:val="none" w:color="000000"/>
                <w:lang w:val="en-US" w:eastAsia="zh-CN" w:bidi="ar-SA"/>
              </w:rPr>
              <w:t>三级标准</w:t>
            </w:r>
            <w:r>
              <w:rPr>
                <w:rFonts w:hint="eastAsia" w:cs="Times New Roman"/>
                <w:color w:val="auto"/>
                <w:sz w:val="24"/>
                <w:szCs w:val="24"/>
                <w:highlight w:val="none"/>
                <w:lang w:val="en-US" w:eastAsia="zh-CN"/>
              </w:rPr>
              <w:t>排入市政污水管网</w:t>
            </w:r>
            <w:r>
              <w:rPr>
                <w:rFonts w:hint="eastAsia" w:ascii="Times New Roman" w:hAnsi="Times New Roman" w:eastAsia="宋体" w:cs="Times New Roman"/>
                <w:color w:val="auto"/>
                <w:sz w:val="24"/>
                <w:szCs w:val="24"/>
                <w:highlight w:val="none"/>
                <w:lang w:val="en-US" w:eastAsia="zh-CN"/>
              </w:rPr>
              <w:t>。</w:t>
            </w:r>
          </w:p>
          <w:p w14:paraId="0E4E284C">
            <w:pPr>
              <w:keepNext w:val="0"/>
              <w:keepLines w:val="0"/>
              <w:pageBreakBefore w:val="0"/>
              <w:kinsoku/>
              <w:wordWrap/>
              <w:overflowPunct/>
              <w:topLinePunct w:val="0"/>
              <w:autoSpaceDE/>
              <w:autoSpaceDN/>
              <w:bidi w:val="0"/>
              <w:adjustRightInd/>
              <w:spacing w:line="500" w:lineRule="exact"/>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综上，本项目总排污水量为155.52t/a。</w:t>
            </w:r>
          </w:p>
          <w:p w14:paraId="3BE92EBD">
            <w:pPr>
              <w:keepNext w:val="0"/>
              <w:keepLines w:val="0"/>
              <w:pageBreakBefore w:val="0"/>
              <w:kinsoku/>
              <w:wordWrap/>
              <w:overflowPunct/>
              <w:topLinePunct w:val="0"/>
              <w:autoSpaceDE/>
              <w:autoSpaceDN/>
              <w:bidi w:val="0"/>
              <w:adjustRightInd/>
              <w:spacing w:line="500" w:lineRule="exact"/>
              <w:ind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项目水平衡图详见下图。</w:t>
            </w:r>
          </w:p>
          <w:p w14:paraId="53BBED33">
            <w:pPr>
              <w:rPr>
                <w:rFonts w:hint="default" w:ascii="Times New Roman" w:hAnsi="Times New Roman" w:cs="Times New Roman"/>
                <w:b/>
                <w:color w:val="auto"/>
                <w:highlight w:val="none"/>
                <w:u w:val="none" w:color="auto"/>
              </w:rPr>
            </w:pP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74624" behindDoc="0" locked="0" layoutInCell="1" allowOverlap="1">
                      <wp:simplePos x="0" y="0"/>
                      <wp:positionH relativeFrom="column">
                        <wp:posOffset>1922780</wp:posOffset>
                      </wp:positionH>
                      <wp:positionV relativeFrom="paragraph">
                        <wp:posOffset>45085</wp:posOffset>
                      </wp:positionV>
                      <wp:extent cx="703580" cy="271780"/>
                      <wp:effectExtent l="0" t="0" r="0" b="0"/>
                      <wp:wrapNone/>
                      <wp:docPr id="78" name="矩形 78"/>
                      <wp:cNvGraphicFramePr/>
                      <a:graphic xmlns:a="http://schemas.openxmlformats.org/drawingml/2006/main">
                        <a:graphicData uri="http://schemas.microsoft.com/office/word/2010/wordprocessingShape">
                          <wps:wsp>
                            <wps:cNvSpPr/>
                            <wps:spPr>
                              <a:xfrm>
                                <a:off x="0" y="0"/>
                                <a:ext cx="703580" cy="271780"/>
                              </a:xfrm>
                              <a:prstGeom prst="rect">
                                <a:avLst/>
                              </a:prstGeom>
                              <a:noFill/>
                              <a:ln>
                                <a:noFill/>
                              </a:ln>
                            </wps:spPr>
                            <wps:txbx>
                              <w:txbxContent>
                                <w:p w14:paraId="1E9E6E36">
                                  <w:pPr>
                                    <w:jc w:val="center"/>
                                    <w:rPr>
                                      <w:rFonts w:hint="default" w:eastAsia="宋体"/>
                                      <w:lang w:val="en-US" w:eastAsia="zh-CN"/>
                                    </w:rPr>
                                  </w:pPr>
                                  <w:r>
                                    <w:rPr>
                                      <w:rFonts w:hint="eastAsia"/>
                                    </w:rPr>
                                    <w:t>损失</w:t>
                                  </w:r>
                                  <w:r>
                                    <w:rPr>
                                      <w:rFonts w:hint="eastAsia"/>
                                      <w:lang w:val="en-US" w:eastAsia="zh-CN"/>
                                    </w:rPr>
                                    <w:t>38.88</w:t>
                                  </w:r>
                                </w:p>
                              </w:txbxContent>
                            </wps:txbx>
                            <wps:bodyPr lIns="0" tIns="0" rIns="0" bIns="0" upright="1"/>
                          </wps:wsp>
                        </a:graphicData>
                      </a:graphic>
                    </wp:anchor>
                  </w:drawing>
                </mc:Choice>
                <mc:Fallback>
                  <w:pict>
                    <v:rect id="_x0000_s1026" o:spid="_x0000_s1026" o:spt="1" style="position:absolute;left:0pt;margin-left:151.4pt;margin-top:3.55pt;height:21.4pt;width:55.4pt;z-index:251674624;mso-width-relative:page;mso-height-relative:page;" filled="f" stroked="f" coordsize="21600,21600" o:gfxdata="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8bD7&#10;EdkAAAAIAQAADwAAAAAAAAABACAAAAAiAAAAZHJzL2Rvd25yZXYueG1sUEsBAhQAFAAAAAgAh07i&#10;QADi4I+vAQAAZgMAAA4AAAAAAAAAAQAgAAAAKAEAAGRycy9lMm9Eb2MueG1sUEsFBgAAAAAGAAYA&#10;WQEAAEkFAAAAAA==&#10;">
                      <v:fill on="f" focussize="0,0"/>
                      <v:stroke on="f"/>
                      <v:imagedata o:title=""/>
                      <o:lock v:ext="edit" aspectratio="f"/>
                      <v:textbox inset="0mm,0mm,0mm,0mm">
                        <w:txbxContent>
                          <w:p w14:paraId="1E9E6E36">
                            <w:pPr>
                              <w:jc w:val="center"/>
                              <w:rPr>
                                <w:rFonts w:hint="default" w:eastAsia="宋体"/>
                                <w:lang w:val="en-US" w:eastAsia="zh-CN"/>
                              </w:rPr>
                            </w:pPr>
                            <w:r>
                              <w:rPr>
                                <w:rFonts w:hint="eastAsia"/>
                              </w:rPr>
                              <w:t>损失</w:t>
                            </w:r>
                            <w:r>
                              <w:rPr>
                                <w:rFonts w:hint="eastAsia"/>
                                <w:lang w:val="en-US" w:eastAsia="zh-CN"/>
                              </w:rPr>
                              <w:t>38.88</w:t>
                            </w:r>
                          </w:p>
                        </w:txbxContent>
                      </v:textbox>
                    </v:rect>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76672" behindDoc="0" locked="0" layoutInCell="1" allowOverlap="1">
                      <wp:simplePos x="0" y="0"/>
                      <wp:positionH relativeFrom="column">
                        <wp:posOffset>1740535</wp:posOffset>
                      </wp:positionH>
                      <wp:positionV relativeFrom="paragraph">
                        <wp:posOffset>146685</wp:posOffset>
                      </wp:positionV>
                      <wp:extent cx="232410" cy="217170"/>
                      <wp:effectExtent l="0" t="8890" r="15240" b="21590"/>
                      <wp:wrapNone/>
                      <wp:docPr id="87" name="曲线连接符 87"/>
                      <wp:cNvGraphicFramePr/>
                      <a:graphic xmlns:a="http://schemas.openxmlformats.org/drawingml/2006/main">
                        <a:graphicData uri="http://schemas.microsoft.com/office/word/2010/wordprocessingShape">
                          <wps:wsp>
                            <wps:cNvCnPr/>
                            <wps:spPr>
                              <a:xfrm flipV="1">
                                <a:off x="0" y="0"/>
                                <a:ext cx="232410" cy="217170"/>
                              </a:xfrm>
                              <a:prstGeom prst="curvedConnector3">
                                <a:avLst>
                                  <a:gd name="adj1" fmla="val 50273"/>
                                </a:avLst>
                              </a:prstGeom>
                              <a:ln w="6350" cap="flat" cmpd="sng">
                                <a:solidFill>
                                  <a:srgbClr val="000000"/>
                                </a:solidFill>
                                <a:prstDash val="dash"/>
                                <a:headEnd type="none" w="med" len="med"/>
                                <a:tailEnd type="triangle" w="med" len="med"/>
                              </a:ln>
                            </wps:spPr>
                            <wps:bodyPr/>
                          </wps:wsp>
                        </a:graphicData>
                      </a:graphic>
                    </wp:anchor>
                  </w:drawing>
                </mc:Choice>
                <mc:Fallback>
                  <w:pict>
                    <v:shape id="_x0000_s1026" o:spid="_x0000_s1026" o:spt="38" type="#_x0000_t38" style="position:absolute;left:0pt;flip:y;margin-left:137.05pt;margin-top:11.55pt;height:17.1pt;width:18.3pt;z-index:251676672;mso-width-relative:page;mso-height-relative:page;" filled="f" stroked="t" coordsize="21600,21600" o:gfxdata="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Cw&#10;TP3YAAAACQEAAA8AAAAAAAAAAQAgAAAAIgAAAGRycy9kb3ducmV2LnhtbFBLAQIUABQAAAAIAIdO&#10;4kCY/P42IwIAACQEAAAOAAAAAAAAAAEAIAAAACcBAABkcnMvZTJvRG9jLnhtbFBLBQYAAAAABgAG&#10;AFkBAAC8BQAAAAA=&#10;" adj="10859">
                      <v:fill on="f" focussize="0,0"/>
                      <v:stroke weight="0.5pt" color="#000000" joinstyle="round" dashstyle="dash" endarrow="block"/>
                      <v:imagedata o:title=""/>
                      <o:lock v:ext="edit" aspectratio="f"/>
                    </v:shape>
                  </w:pict>
                </mc:Fallback>
              </mc:AlternateContent>
            </w:r>
          </w:p>
          <w:p w14:paraId="6F40E4FD">
            <w:pPr>
              <w:rPr>
                <w:rFonts w:hint="default" w:ascii="Times New Roman" w:hAnsi="Times New Roman" w:cs="Times New Roman"/>
                <w:b/>
                <w:color w:val="auto"/>
                <w:highlight w:val="none"/>
                <w:u w:val="none" w:color="auto"/>
              </w:rPr>
            </w:pP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75648" behindDoc="0" locked="0" layoutInCell="1" allowOverlap="1">
                      <wp:simplePos x="0" y="0"/>
                      <wp:positionH relativeFrom="column">
                        <wp:posOffset>3712845</wp:posOffset>
                      </wp:positionH>
                      <wp:positionV relativeFrom="paragraph">
                        <wp:posOffset>153670</wp:posOffset>
                      </wp:positionV>
                      <wp:extent cx="594360" cy="317500"/>
                      <wp:effectExtent l="0" t="0" r="0" b="0"/>
                      <wp:wrapNone/>
                      <wp:docPr id="92" name="矩形 92"/>
                      <wp:cNvGraphicFramePr/>
                      <a:graphic xmlns:a="http://schemas.openxmlformats.org/drawingml/2006/main">
                        <a:graphicData uri="http://schemas.microsoft.com/office/word/2010/wordprocessingShape">
                          <wps:wsp>
                            <wps:cNvSpPr>
                              <a:spLocks noChangeArrowheads="1"/>
                            </wps:cNvSpPr>
                            <wps:spPr bwMode="auto">
                              <a:xfrm>
                                <a:off x="0" y="0"/>
                                <a:ext cx="464820" cy="317500"/>
                              </a:xfrm>
                              <a:prstGeom prst="rect">
                                <a:avLst/>
                              </a:prstGeom>
                              <a:noFill/>
                              <a:ln>
                                <a:noFill/>
                              </a:ln>
                              <a:effectLst/>
                            </wps:spPr>
                            <wps:txbx>
                              <w:txbxContent>
                                <w:p w14:paraId="6FB57D87">
                                  <w:pPr>
                                    <w:rPr>
                                      <w:rFonts w:hint="default" w:eastAsia="宋体"/>
                                      <w:lang w:val="en-US" w:eastAsia="zh-CN"/>
                                    </w:rPr>
                                  </w:pPr>
                                  <w:r>
                                    <w:rPr>
                                      <w:rFonts w:hint="eastAsia"/>
                                      <w:lang w:val="en-US" w:eastAsia="zh-CN"/>
                                    </w:rPr>
                                    <w:t>155.52</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92.35pt;margin-top:12.1pt;height:25pt;width:46.8pt;z-index:251675648;mso-width-relative:page;mso-height-relative:page;" filled="f" stroked="f" coordsize="21600,21600" o:gfxdata="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ma6eS2gAAAAkBAAAPAAAAAAAA&#10;AAEAIAAAACIAAABkcnMvZG93bnJldi54bWxQSwECFAAUAAAACACHTuJAmYg2oxACAAAXBAAADgAA&#10;AAAAAAABACAAAAApAQAAZHJzL2Uyb0RvYy54bWxQSwUGAAAAAAYABgBZAQAAqwUAAAAA&#10;">
                      <v:fill on="f" focussize="0,0"/>
                      <v:stroke on="f"/>
                      <v:imagedata o:title=""/>
                      <o:lock v:ext="edit" aspectratio="f"/>
                      <v:textbox>
                        <w:txbxContent>
                          <w:p w14:paraId="6FB57D87">
                            <w:pPr>
                              <w:rPr>
                                <w:rFonts w:hint="default" w:eastAsia="宋体"/>
                                <w:lang w:val="en-US" w:eastAsia="zh-CN"/>
                              </w:rPr>
                            </w:pPr>
                            <w:r>
                              <w:rPr>
                                <w:rFonts w:hint="eastAsia"/>
                                <w:lang w:val="en-US" w:eastAsia="zh-CN"/>
                              </w:rPr>
                              <w:t>155.52</w:t>
                            </w:r>
                          </w:p>
                        </w:txbxContent>
                      </v:textbox>
                    </v:rect>
                  </w:pict>
                </mc:Fallback>
              </mc:AlternateContent>
            </w:r>
          </w:p>
          <w:p w14:paraId="5CECB3BB">
            <w:pPr>
              <w:jc w:val="center"/>
              <w:rPr>
                <w:rFonts w:hint="default" w:ascii="Times New Roman" w:hAnsi="Times New Roman" w:cs="Times New Roman"/>
                <w:b/>
                <w:color w:val="auto"/>
                <w:highlight w:val="none"/>
                <w:u w:val="none" w:color="auto"/>
              </w:rPr>
            </w:pP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73600" behindDoc="0" locked="0" layoutInCell="1" allowOverlap="1">
                      <wp:simplePos x="0" y="0"/>
                      <wp:positionH relativeFrom="column">
                        <wp:posOffset>784860</wp:posOffset>
                      </wp:positionH>
                      <wp:positionV relativeFrom="paragraph">
                        <wp:posOffset>4445</wp:posOffset>
                      </wp:positionV>
                      <wp:extent cx="552450" cy="295275"/>
                      <wp:effectExtent l="0" t="0" r="0" b="0"/>
                      <wp:wrapNone/>
                      <wp:docPr id="88" name="矩形 88"/>
                      <wp:cNvGraphicFramePr/>
                      <a:graphic xmlns:a="http://schemas.openxmlformats.org/drawingml/2006/main">
                        <a:graphicData uri="http://schemas.microsoft.com/office/word/2010/wordprocessingShape">
                          <wps:wsp>
                            <wps:cNvSpPr>
                              <a:spLocks noChangeArrowheads="1"/>
                            </wps:cNvSpPr>
                            <wps:spPr bwMode="auto">
                              <a:xfrm>
                                <a:off x="0" y="0"/>
                                <a:ext cx="552450" cy="317500"/>
                              </a:xfrm>
                              <a:prstGeom prst="rect">
                                <a:avLst/>
                              </a:prstGeom>
                              <a:noFill/>
                              <a:ln>
                                <a:noFill/>
                              </a:ln>
                              <a:effectLst/>
                            </wps:spPr>
                            <wps:txbx>
                              <w:txbxContent>
                                <w:p w14:paraId="0DCC7528">
                                  <w:pPr>
                                    <w:rPr>
                                      <w:rFonts w:hint="default" w:eastAsia="宋体"/>
                                      <w:lang w:val="en-US" w:eastAsia="zh-CN"/>
                                    </w:rPr>
                                  </w:pPr>
                                  <w:r>
                                    <w:rPr>
                                      <w:rFonts w:hint="eastAsia"/>
                                      <w:lang w:val="en-US" w:eastAsia="zh-CN"/>
                                    </w:rPr>
                                    <w:t>194.4</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61.8pt;margin-top:0.35pt;height:23.25pt;width:43.5pt;z-index:251673600;mso-width-relative:page;mso-height-relative:page;" filled="f" stroked="f" coordsize="21600,21600" o:gfxdata="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YTCJ1gAAAAcBAAAPAAAAAAAAAAEA&#10;IAAAACIAAABkcnMvZG93bnJldi54bWxQSwECFAAUAAAACACHTuJAfHUKsRECAAAXBAAADgAAAAAA&#10;AAABACAAAAAlAQAAZHJzL2Uyb0RvYy54bWxQSwUGAAAAAAYABgBZAQAAqAUAAAAA&#10;">
                      <v:fill on="f" focussize="0,0"/>
                      <v:stroke on="f"/>
                      <v:imagedata o:title=""/>
                      <o:lock v:ext="edit" aspectratio="f"/>
                      <v:textbox>
                        <w:txbxContent>
                          <w:p w14:paraId="0DCC7528">
                            <w:pPr>
                              <w:rPr>
                                <w:rFonts w:hint="default" w:eastAsia="宋体"/>
                                <w:lang w:val="en-US" w:eastAsia="zh-CN"/>
                              </w:rPr>
                            </w:pPr>
                            <w:r>
                              <w:rPr>
                                <w:rFonts w:hint="eastAsia"/>
                                <w:lang w:val="en-US" w:eastAsia="zh-CN"/>
                              </w:rPr>
                              <w:t>194.4</w:t>
                            </w:r>
                          </w:p>
                        </w:txbxContent>
                      </v:textbox>
                    </v:rect>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70528" behindDoc="0" locked="0" layoutInCell="1" allowOverlap="1">
                      <wp:simplePos x="0" y="0"/>
                      <wp:positionH relativeFrom="column">
                        <wp:posOffset>4305935</wp:posOffset>
                      </wp:positionH>
                      <wp:positionV relativeFrom="paragraph">
                        <wp:posOffset>113665</wp:posOffset>
                      </wp:positionV>
                      <wp:extent cx="831215" cy="533400"/>
                      <wp:effectExtent l="0" t="0" r="0" b="0"/>
                      <wp:wrapNone/>
                      <wp:docPr id="84" name="矩形 84"/>
                      <wp:cNvGraphicFramePr/>
                      <a:graphic xmlns:a="http://schemas.openxmlformats.org/drawingml/2006/main">
                        <a:graphicData uri="http://schemas.microsoft.com/office/word/2010/wordprocessingShape">
                          <wps:wsp>
                            <wps:cNvSpPr/>
                            <wps:spPr>
                              <a:xfrm>
                                <a:off x="0" y="0"/>
                                <a:ext cx="831215" cy="533400"/>
                              </a:xfrm>
                              <a:prstGeom prst="rect">
                                <a:avLst/>
                              </a:prstGeom>
                              <a:noFill/>
                              <a:ln>
                                <a:noFill/>
                              </a:ln>
                            </wps:spPr>
                            <wps:txbx>
                              <w:txbxContent>
                                <w:p w14:paraId="25A3B3D2">
                                  <w:pPr>
                                    <w:spacing w:line="240" w:lineRule="auto"/>
                                    <w:rPr>
                                      <w:rFonts w:hint="eastAsia" w:eastAsia="宋体"/>
                                      <w:sz w:val="21"/>
                                      <w:szCs w:val="21"/>
                                      <w:lang w:val="en-US" w:eastAsia="zh-CN"/>
                                    </w:rPr>
                                  </w:pPr>
                                  <w:r>
                                    <w:rPr>
                                      <w:rFonts w:hint="eastAsia"/>
                                      <w:sz w:val="21"/>
                                      <w:szCs w:val="21"/>
                                      <w:lang w:val="en-US" w:eastAsia="zh-CN"/>
                                    </w:rPr>
                                    <w:t>市政污水管网</w:t>
                                  </w:r>
                                </w:p>
                              </w:txbxContent>
                            </wps:txbx>
                            <wps:bodyPr lIns="0" tIns="0" rIns="0" bIns="0" upright="1"/>
                          </wps:wsp>
                        </a:graphicData>
                      </a:graphic>
                    </wp:anchor>
                  </w:drawing>
                </mc:Choice>
                <mc:Fallback>
                  <w:pict>
                    <v:rect id="_x0000_s1026" o:spid="_x0000_s1026" o:spt="1" style="position:absolute;left:0pt;margin-left:339.05pt;margin-top:8.95pt;height:42pt;width:65.45pt;z-index:251670528;mso-width-relative:page;mso-height-relative:page;" filled="f" stroked="f" coordsize="21600,21600" o:gfxdata="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o&#10;loeN2QAAAAoBAAAPAAAAAAAAAAEAIAAAACIAAABkcnMvZG93bnJldi54bWxQSwECFAAUAAAACACH&#10;TuJAmegR0LEBAABmAwAADgAAAAAAAAABACAAAAAoAQAAZHJzL2Uyb0RvYy54bWxQSwUGAAAAAAYA&#10;BgBZAQAASwUAAAAA&#10;">
                      <v:fill on="f" focussize="0,0"/>
                      <v:stroke on="f"/>
                      <v:imagedata o:title=""/>
                      <o:lock v:ext="edit" aspectratio="f"/>
                      <v:textbox inset="0mm,0mm,0mm,0mm">
                        <w:txbxContent>
                          <w:p w14:paraId="25A3B3D2">
                            <w:pPr>
                              <w:spacing w:line="240" w:lineRule="auto"/>
                              <w:rPr>
                                <w:rFonts w:hint="eastAsia" w:eastAsia="宋体"/>
                                <w:sz w:val="21"/>
                                <w:szCs w:val="21"/>
                                <w:lang w:val="en-US" w:eastAsia="zh-CN"/>
                              </w:rPr>
                            </w:pPr>
                            <w:r>
                              <w:rPr>
                                <w:rFonts w:hint="eastAsia"/>
                                <w:sz w:val="21"/>
                                <w:szCs w:val="21"/>
                                <w:lang w:val="en-US" w:eastAsia="zh-CN"/>
                              </w:rPr>
                              <w:t>市政污水管网</w:t>
                            </w:r>
                          </w:p>
                        </w:txbxContent>
                      </v:textbox>
                    </v:rect>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9504" behindDoc="0" locked="0" layoutInCell="1" allowOverlap="1">
                      <wp:simplePos x="0" y="0"/>
                      <wp:positionH relativeFrom="column">
                        <wp:posOffset>2902585</wp:posOffset>
                      </wp:positionH>
                      <wp:positionV relativeFrom="paragraph">
                        <wp:posOffset>93345</wp:posOffset>
                      </wp:positionV>
                      <wp:extent cx="809625" cy="270510"/>
                      <wp:effectExtent l="4445" t="5080" r="5080" b="10160"/>
                      <wp:wrapNone/>
                      <wp:docPr id="91" name="矩形 91"/>
                      <wp:cNvGraphicFramePr/>
                      <a:graphic xmlns:a="http://schemas.openxmlformats.org/drawingml/2006/main">
                        <a:graphicData uri="http://schemas.microsoft.com/office/word/2010/wordprocessingShape">
                          <wps:wsp>
                            <wps:cNvSpPr/>
                            <wps:spPr>
                              <a:xfrm>
                                <a:off x="0" y="0"/>
                                <a:ext cx="809625" cy="2705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CB99211">
                                  <w:pPr>
                                    <w:jc w:val="center"/>
                                  </w:pPr>
                                  <w:r>
                                    <w:rPr>
                                      <w:rFonts w:hint="eastAsia"/>
                                    </w:rPr>
                                    <w:t>化粪池</w:t>
                                  </w:r>
                                </w:p>
                              </w:txbxContent>
                            </wps:txbx>
                            <wps:bodyPr lIns="0" tIns="0" rIns="0" bIns="0" upright="1"/>
                          </wps:wsp>
                        </a:graphicData>
                      </a:graphic>
                    </wp:anchor>
                  </w:drawing>
                </mc:Choice>
                <mc:Fallback>
                  <w:pict>
                    <v:rect id="_x0000_s1026" o:spid="_x0000_s1026" o:spt="1" style="position:absolute;left:0pt;margin-left:228.55pt;margin-top:7.35pt;height:21.3pt;width:63.75pt;z-index:251669504;mso-width-relative:page;mso-height-relative:page;" fillcolor="#FFFFFF" filled="t" stroked="t" coordsize="21600,21600" o:gfxdata="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ZrGw42QAAAAkBAAAPAAAAAAAA&#10;AAEAIAAAACIAAABkcnMvZG93bnJldi54bWxQSwECFAAUAAAACACHTuJAJleL5RECAABOBAAADgAA&#10;AAAAAAABACAAAAAoAQAAZHJzL2Uyb0RvYy54bWxQSwUGAAAAAAYABgBZAQAAqwUAAAAA&#10;">
                      <v:fill on="t" focussize="0,0"/>
                      <v:stroke color="#000000" joinstyle="miter"/>
                      <v:imagedata o:title=""/>
                      <o:lock v:ext="edit" aspectratio="f"/>
                      <v:textbox inset="0mm,0mm,0mm,0mm">
                        <w:txbxContent>
                          <w:p w14:paraId="3CB99211">
                            <w:pPr>
                              <w:jc w:val="center"/>
                            </w:pPr>
                            <w:r>
                              <w:rPr>
                                <w:rFonts w:hint="eastAsia"/>
                              </w:rPr>
                              <w:t>化粪池</w:t>
                            </w:r>
                          </w:p>
                        </w:txbxContent>
                      </v:textbox>
                    </v:rect>
                  </w:pict>
                </mc:Fallback>
              </mc:AlternateContent>
            </w:r>
            <w:r>
              <w:rPr>
                <w:rFonts w:hint="default" w:ascii="Times New Roman" w:hAnsi="Times New Roman" w:cs="Times New Roman"/>
                <w:b/>
                <w:color w:val="auto"/>
                <w:highlight w:val="none"/>
                <w:u w:val="none" w:color="auto"/>
              </w:rPr>
              <mc:AlternateContent>
                <mc:Choice Requires="wps">
                  <w:drawing>
                    <wp:anchor distT="0" distB="0" distL="114300" distR="114300" simplePos="0" relativeHeight="251679744" behindDoc="0" locked="0" layoutInCell="1" allowOverlap="1">
                      <wp:simplePos x="0" y="0"/>
                      <wp:positionH relativeFrom="column">
                        <wp:posOffset>2453640</wp:posOffset>
                      </wp:positionH>
                      <wp:positionV relativeFrom="paragraph">
                        <wp:posOffset>37465</wp:posOffset>
                      </wp:positionV>
                      <wp:extent cx="396875" cy="203200"/>
                      <wp:effectExtent l="0" t="0" r="0" b="0"/>
                      <wp:wrapNone/>
                      <wp:docPr id="90" name="矩形 90"/>
                      <wp:cNvGraphicFramePr/>
                      <a:graphic xmlns:a="http://schemas.openxmlformats.org/drawingml/2006/main">
                        <a:graphicData uri="http://schemas.microsoft.com/office/word/2010/wordprocessingShape">
                          <wps:wsp>
                            <wps:cNvSpPr/>
                            <wps:spPr>
                              <a:xfrm>
                                <a:off x="0" y="0"/>
                                <a:ext cx="396875" cy="203200"/>
                              </a:xfrm>
                              <a:prstGeom prst="rect">
                                <a:avLst/>
                              </a:prstGeom>
                              <a:noFill/>
                              <a:ln>
                                <a:noFill/>
                              </a:ln>
                            </wps:spPr>
                            <wps:txbx>
                              <w:txbxContent>
                                <w:p w14:paraId="2A15F652">
                                  <w:pPr>
                                    <w:rPr>
                                      <w:rFonts w:hint="default" w:eastAsia="宋体"/>
                                      <w:lang w:val="en-US" w:eastAsia="zh-CN"/>
                                    </w:rPr>
                                  </w:pPr>
                                  <w:r>
                                    <w:rPr>
                                      <w:rFonts w:hint="eastAsia"/>
                                      <w:lang w:val="en-US" w:eastAsia="zh-CN"/>
                                    </w:rPr>
                                    <w:t>155.52</w:t>
                                  </w:r>
                                </w:p>
                              </w:txbxContent>
                            </wps:txbx>
                            <wps:bodyPr lIns="0" tIns="0" rIns="0" bIns="0" upright="1"/>
                          </wps:wsp>
                        </a:graphicData>
                      </a:graphic>
                    </wp:anchor>
                  </w:drawing>
                </mc:Choice>
                <mc:Fallback>
                  <w:pict>
                    <v:rect id="_x0000_s1026" o:spid="_x0000_s1026" o:spt="1" style="position:absolute;left:0pt;margin-left:193.2pt;margin-top:2.95pt;height:16pt;width:31.25pt;z-index:251679744;mso-width-relative:page;mso-height-relative:page;" filled="f" stroked="f" coordsize="21600,21600" o:gfxdata="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Dw&#10;7sbZAAAACAEAAA8AAAAAAAAAAQAgAAAAIgAAAGRycy9kb3ducmV2LnhtbFBLAQIUABQAAAAIAIdO&#10;4kBDyQ8KsAEAAGYDAAAOAAAAAAAAAAEAIAAAACgBAABkcnMvZTJvRG9jLnhtbFBLBQYAAAAABgAG&#10;AFkBAABKBQAAAAA=&#10;">
                      <v:fill on="f" focussize="0,0"/>
                      <v:stroke on="f"/>
                      <v:imagedata o:title=""/>
                      <o:lock v:ext="edit" aspectratio="f"/>
                      <v:textbox inset="0mm,0mm,0mm,0mm">
                        <w:txbxContent>
                          <w:p w14:paraId="2A15F652">
                            <w:pPr>
                              <w:rPr>
                                <w:rFonts w:hint="default" w:eastAsia="宋体"/>
                                <w:lang w:val="en-US" w:eastAsia="zh-CN"/>
                              </w:rPr>
                            </w:pPr>
                            <w:r>
                              <w:rPr>
                                <w:rFonts w:hint="eastAsia"/>
                                <w:lang w:val="en-US" w:eastAsia="zh-CN"/>
                              </w:rPr>
                              <w:t>155.52</w:t>
                            </w:r>
                          </w:p>
                        </w:txbxContent>
                      </v:textbox>
                    </v:rect>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7456" behindDoc="0" locked="0" layoutInCell="1" allowOverlap="1">
                      <wp:simplePos x="0" y="0"/>
                      <wp:positionH relativeFrom="column">
                        <wp:posOffset>1367790</wp:posOffset>
                      </wp:positionH>
                      <wp:positionV relativeFrom="paragraph">
                        <wp:posOffset>55245</wp:posOffset>
                      </wp:positionV>
                      <wp:extent cx="924560" cy="317500"/>
                      <wp:effectExtent l="5080" t="4445" r="22860" b="20955"/>
                      <wp:wrapNone/>
                      <wp:docPr id="89" name="矩形 89"/>
                      <wp:cNvGraphicFramePr/>
                      <a:graphic xmlns:a="http://schemas.openxmlformats.org/drawingml/2006/main">
                        <a:graphicData uri="http://schemas.microsoft.com/office/word/2010/wordprocessingShape">
                          <wps:wsp>
                            <wps:cNvSpPr>
                              <a:spLocks noChangeArrowheads="1"/>
                            </wps:cNvSpPr>
                            <wps:spPr bwMode="auto">
                              <a:xfrm>
                                <a:off x="0" y="0"/>
                                <a:ext cx="962025" cy="317500"/>
                              </a:xfrm>
                              <a:prstGeom prst="rect">
                                <a:avLst/>
                              </a:prstGeom>
                              <a:solidFill>
                                <a:srgbClr val="FFFFFF"/>
                              </a:solidFill>
                              <a:ln w="9525">
                                <a:solidFill>
                                  <a:srgbClr val="000000"/>
                                </a:solidFill>
                                <a:miter lim="800000"/>
                              </a:ln>
                              <a:effectLst/>
                            </wps:spPr>
                            <wps:txbx>
                              <w:txbxContent>
                                <w:p w14:paraId="5319663C">
                                  <w:pPr>
                                    <w:jc w:val="center"/>
                                  </w:pPr>
                                  <w:r>
                                    <w:rPr>
                                      <w:rFonts w:hint="eastAsia"/>
                                    </w:rPr>
                                    <w:t>办公生活</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07.7pt;margin-top:4.35pt;height:25pt;width:72.8pt;z-index:251667456;mso-width-relative:page;mso-height-relative:page;" fillcolor="#FFFFFF" filled="t" stroked="t" coordsize="21600,21600" o:gfxdata="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Ekaai1wAAAAgBAAAPAAAAAAAAAAEAIAAAACIAAABkcnMvZG93&#10;bnJldi54bWxQSwECFAAUAAAACACHTuJAfHVS5zoCAACJBAAADgAAAAAAAAABACAAAAAmAQAAZHJz&#10;L2Uyb0RvYy54bWxQSwUGAAAAAAYABgBZAQAA0gUAAAAA&#10;">
                      <v:fill on="t" focussize="0,0"/>
                      <v:stroke color="#000000" miterlimit="8" joinstyle="miter"/>
                      <v:imagedata o:title=""/>
                      <o:lock v:ext="edit" aspectratio="f"/>
                      <v:textbox>
                        <w:txbxContent>
                          <w:p w14:paraId="5319663C">
                            <w:pPr>
                              <w:jc w:val="center"/>
                            </w:pPr>
                            <w:r>
                              <w:rPr>
                                <w:rFonts w:hint="eastAsia"/>
                              </w:rPr>
                              <w:t>办公生活</w:t>
                            </w:r>
                          </w:p>
                        </w:txbxContent>
                      </v:textbox>
                    </v:rect>
                  </w:pict>
                </mc:Fallback>
              </mc:AlternateContent>
            </w:r>
          </w:p>
          <w:p w14:paraId="0A34E4A8">
            <w:pPr>
              <w:jc w:val="center"/>
              <w:rPr>
                <w:rFonts w:hint="default" w:ascii="Times New Roman" w:hAnsi="Times New Roman" w:cs="Times New Roman"/>
                <w:b/>
                <w:color w:val="auto"/>
                <w:highlight w:val="none"/>
                <w:u w:val="none" w:color="auto"/>
              </w:rPr>
            </w:pP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71552" behindDoc="0" locked="0" layoutInCell="1" allowOverlap="1">
                      <wp:simplePos x="0" y="0"/>
                      <wp:positionH relativeFrom="column">
                        <wp:posOffset>3710305</wp:posOffset>
                      </wp:positionH>
                      <wp:positionV relativeFrom="paragraph">
                        <wp:posOffset>74295</wp:posOffset>
                      </wp:positionV>
                      <wp:extent cx="588645" cy="635"/>
                      <wp:effectExtent l="0" t="37465" r="1905" b="38100"/>
                      <wp:wrapNone/>
                      <wp:docPr id="69" name="直接连接符 69"/>
                      <wp:cNvGraphicFramePr/>
                      <a:graphic xmlns:a="http://schemas.openxmlformats.org/drawingml/2006/main">
                        <a:graphicData uri="http://schemas.microsoft.com/office/word/2010/wordprocessingShape">
                          <wps:wsp>
                            <wps:cNvCnPr>
                              <a:cxnSpLocks noChangeShapeType="1"/>
                            </wps:cNvCnPr>
                            <wps:spPr bwMode="auto">
                              <a:xfrm>
                                <a:off x="0" y="0"/>
                                <a:ext cx="588645" cy="635"/>
                              </a:xfrm>
                              <a:prstGeom prst="line">
                                <a:avLst/>
                              </a:prstGeom>
                              <a:noFill/>
                              <a:ln w="6350">
                                <a:solidFill>
                                  <a:srgbClr val="000000"/>
                                </a:solidFill>
                                <a:round/>
                                <a:tailEnd type="triangle" w="med" len="med"/>
                              </a:ln>
                              <a:effectLst/>
                            </wps:spPr>
                            <wps:bodyPr/>
                          </wps:wsp>
                        </a:graphicData>
                      </a:graphic>
                    </wp:anchor>
                  </w:drawing>
                </mc:Choice>
                <mc:Fallback>
                  <w:pict>
                    <v:line id="_x0000_s1026" o:spid="_x0000_s1026" o:spt="20" style="position:absolute;left:0pt;margin-left:292.15pt;margin-top:5.85pt;height:0.05pt;width:46.35pt;z-index:251671552;mso-width-relative:page;mso-height-relative:page;" filled="f" stroked="t" coordsize="21600,21600" o:gfxdata="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16llnXAAAACQEAAA8AAAAAAAAAAQAgAAAAIgAAAGRycy9k&#10;b3ducmV2LnhtbFBLAQIUABQAAAAIAIdO4kCOWdF8AwIAAOkDAAAOAAAAAAAAAAEAIAAAACYBAABk&#10;cnMvZTJvRG9jLnhtbFBLBQYAAAAABgAGAFkBAACbBQAAAAA=&#10;">
                      <v:fill on="f" focussize="0,0"/>
                      <v:stroke weight="0.5pt" color="#000000" joinstyle="round" endarrow="block"/>
                      <v:imagedata o:title=""/>
                      <o:lock v:ext="edit" aspectratio="f"/>
                    </v:lin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8480" behindDoc="0" locked="0" layoutInCell="1" allowOverlap="1">
                      <wp:simplePos x="0" y="0"/>
                      <wp:positionH relativeFrom="column">
                        <wp:posOffset>2314575</wp:posOffset>
                      </wp:positionH>
                      <wp:positionV relativeFrom="paragraph">
                        <wp:posOffset>78105</wp:posOffset>
                      </wp:positionV>
                      <wp:extent cx="588645" cy="635"/>
                      <wp:effectExtent l="0" t="37465" r="1905" b="38100"/>
                      <wp:wrapNone/>
                      <wp:docPr id="80" name="直接连接符 80"/>
                      <wp:cNvGraphicFramePr/>
                      <a:graphic xmlns:a="http://schemas.openxmlformats.org/drawingml/2006/main">
                        <a:graphicData uri="http://schemas.microsoft.com/office/word/2010/wordprocessingShape">
                          <wps:wsp>
                            <wps:cNvCnPr>
                              <a:cxnSpLocks noChangeShapeType="1"/>
                            </wps:cNvCnPr>
                            <wps:spPr bwMode="auto">
                              <a:xfrm>
                                <a:off x="0" y="0"/>
                                <a:ext cx="588645" cy="635"/>
                              </a:xfrm>
                              <a:prstGeom prst="line">
                                <a:avLst/>
                              </a:prstGeom>
                              <a:noFill/>
                              <a:ln w="6350">
                                <a:solidFill>
                                  <a:srgbClr val="000000"/>
                                </a:solidFill>
                                <a:round/>
                                <a:tailEnd type="triangle" w="med" len="med"/>
                              </a:ln>
                              <a:effectLst/>
                            </wps:spPr>
                            <wps:bodyPr/>
                          </wps:wsp>
                        </a:graphicData>
                      </a:graphic>
                    </wp:anchor>
                  </w:drawing>
                </mc:Choice>
                <mc:Fallback>
                  <w:pict>
                    <v:line id="_x0000_s1026" o:spid="_x0000_s1026" o:spt="20" style="position:absolute;left:0pt;margin-left:182.25pt;margin-top:6.15pt;height:0.05pt;width:46.35pt;z-index:251668480;mso-width-relative:page;mso-height-relative:page;" filled="f" stroked="t" coordsize="21600,21600" o:gfxdata="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IezU2AAAAAkBAAAPAAAAAAAAAAEAIAAAACIAAABkcnMv&#10;ZG93bnJldi54bWxQSwECFAAUAAAACACHTuJAn+biiwMCAADpAwAADgAAAAAAAAABACAAAAAnAQAA&#10;ZHJzL2Uyb0RvYy54bWxQSwUGAAAAAAYABgBZAQAAnAUAAAAA&#10;">
                      <v:fill on="f" focussize="0,0"/>
                      <v:stroke weight="0.5pt" color="#000000" joinstyle="round" endarrow="block"/>
                      <v:imagedata o:title=""/>
                      <o:lock v:ext="edit" aspectratio="f"/>
                    </v:lin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6432" behindDoc="0" locked="0" layoutInCell="1" allowOverlap="1">
                      <wp:simplePos x="0" y="0"/>
                      <wp:positionH relativeFrom="column">
                        <wp:posOffset>789940</wp:posOffset>
                      </wp:positionH>
                      <wp:positionV relativeFrom="paragraph">
                        <wp:posOffset>70485</wp:posOffset>
                      </wp:positionV>
                      <wp:extent cx="588645" cy="635"/>
                      <wp:effectExtent l="0" t="37465" r="1905" b="38100"/>
                      <wp:wrapNone/>
                      <wp:docPr id="79" name="直接连接符 79"/>
                      <wp:cNvGraphicFramePr/>
                      <a:graphic xmlns:a="http://schemas.openxmlformats.org/drawingml/2006/main">
                        <a:graphicData uri="http://schemas.microsoft.com/office/word/2010/wordprocessingShape">
                          <wps:wsp>
                            <wps:cNvCnPr>
                              <a:cxnSpLocks noChangeShapeType="1"/>
                            </wps:cNvCnPr>
                            <wps:spPr bwMode="auto">
                              <a:xfrm>
                                <a:off x="0" y="0"/>
                                <a:ext cx="588645" cy="635"/>
                              </a:xfrm>
                              <a:prstGeom prst="line">
                                <a:avLst/>
                              </a:prstGeom>
                              <a:noFill/>
                              <a:ln w="6350">
                                <a:solidFill>
                                  <a:srgbClr val="000000"/>
                                </a:solidFill>
                                <a:round/>
                                <a:tailEnd type="triangle" w="med" len="med"/>
                              </a:ln>
                              <a:effectLst/>
                            </wps:spPr>
                            <wps:bodyPr/>
                          </wps:wsp>
                        </a:graphicData>
                      </a:graphic>
                    </wp:anchor>
                  </w:drawing>
                </mc:Choice>
                <mc:Fallback>
                  <w:pict>
                    <v:line id="_x0000_s1026" o:spid="_x0000_s1026" o:spt="20" style="position:absolute;left:0pt;margin-left:62.2pt;margin-top:5.55pt;height:0.05pt;width:46.35pt;z-index:251666432;mso-width-relative:page;mso-height-relative:page;" filled="f" stroked="t" coordsize="21600,21600" o:gfxdata="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q0XfzWAAAACQEAAA8AAAAAAAAAAQAgAAAAIgAAAGRycy9k&#10;b3ducmV2LnhtbFBLAQIUABQAAAAIAIdO4kBm4110BAIAAOkDAAAOAAAAAAAAAAEAIAAAACUBAABk&#10;cnMvZTJvRG9jLnhtbFBLBQYAAAAABgAGAFkBAACbBQAAAAA=&#10;">
                      <v:fill on="f" focussize="0,0"/>
                      <v:stroke weight="0.5pt" color="#000000" joinstyle="round" endarrow="block"/>
                      <v:imagedata o:title=""/>
                      <o:lock v:ext="edit" aspectratio="f"/>
                    </v:lin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77696" behindDoc="0" locked="0" layoutInCell="1" allowOverlap="1">
                      <wp:simplePos x="0" y="0"/>
                      <wp:positionH relativeFrom="column">
                        <wp:posOffset>786130</wp:posOffset>
                      </wp:positionH>
                      <wp:positionV relativeFrom="paragraph">
                        <wp:posOffset>58420</wp:posOffset>
                      </wp:positionV>
                      <wp:extent cx="2540" cy="633095"/>
                      <wp:effectExtent l="4445" t="0" r="12065" b="14605"/>
                      <wp:wrapNone/>
                      <wp:docPr id="71" name="直接箭头连接符 71"/>
                      <wp:cNvGraphicFramePr/>
                      <a:graphic xmlns:a="http://schemas.openxmlformats.org/drawingml/2006/main">
                        <a:graphicData uri="http://schemas.microsoft.com/office/word/2010/wordprocessingShape">
                          <wps:wsp>
                            <wps:cNvCnPr/>
                            <wps:spPr>
                              <a:xfrm>
                                <a:off x="0" y="0"/>
                                <a:ext cx="2540" cy="633095"/>
                              </a:xfrm>
                              <a:prstGeom prst="straightConnector1">
                                <a:avLst/>
                              </a:prstGeom>
                              <a:ln w="635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61.9pt;margin-top:4.6pt;height:49.85pt;width:0.2pt;z-index:251677696;mso-width-relative:page;mso-height-relative:page;" filled="f" stroked="t" coordsize="21600,21600" o:gfxdata="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4sV/nNYAAAAJAQAADwAAAAAAAAABACAAAAAiAAAAZHJzL2Rvd25yZXYu&#10;eG1sUEsBAhQAFAAAAAgAh07iQN25i1L9AQAA8AMAAA4AAAAAAAAAAQAgAAAAJQEAAGRycy9lMm9E&#10;b2MueG1sUEsFBgAAAAAGAAYAWQEAAJQFAAAAAA==&#10;">
                      <v:fill on="f" focussize="0,0"/>
                      <v:stroke weight="0.5pt" color="#000000" joinstyle="round"/>
                      <v:imagedata o:title=""/>
                      <o:lock v:ext="edit" aspectratio="f"/>
                    </v:shape>
                  </w:pict>
                </mc:Fallback>
              </mc:AlternateContent>
            </w:r>
          </w:p>
          <w:p w14:paraId="1A3BE608">
            <w:pPr>
              <w:jc w:val="center"/>
              <w:rPr>
                <w:rFonts w:hint="default" w:ascii="Times New Roman" w:hAnsi="Times New Roman" w:cs="Times New Roman"/>
                <w:b/>
                <w:color w:val="auto"/>
                <w:highlight w:val="none"/>
                <w:u w:val="none" w:color="auto"/>
              </w:rPr>
            </w:pP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78720" behindDoc="0" locked="0" layoutInCell="1" allowOverlap="1">
                      <wp:simplePos x="0" y="0"/>
                      <wp:positionH relativeFrom="column">
                        <wp:posOffset>22860</wp:posOffset>
                      </wp:positionH>
                      <wp:positionV relativeFrom="paragraph">
                        <wp:posOffset>236220</wp:posOffset>
                      </wp:positionV>
                      <wp:extent cx="772160" cy="10795"/>
                      <wp:effectExtent l="0" t="28575" r="8890" b="36830"/>
                      <wp:wrapNone/>
                      <wp:docPr id="76" name="直接箭头连接符 76"/>
                      <wp:cNvGraphicFramePr/>
                      <a:graphic xmlns:a="http://schemas.openxmlformats.org/drawingml/2006/main">
                        <a:graphicData uri="http://schemas.microsoft.com/office/word/2010/wordprocessingShape">
                          <wps:wsp>
                            <wps:cNvCnPr/>
                            <wps:spPr>
                              <a:xfrm>
                                <a:off x="0" y="0"/>
                                <a:ext cx="772160" cy="10795"/>
                              </a:xfrm>
                              <a:prstGeom prst="straightConnector1">
                                <a:avLst/>
                              </a:prstGeom>
                              <a:ln w="6350"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8pt;margin-top:18.6pt;height:0.85pt;width:60.8pt;z-index:251678720;mso-width-relative:page;mso-height-relative:page;" filled="f" stroked="t" coordsize="21600,21600" o:gfxdata="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EIMPX1QAAAAcBAAAPAAAAAAAAAAEAIAAAACIAAABkcnMv&#10;ZG93bnJldi54bWxQSwECFAAUAAAACACHTuJAxiJ/IAYCAAD1AwAADgAAAAAAAAABACAAAAAkAQAA&#10;ZHJzL2Uyb0RvYy54bWxQSwUGAAAAAAYABgBZAQAAnAUAAAAA&#10;">
                      <v:fill on="f" focussize="0,0"/>
                      <v:stroke weight="0.5pt" color="#000000" joinstyle="round" endarrow="block"/>
                      <v:imagedata o:title=""/>
                      <o:lock v:ext="edit" aspectratio="f"/>
                    </v:shap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72576" behindDoc="0" locked="0" layoutInCell="1" allowOverlap="1">
                      <wp:simplePos x="0" y="0"/>
                      <wp:positionH relativeFrom="column">
                        <wp:posOffset>-96520</wp:posOffset>
                      </wp:positionH>
                      <wp:positionV relativeFrom="paragraph">
                        <wp:posOffset>40005</wp:posOffset>
                      </wp:positionV>
                      <wp:extent cx="910590" cy="205105"/>
                      <wp:effectExtent l="0" t="0" r="0" b="0"/>
                      <wp:wrapNone/>
                      <wp:docPr id="75" name="矩形 75"/>
                      <wp:cNvGraphicFramePr/>
                      <a:graphic xmlns:a="http://schemas.openxmlformats.org/drawingml/2006/main">
                        <a:graphicData uri="http://schemas.microsoft.com/office/word/2010/wordprocessingShape">
                          <wps:wsp>
                            <wps:cNvSpPr/>
                            <wps:spPr>
                              <a:xfrm>
                                <a:off x="0" y="0"/>
                                <a:ext cx="910590" cy="205105"/>
                              </a:xfrm>
                              <a:prstGeom prst="rect">
                                <a:avLst/>
                              </a:prstGeom>
                              <a:noFill/>
                              <a:ln>
                                <a:noFill/>
                              </a:ln>
                            </wps:spPr>
                            <wps:txbx>
                              <w:txbxContent>
                                <w:p w14:paraId="6991336B">
                                  <w:pPr>
                                    <w:jc w:val="center"/>
                                    <w:rPr>
                                      <w:rFonts w:hint="default" w:eastAsia="宋体"/>
                                      <w:lang w:val="en-US" w:eastAsia="zh-CN"/>
                                    </w:rPr>
                                  </w:pPr>
                                  <w:r>
                                    <w:rPr>
                                      <w:rFonts w:hint="eastAsia"/>
                                    </w:rPr>
                                    <w:t>新鲜水</w:t>
                                  </w:r>
                                  <w:r>
                                    <w:rPr>
                                      <w:rFonts w:hint="eastAsia"/>
                                      <w:lang w:val="en-US" w:eastAsia="zh-CN"/>
                                    </w:rPr>
                                    <w:t>194.4</w:t>
                                  </w:r>
                                </w:p>
                                <w:p w14:paraId="64983E9A">
                                  <w:pPr>
                                    <w:jc w:val="center"/>
                                  </w:pPr>
                                </w:p>
                              </w:txbxContent>
                            </wps:txbx>
                            <wps:bodyPr lIns="0" tIns="0" rIns="0" bIns="0" upright="1"/>
                          </wps:wsp>
                        </a:graphicData>
                      </a:graphic>
                    </wp:anchor>
                  </w:drawing>
                </mc:Choice>
                <mc:Fallback>
                  <w:pict>
                    <v:rect id="_x0000_s1026" o:spid="_x0000_s1026" o:spt="1" style="position:absolute;left:0pt;margin-left:-7.6pt;margin-top:3.15pt;height:16.15pt;width:71.7pt;z-index:251672576;mso-width-relative:page;mso-height-relative:page;" filled="f" stroked="f" coordsize="21600,21600" o:gfxdata="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RXQ2F&#10;2AAAAAgBAAAPAAAAAAAAAAEAIAAAACIAAABkcnMvZG93bnJldi54bWxQSwECFAAUAAAACACHTuJA&#10;XmApTK8BAABmAwAADgAAAAAAAAABACAAAAAnAQAAZHJzL2Uyb0RvYy54bWxQSwUGAAAAAAYABgBZ&#10;AQAASAUAAAAA&#10;">
                      <v:fill on="f" focussize="0,0"/>
                      <v:stroke on="f"/>
                      <v:imagedata o:title=""/>
                      <o:lock v:ext="edit" aspectratio="f"/>
                      <v:textbox inset="0mm,0mm,0mm,0mm">
                        <w:txbxContent>
                          <w:p w14:paraId="6991336B">
                            <w:pPr>
                              <w:jc w:val="center"/>
                              <w:rPr>
                                <w:rFonts w:hint="default" w:eastAsia="宋体"/>
                                <w:lang w:val="en-US" w:eastAsia="zh-CN"/>
                              </w:rPr>
                            </w:pPr>
                            <w:r>
                              <w:rPr>
                                <w:rFonts w:hint="eastAsia"/>
                              </w:rPr>
                              <w:t>新鲜水</w:t>
                            </w:r>
                            <w:r>
                              <w:rPr>
                                <w:rFonts w:hint="eastAsia"/>
                                <w:lang w:val="en-US" w:eastAsia="zh-CN"/>
                              </w:rPr>
                              <w:t>194.4</w:t>
                            </w:r>
                          </w:p>
                          <w:p w14:paraId="64983E9A">
                            <w:pPr>
                              <w:jc w:val="center"/>
                            </w:pPr>
                          </w:p>
                        </w:txbxContent>
                      </v:textbox>
                    </v:rect>
                  </w:pict>
                </mc:Fallback>
              </mc:AlternateContent>
            </w:r>
          </w:p>
          <w:p w14:paraId="5F597F98">
            <w:pPr>
              <w:jc w:val="center"/>
              <w:rPr>
                <w:rFonts w:hint="default" w:ascii="Times New Roman" w:hAnsi="Times New Roman" w:cs="Times New Roman"/>
                <w:b/>
                <w:color w:val="auto"/>
                <w:highlight w:val="none"/>
                <w:u w:val="none" w:color="auto"/>
              </w:rPr>
            </w:pPr>
          </w:p>
          <w:p w14:paraId="351C485A">
            <w:pPr>
              <w:spacing w:line="240" w:lineRule="auto"/>
              <w:ind w:firstLine="422" w:firstLineChars="200"/>
              <w:jc w:val="center"/>
              <w:rPr>
                <w:rFonts w:hint="default" w:ascii="Times New Roman" w:hAnsi="Times New Roman" w:cs="Times New Roman"/>
                <w:b/>
                <w:color w:val="auto"/>
                <w:highlight w:val="none"/>
                <w:u w:val="none" w:color="auto"/>
              </w:rPr>
            </w:pPr>
            <w:r>
              <w:rPr>
                <w:rFonts w:hint="default" w:ascii="Times New Roman" w:hAnsi="Times New Roman" w:cs="Times New Roman"/>
                <w:b/>
                <w:color w:val="auto"/>
                <w:highlight w:val="none"/>
                <w:u w:val="none" w:color="auto"/>
              </w:rPr>
              <mc:AlternateContent>
                <mc:Choice Requires="wps">
                  <w:drawing>
                    <wp:anchor distT="0" distB="0" distL="114300" distR="114300" simplePos="0" relativeHeight="251681792" behindDoc="0" locked="0" layoutInCell="1" allowOverlap="1">
                      <wp:simplePos x="0" y="0"/>
                      <wp:positionH relativeFrom="column">
                        <wp:posOffset>1257300</wp:posOffset>
                      </wp:positionH>
                      <wp:positionV relativeFrom="paragraph">
                        <wp:posOffset>140970</wp:posOffset>
                      </wp:positionV>
                      <wp:extent cx="1016000" cy="219710"/>
                      <wp:effectExtent l="0" t="0" r="0" b="0"/>
                      <wp:wrapNone/>
                      <wp:docPr id="74" name="矩形 74"/>
                      <wp:cNvGraphicFramePr/>
                      <a:graphic xmlns:a="http://schemas.openxmlformats.org/drawingml/2006/main">
                        <a:graphicData uri="http://schemas.microsoft.com/office/word/2010/wordprocessingShape">
                          <wps:wsp>
                            <wps:cNvSpPr/>
                            <wps:spPr>
                              <a:xfrm>
                                <a:off x="0" y="0"/>
                                <a:ext cx="1016000" cy="219710"/>
                              </a:xfrm>
                              <a:prstGeom prst="rect">
                                <a:avLst/>
                              </a:prstGeom>
                              <a:noFill/>
                              <a:ln>
                                <a:noFill/>
                              </a:ln>
                            </wps:spPr>
                            <wps:txbx>
                              <w:txbxContent>
                                <w:p w14:paraId="2C182EFA">
                                  <w:pPr>
                                    <w:jc w:val="center"/>
                                    <w:rPr>
                                      <w:rFonts w:hint="default" w:eastAsia="宋体"/>
                                      <w:lang w:val="en-US" w:eastAsia="zh-CN"/>
                                    </w:rPr>
                                  </w:pPr>
                                  <w:r>
                                    <w:rPr>
                                      <w:rFonts w:hint="eastAsia"/>
                                      <w:lang w:val="en-US" w:eastAsia="zh-CN"/>
                                    </w:rPr>
                                    <w:t>无生产用水</w:t>
                                  </w:r>
                                </w:p>
                              </w:txbxContent>
                            </wps:txbx>
                            <wps:bodyPr lIns="0" tIns="0" rIns="0" bIns="0" upright="1"/>
                          </wps:wsp>
                        </a:graphicData>
                      </a:graphic>
                    </wp:anchor>
                  </w:drawing>
                </mc:Choice>
                <mc:Fallback>
                  <w:pict>
                    <v:rect id="_x0000_s1026" o:spid="_x0000_s1026" o:spt="1" style="position:absolute;left:0pt;margin-left:99pt;margin-top:11.1pt;height:17.3pt;width:80pt;z-index:251681792;mso-width-relative:page;mso-height-relative:page;" filled="f" stroked="f" coordsize="21600,21600" o:gfxdata="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Z&#10;A+hV2QAAAAkBAAAPAAAAAAAAAAEAIAAAACIAAABkcnMvZG93bnJldi54bWxQSwECFAAUAAAACACH&#10;TuJAKayf7bEBAABnAwAADgAAAAAAAAABACAAAAAoAQAAZHJzL2Uyb0RvYy54bWxQSwUGAAAAAAYA&#10;BgBZAQAASwUAAAAA&#10;">
                      <v:fill on="f" focussize="0,0"/>
                      <v:stroke on="f"/>
                      <v:imagedata o:title=""/>
                      <o:lock v:ext="edit" aspectratio="f"/>
                      <v:textbox inset="0mm,0mm,0mm,0mm">
                        <w:txbxContent>
                          <w:p w14:paraId="2C182EFA">
                            <w:pPr>
                              <w:jc w:val="center"/>
                              <w:rPr>
                                <w:rFonts w:hint="default" w:eastAsia="宋体"/>
                                <w:lang w:val="en-US" w:eastAsia="zh-CN"/>
                              </w:rPr>
                            </w:pPr>
                            <w:r>
                              <w:rPr>
                                <w:rFonts w:hint="eastAsia"/>
                                <w:lang w:val="en-US" w:eastAsia="zh-CN"/>
                              </w:rPr>
                              <w:t>无生产用水</w:t>
                            </w:r>
                          </w:p>
                        </w:txbxContent>
                      </v:textbox>
                    </v:rect>
                  </w:pict>
                </mc:Fallback>
              </mc:AlternateContent>
            </w:r>
          </w:p>
          <w:p w14:paraId="0F7BD425">
            <w:pPr>
              <w:spacing w:line="240" w:lineRule="auto"/>
              <w:ind w:firstLine="422" w:firstLineChars="200"/>
              <w:jc w:val="center"/>
              <w:rPr>
                <w:rFonts w:hint="default" w:ascii="Times New Roman" w:hAnsi="Times New Roman" w:cs="Times New Roman"/>
                <w:b/>
                <w:color w:val="auto"/>
                <w:highlight w:val="none"/>
                <w:u w:val="none" w:color="auto"/>
              </w:rPr>
            </w:pPr>
            <w:r>
              <w:rPr>
                <w:rFonts w:hint="default" w:ascii="Times New Roman" w:hAnsi="Times New Roman" w:cs="Times New Roman"/>
                <w:b/>
                <w:color w:val="auto"/>
                <w:highlight w:val="none"/>
                <w:u w:val="none" w:color="auto"/>
              </w:rPr>
              <mc:AlternateContent>
                <mc:Choice Requires="wps">
                  <w:drawing>
                    <wp:anchor distT="0" distB="0" distL="114300" distR="114300" simplePos="0" relativeHeight="251680768" behindDoc="0" locked="0" layoutInCell="1" allowOverlap="1">
                      <wp:simplePos x="0" y="0"/>
                      <wp:positionH relativeFrom="column">
                        <wp:posOffset>788035</wp:posOffset>
                      </wp:positionH>
                      <wp:positionV relativeFrom="paragraph">
                        <wp:posOffset>80010</wp:posOffset>
                      </wp:positionV>
                      <wp:extent cx="596265" cy="635"/>
                      <wp:effectExtent l="0" t="37465" r="13335" b="38100"/>
                      <wp:wrapNone/>
                      <wp:docPr id="58" name="直接连接符 58"/>
                      <wp:cNvGraphicFramePr/>
                      <a:graphic xmlns:a="http://schemas.openxmlformats.org/drawingml/2006/main">
                        <a:graphicData uri="http://schemas.microsoft.com/office/word/2010/wordprocessingShape">
                          <wps:wsp>
                            <wps:cNvCnPr>
                              <a:cxnSpLocks noChangeShapeType="1"/>
                            </wps:cNvCnPr>
                            <wps:spPr bwMode="auto">
                              <a:xfrm>
                                <a:off x="0" y="0"/>
                                <a:ext cx="588645" cy="635"/>
                              </a:xfrm>
                              <a:prstGeom prst="line">
                                <a:avLst/>
                              </a:prstGeom>
                              <a:noFill/>
                              <a:ln w="6350">
                                <a:solidFill>
                                  <a:srgbClr val="000000"/>
                                </a:solidFill>
                                <a:round/>
                                <a:tailEnd type="triangle" w="med" len="med"/>
                              </a:ln>
                              <a:effectLst/>
                            </wps:spPr>
                            <wps:bodyPr/>
                          </wps:wsp>
                        </a:graphicData>
                      </a:graphic>
                    </wp:anchor>
                  </w:drawing>
                </mc:Choice>
                <mc:Fallback>
                  <w:pict>
                    <v:line id="_x0000_s1026" o:spid="_x0000_s1026" o:spt="20" style="position:absolute;left:0pt;margin-left:62.05pt;margin-top:6.3pt;height:0.05pt;width:46.95pt;z-index:251680768;mso-width-relative:page;mso-height-relative:page;" filled="f" stroked="t" coordsize="21600,21600" o:gfxdata="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7ENjtYAAAAJAQAADwAAAAAAAAABACAAAAAiAAAAZHJzL2Rv&#10;d25yZXYueG1sUEsBAhQAFAAAAAgAh07iQPtTw4QDAgAA6QMAAA4AAAAAAAAAAQAgAAAAJQEAAGRy&#10;cy9lMm9Eb2MueG1sUEsFBgAAAAAGAAYAWQEAAJoFAAAAAA==&#10;">
                      <v:fill on="f" focussize="0,0"/>
                      <v:stroke weight="0.5pt" color="#000000" joinstyle="round" endarrow="block"/>
                      <v:imagedata o:title=""/>
                      <o:lock v:ext="edit" aspectratio="f"/>
                    </v:line>
                  </w:pict>
                </mc:Fallback>
              </mc:AlternateContent>
            </w:r>
          </w:p>
          <w:p w14:paraId="181FBCCB">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color w:val="auto"/>
                <w:highlight w:val="none"/>
              </w:rPr>
            </w:pPr>
            <w:r>
              <w:rPr>
                <w:rFonts w:hint="default" w:ascii="Times New Roman" w:hAnsi="Times New Roman" w:eastAsia="宋体" w:cs="Times New Roman"/>
                <w:b/>
                <w:bCs/>
                <w:color w:val="auto"/>
                <w:sz w:val="24"/>
                <w:szCs w:val="24"/>
                <w:highlight w:val="none"/>
              </w:rPr>
              <w:t>图2-</w:t>
            </w:r>
            <w:r>
              <w:rPr>
                <w:rFonts w:hint="eastAsia"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 xml:space="preserve"> </w:t>
            </w:r>
            <w:r>
              <w:rPr>
                <w:rFonts w:hint="eastAsia" w:ascii="Times New Roman" w:hAnsi="Times New Roman" w:eastAsia="宋体" w:cs="Times New Roman"/>
                <w:b/>
                <w:bCs/>
                <w:color w:val="auto"/>
                <w:sz w:val="24"/>
                <w:szCs w:val="24"/>
                <w:highlight w:val="none"/>
                <w:lang w:val="en-US" w:eastAsia="zh-CN"/>
              </w:rPr>
              <w:t>本项目</w:t>
            </w:r>
            <w:r>
              <w:rPr>
                <w:rFonts w:hint="default" w:ascii="Times New Roman" w:hAnsi="Times New Roman" w:eastAsia="宋体" w:cs="Times New Roman"/>
                <w:b/>
                <w:bCs/>
                <w:color w:val="auto"/>
                <w:sz w:val="24"/>
                <w:szCs w:val="24"/>
                <w:highlight w:val="none"/>
              </w:rPr>
              <w:t>水平衡图（</w:t>
            </w:r>
            <w:r>
              <w:rPr>
                <w:rFonts w:hint="eastAsia" w:cs="Times New Roman"/>
                <w:b/>
                <w:bCs/>
                <w:color w:val="auto"/>
                <w:sz w:val="24"/>
                <w:szCs w:val="24"/>
                <w:highlight w:val="none"/>
                <w:lang w:val="en-US" w:eastAsia="zh-CN"/>
              </w:rPr>
              <w:t>t/a</w:t>
            </w:r>
            <w:r>
              <w:rPr>
                <w:rFonts w:hint="default" w:ascii="Times New Roman" w:hAnsi="Times New Roman" w:eastAsia="宋体" w:cs="Times New Roman"/>
                <w:b/>
                <w:bCs/>
                <w:color w:val="auto"/>
                <w:sz w:val="24"/>
                <w:szCs w:val="24"/>
                <w:highlight w:val="none"/>
              </w:rPr>
              <w:t>）</w:t>
            </w:r>
          </w:p>
          <w:p w14:paraId="1845DAEB">
            <w:pPr>
              <w:spacing w:line="360" w:lineRule="auto"/>
              <w:ind w:firstLine="470" w:firstLineChars="196"/>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10.3</w:t>
            </w:r>
            <w:r>
              <w:rPr>
                <w:rFonts w:hint="default" w:ascii="Times New Roman" w:hAnsi="Times New Roman" w:cs="Times New Roman"/>
                <w:b w:val="0"/>
                <w:bCs/>
                <w:color w:val="auto"/>
                <w:sz w:val="24"/>
                <w:highlight w:val="none"/>
              </w:rPr>
              <w:t>供电</w:t>
            </w:r>
          </w:p>
          <w:p w14:paraId="428D35B0">
            <w:pPr>
              <w:spacing w:line="360" w:lineRule="auto"/>
              <w:ind w:firstLine="470" w:firstLineChars="196"/>
              <w:rPr>
                <w:rFonts w:hint="default" w:ascii="Times New Roman" w:hAnsi="Times New Roman" w:cs="Times New Roman"/>
                <w:b w:val="0"/>
                <w:bCs/>
                <w:color w:val="auto"/>
                <w:sz w:val="24"/>
                <w:highlight w:val="none"/>
                <w:lang w:val="en-US"/>
              </w:rPr>
            </w:pPr>
            <w:r>
              <w:rPr>
                <w:rFonts w:hint="default" w:ascii="Times New Roman" w:hAnsi="Times New Roman" w:cs="Times New Roman"/>
                <w:b w:val="0"/>
                <w:bCs/>
                <w:color w:val="auto"/>
                <w:sz w:val="24"/>
                <w:highlight w:val="none"/>
                <w:lang w:val="en-US"/>
              </w:rPr>
              <w:t>该项目用电由双鸭山市尖山区供电局提供。</w:t>
            </w:r>
          </w:p>
          <w:p w14:paraId="437FC0A5">
            <w:pPr>
              <w:spacing w:line="360" w:lineRule="auto"/>
              <w:ind w:firstLine="470" w:firstLineChars="196"/>
              <w:rPr>
                <w:rFonts w:hint="default" w:ascii="Times New Roman" w:hAnsi="Times New Roman" w:cs="Times New Roman"/>
                <w:b w:val="0"/>
                <w:bCs/>
                <w:color w:val="auto"/>
                <w:sz w:val="24"/>
                <w:highlight w:val="none"/>
                <w:lang w:val="en-US"/>
              </w:rPr>
            </w:pPr>
            <w:r>
              <w:rPr>
                <w:rFonts w:hint="eastAsia" w:cs="Times New Roman"/>
                <w:b w:val="0"/>
                <w:bCs/>
                <w:color w:val="auto"/>
                <w:sz w:val="24"/>
                <w:highlight w:val="none"/>
                <w:lang w:val="en-US" w:eastAsia="zh-CN"/>
              </w:rPr>
              <w:t>10</w:t>
            </w:r>
            <w:r>
              <w:rPr>
                <w:rFonts w:hint="default" w:ascii="Times New Roman" w:hAnsi="Times New Roman" w:cs="Times New Roman"/>
                <w:b w:val="0"/>
                <w:bCs/>
                <w:color w:val="auto"/>
                <w:sz w:val="24"/>
                <w:highlight w:val="none"/>
                <w:lang w:val="en-US"/>
              </w:rPr>
              <w:t>.4 供暖</w:t>
            </w:r>
          </w:p>
          <w:p w14:paraId="515E622E">
            <w:pPr>
              <w:spacing w:line="360" w:lineRule="auto"/>
              <w:ind w:firstLine="470" w:firstLineChars="196"/>
              <w:rPr>
                <w:rFonts w:hint="default" w:ascii="Times New Roman" w:hAnsi="Times New Roman" w:cs="Times New Roman"/>
                <w:b w:val="0"/>
                <w:bCs/>
                <w:color w:val="auto"/>
                <w:sz w:val="24"/>
                <w:highlight w:val="none"/>
                <w:lang w:val="en-US"/>
              </w:rPr>
            </w:pPr>
            <w:r>
              <w:rPr>
                <w:rFonts w:hint="default" w:ascii="Times New Roman" w:hAnsi="Times New Roman" w:cs="Times New Roman"/>
                <w:b w:val="0"/>
                <w:bCs/>
                <w:color w:val="auto"/>
                <w:sz w:val="24"/>
                <w:highlight w:val="none"/>
                <w:lang w:val="en-US"/>
              </w:rPr>
              <w:t>本项目生产采用一台</w:t>
            </w:r>
            <w:r>
              <w:rPr>
                <w:rFonts w:hint="eastAsia" w:cs="Times New Roman"/>
                <w:b w:val="0"/>
                <w:bCs/>
                <w:color w:val="auto"/>
                <w:sz w:val="24"/>
                <w:highlight w:val="none"/>
                <w:lang w:val="en-US" w:eastAsia="zh-CN"/>
              </w:rPr>
              <w:t>1.75MW</w:t>
            </w:r>
            <w:r>
              <w:rPr>
                <w:rFonts w:hint="default" w:ascii="Times New Roman" w:hAnsi="Times New Roman" w:cs="Times New Roman"/>
                <w:b w:val="0"/>
                <w:bCs/>
                <w:color w:val="auto"/>
                <w:sz w:val="24"/>
                <w:highlight w:val="none"/>
                <w:lang w:val="en-US"/>
              </w:rPr>
              <w:t>燃生物质</w:t>
            </w:r>
            <w:r>
              <w:rPr>
                <w:rFonts w:hint="eastAsia" w:cs="Times New Roman"/>
                <w:b w:val="0"/>
                <w:bCs/>
                <w:color w:val="auto"/>
                <w:sz w:val="24"/>
                <w:highlight w:val="none"/>
                <w:lang w:val="en-US" w:eastAsia="zh-CN"/>
              </w:rPr>
              <w:t>导热油</w:t>
            </w:r>
            <w:r>
              <w:rPr>
                <w:rFonts w:hint="default" w:ascii="Times New Roman" w:hAnsi="Times New Roman" w:cs="Times New Roman"/>
                <w:b w:val="0"/>
                <w:bCs/>
                <w:color w:val="auto"/>
                <w:sz w:val="24"/>
                <w:highlight w:val="none"/>
                <w:lang w:val="en-US"/>
              </w:rPr>
              <w:t>锅炉，冬季供暖依靠生产余热。</w:t>
            </w:r>
          </w:p>
          <w:p w14:paraId="148D47B7">
            <w:pPr>
              <w:spacing w:line="360" w:lineRule="auto"/>
              <w:ind w:firstLine="480" w:firstLineChars="200"/>
              <w:rPr>
                <w:rFonts w:hint="eastAsia" w:ascii="Times New Roman" w:hAnsi="Times New Roman" w:eastAsia="宋体" w:cs="Times New Roman"/>
                <w:bCs/>
                <w:color w:val="auto"/>
                <w:sz w:val="24"/>
                <w:highlight w:val="none"/>
                <w:lang w:eastAsia="zh-CN"/>
              </w:rPr>
            </w:pPr>
          </w:p>
        </w:tc>
      </w:tr>
      <w:tr w14:paraId="0780C7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9" w:hRule="atLeast"/>
          <w:jc w:val="center"/>
        </w:trPr>
        <w:tc>
          <w:tcPr>
            <w:tcW w:w="555" w:type="dxa"/>
            <w:tcBorders>
              <w:bottom w:val="single" w:color="auto" w:sz="4" w:space="0"/>
            </w:tcBorders>
            <w:noWrap w:val="0"/>
            <w:vAlign w:val="center"/>
          </w:tcPr>
          <w:p w14:paraId="2F32E31F">
            <w:pPr>
              <w:pStyle w:val="27"/>
              <w:adjustRightInd w:val="0"/>
              <w:snapToGrid w:val="0"/>
              <w:spacing w:before="0" w:beforeAutospacing="0" w:after="0" w:afterAutospacing="0"/>
              <w:jc w:val="center"/>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szCs w:val="24"/>
                <w:highlight w:val="none"/>
                <w:lang w:val="en-US" w:eastAsia="zh-CN"/>
              </w:rPr>
              <w:t>工艺流程和产排污环节</w:t>
            </w:r>
          </w:p>
        </w:tc>
        <w:tc>
          <w:tcPr>
            <w:tcW w:w="8429" w:type="dxa"/>
            <w:tcBorders>
              <w:bottom w:val="single" w:color="auto" w:sz="4" w:space="0"/>
            </w:tcBorders>
            <w:noWrap w:val="0"/>
            <w:vAlign w:val="top"/>
          </w:tcPr>
          <w:p w14:paraId="7313EF4E">
            <w:pPr>
              <w:spacing w:line="360" w:lineRule="auto"/>
              <w:rPr>
                <w:rFonts w:hint="default" w:ascii="Times New Roman" w:hAnsi="Times New Roman" w:eastAsia="宋体" w:cs="Times New Roman"/>
                <w:b/>
                <w:color w:val="auto"/>
                <w:sz w:val="30"/>
                <w:szCs w:val="30"/>
                <w:highlight w:val="none"/>
                <w:lang w:val="en-US" w:eastAsia="zh-CN"/>
              </w:rPr>
            </w:pPr>
            <w:r>
              <w:rPr>
                <w:rFonts w:hint="eastAsia" w:cs="Times New Roman"/>
                <w:b/>
                <w:color w:val="auto"/>
                <w:sz w:val="30"/>
                <w:szCs w:val="30"/>
                <w:highlight w:val="none"/>
                <w:lang w:val="en-US" w:eastAsia="zh-CN"/>
              </w:rPr>
              <w:t>一、工艺流程简述</w:t>
            </w:r>
          </w:p>
          <w:p w14:paraId="4BB9C94F">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1、施工期</w:t>
            </w:r>
          </w:p>
          <w:p w14:paraId="30374FEA">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u w:val="none" w:color="auto"/>
              </w:rPr>
              <w:t>在本次环评工作开展之前，项目选址布局已经成型，本项目主体工程及相关配套设施已基本建成，前段施工期废水、废气、噪声、固废均得到了有效的处置，施工期没有遗留的环境问题</w:t>
            </w:r>
            <w:r>
              <w:rPr>
                <w:rFonts w:hint="default" w:ascii="Times New Roman" w:hAnsi="Times New Roman" w:cs="Times New Roman"/>
                <w:color w:val="auto"/>
                <w:highlight w:val="none"/>
                <w:u w:val="none" w:color="auto"/>
              </w:rPr>
              <w:t>。</w:t>
            </w:r>
          </w:p>
          <w:p w14:paraId="2C6A1671">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因此，本项目施工建设对环境影响甚微，</w:t>
            </w:r>
            <w:r>
              <w:rPr>
                <w:rFonts w:hint="default" w:ascii="Times New Roman" w:hAnsi="Times New Roman" w:eastAsia="宋体" w:cs="Times New Roman"/>
                <w:color w:val="auto"/>
                <w:sz w:val="24"/>
                <w:highlight w:val="none"/>
                <w:lang w:val="en-US" w:eastAsia="zh-CN"/>
              </w:rPr>
              <w:t>不做具体分析</w:t>
            </w:r>
            <w:r>
              <w:rPr>
                <w:rFonts w:hint="default" w:ascii="Times New Roman" w:hAnsi="Times New Roman" w:eastAsia="宋体" w:cs="Times New Roman"/>
                <w:color w:val="auto"/>
                <w:sz w:val="24"/>
                <w:highlight w:val="none"/>
              </w:rPr>
              <w:t>。</w:t>
            </w:r>
          </w:p>
          <w:p w14:paraId="62C95D2E">
            <w:pPr>
              <w:numPr>
                <w:ilvl w:val="0"/>
                <w:numId w:val="4"/>
              </w:num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营运期</w:t>
            </w:r>
          </w:p>
          <w:p w14:paraId="6F70F72F">
            <w:pPr>
              <w:spacing w:line="360" w:lineRule="auto"/>
              <w:ind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本项目主要产品为生态板芯，原材料为市场外购的杨木用大豆胶进行组胚后通过热压后降温得到</w:t>
            </w:r>
            <w:r>
              <w:rPr>
                <w:rFonts w:hint="eastAsia" w:cs="Times New Roman"/>
                <w:color w:val="auto"/>
                <w:sz w:val="24"/>
                <w:szCs w:val="24"/>
                <w:highlight w:val="none"/>
                <w:u w:val="none" w:color="auto"/>
                <w:lang w:val="en-US" w:eastAsia="zh-CN"/>
              </w:rPr>
              <w:t>生态板芯</w:t>
            </w:r>
            <w:r>
              <w:rPr>
                <w:rFonts w:hint="eastAsia" w:ascii="Times New Roman" w:hAnsi="Times New Roman" w:eastAsia="宋体" w:cs="Times New Roman"/>
                <w:color w:val="auto"/>
                <w:sz w:val="24"/>
                <w:szCs w:val="24"/>
                <w:highlight w:val="none"/>
                <w:u w:val="none" w:color="auto"/>
                <w:lang w:val="en-US" w:eastAsia="zh-CN"/>
              </w:rPr>
              <w:t>。</w:t>
            </w:r>
          </w:p>
          <w:p w14:paraId="7AE414C6">
            <w:pPr>
              <w:spacing w:line="360" w:lineRule="auto"/>
              <w:ind w:firstLine="482"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b/>
                <w:bCs/>
                <w:color w:val="auto"/>
                <w:sz w:val="24"/>
                <w:szCs w:val="24"/>
                <w:highlight w:val="none"/>
                <w:u w:val="none" w:color="auto"/>
                <w:lang w:val="en-US" w:eastAsia="zh-CN"/>
              </w:rPr>
              <w:t>1、营运期主要工艺流程：</w:t>
            </w:r>
          </w:p>
          <w:p w14:paraId="65D50104">
            <w:pPr>
              <w:spacing w:line="360" w:lineRule="auto"/>
              <w:ind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生产工艺简述：</w:t>
            </w:r>
          </w:p>
          <w:p w14:paraId="0BE89347">
            <w:pPr>
              <w:spacing w:line="360" w:lineRule="auto"/>
              <w:ind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(1)烘干：将木料放进烘干窑内，用生物质导热油锅炉提供热量进行烘干。</w:t>
            </w:r>
          </w:p>
          <w:p w14:paraId="23D3D0E0">
            <w:pPr>
              <w:spacing w:line="360" w:lineRule="auto"/>
              <w:ind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(2)锯切：按照规格将烘干的单片切割断料。</w:t>
            </w:r>
          </w:p>
          <w:p w14:paraId="5222B9BB">
            <w:pPr>
              <w:spacing w:line="360" w:lineRule="auto"/>
              <w:ind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(3)涂胶、拼板：将断料好的单片涂上大豆胶叠放起来，拼排好后用机械压制，使其更好地粘合起来。本项目使用的胶为大豆胶，大豆胶是一种以大豆蛋白为主要原料制成的胶黏剂，是一种新型的绿色环保胶黏剂，并具有良好的胶结性能和较好的耐湿性。</w:t>
            </w:r>
          </w:p>
          <w:p w14:paraId="45067E60">
            <w:pPr>
              <w:spacing w:line="360" w:lineRule="auto"/>
              <w:ind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(4)热压：将胚放入热压机，根据不同的厚度，热压(导热油锅炉供热)时间也不相同，热压使胶体固化，并使板材有足够强度。</w:t>
            </w:r>
          </w:p>
          <w:p w14:paraId="6082D0C3">
            <w:pPr>
              <w:spacing w:line="360" w:lineRule="auto"/>
              <w:ind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(5)仿形：将压制好的板材通过加工成成品。</w:t>
            </w:r>
          </w:p>
          <w:p w14:paraId="46C84FB4">
            <w:pPr>
              <w:spacing w:line="360" w:lineRule="auto"/>
              <w:ind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(6)检验：按等级，规格等分别进行分级。不合格产品回收综合利用。</w:t>
            </w:r>
          </w:p>
          <w:p w14:paraId="7E5E149A">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工艺流程图见图2-2。</w:t>
            </w:r>
          </w:p>
          <w:p w14:paraId="02A70A63">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imes New Roman" w:hAnsi="Times New Roman" w:eastAsia="宋体" w:cs="Times New Roman"/>
                <w:color w:val="auto"/>
                <w:sz w:val="24"/>
                <w:szCs w:val="24"/>
                <w:highlight w:val="none"/>
                <w:u w:val="none" w:color="auto"/>
                <w:lang w:val="en-US" w:eastAsia="zh-CN"/>
              </w:rPr>
            </w:pPr>
            <w:r>
              <w:rPr>
                <w:rFonts w:ascii="Times New Roman" w:hAnsi="Times New Roman" w:eastAsia="宋体" w:cs="Times New Roman"/>
                <w:color w:val="auto"/>
                <w:sz w:val="21"/>
              </w:rPr>
              <mc:AlternateContent>
                <mc:Choice Requires="wpc">
                  <w:drawing>
                    <wp:inline distT="0" distB="0" distL="114300" distR="114300">
                      <wp:extent cx="5511800" cy="3094355"/>
                      <wp:effectExtent l="0" t="0" r="0" b="0"/>
                      <wp:docPr id="93" name="画布 93"/>
                      <wp:cNvGraphicFramePr/>
                      <a:graphic xmlns:a="http://schemas.openxmlformats.org/drawingml/2006/main">
                        <a:graphicData uri="http://schemas.microsoft.com/office/word/2010/wordprocessingCanvas">
                          <wpc:wpc>
                            <wpc:bg/>
                            <wpc:whole/>
                            <wps:wsp>
                              <wps:cNvPr id="94" name="文本框 20"/>
                              <wps:cNvSpPr txBox="1"/>
                              <wps:spPr>
                                <a:xfrm>
                                  <a:off x="740410" y="852805"/>
                                  <a:ext cx="455930" cy="2635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5E6A1A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烘干</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7" name="文本框 22"/>
                              <wps:cNvSpPr txBox="1"/>
                              <wps:spPr>
                                <a:xfrm>
                                  <a:off x="0" y="716280"/>
                                  <a:ext cx="763905" cy="310515"/>
                                </a:xfrm>
                                <a:prstGeom prst="rect">
                                  <a:avLst/>
                                </a:prstGeom>
                                <a:noFill/>
                                <a:ln w="12700">
                                  <a:noFill/>
                                </a:ln>
                              </wps:spPr>
                              <wps:style>
                                <a:lnRef idx="0">
                                  <a:schemeClr val="accent1"/>
                                </a:lnRef>
                                <a:fillRef idx="0">
                                  <a:schemeClr val="accent1"/>
                                </a:fillRef>
                                <a:effectRef idx="0">
                                  <a:schemeClr val="accent1"/>
                                </a:effectRef>
                                <a:fontRef idx="minor">
                                  <a:schemeClr val="dk1"/>
                                </a:fontRef>
                              </wps:style>
                              <wps:txbx>
                                <w:txbxContent>
                                  <w:p w14:paraId="5FA793E2">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宋体"/>
                                        <w:sz w:val="21"/>
                                        <w:lang w:eastAsia="zh-CN"/>
                                      </w:rPr>
                                    </w:pPr>
                                    <w:r>
                                      <w:rPr>
                                        <w:rFonts w:hint="eastAsia" w:ascii="Times New Roman" w:hAnsi="Times New Roman" w:eastAsia="宋体" w:cs="宋体"/>
                                        <w:sz w:val="21"/>
                                        <w:lang w:eastAsia="zh-CN"/>
                                      </w:rPr>
                                      <w:t>原料木材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直接箭头连接符 23"/>
                              <wps:cNvCnPr>
                                <a:stCxn id="20" idx="3"/>
                              </wps:cNvCnPr>
                              <wps:spPr>
                                <a:xfrm flipV="1">
                                  <a:off x="1196340" y="979805"/>
                                  <a:ext cx="289560" cy="508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99" name="文本框 24"/>
                              <wps:cNvSpPr txBox="1"/>
                              <wps:spPr>
                                <a:xfrm>
                                  <a:off x="1456055" y="842645"/>
                                  <a:ext cx="455930" cy="2730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5ED164A">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锯切</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0" name="直接箭头连接符 25"/>
                              <wps:cNvCnPr/>
                              <wps:spPr>
                                <a:xfrm flipV="1">
                                  <a:off x="1922145" y="979170"/>
                                  <a:ext cx="289560" cy="508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01" name="文本框 26"/>
                              <wps:cNvSpPr txBox="1"/>
                              <wps:spPr>
                                <a:xfrm>
                                  <a:off x="2197735" y="846455"/>
                                  <a:ext cx="455930" cy="2635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E2D7FD">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宋体"/>
                                        <w:sz w:val="21"/>
                                        <w:lang w:eastAsia="zh-CN"/>
                                      </w:rPr>
                                    </w:pPr>
                                    <w:r>
                                      <w:rPr>
                                        <w:rFonts w:hint="eastAsia" w:ascii="Times New Roman" w:hAnsi="Times New Roman" w:eastAsia="宋体" w:cs="宋体"/>
                                        <w:sz w:val="21"/>
                                        <w:lang w:val="en-US" w:eastAsia="zh-CN"/>
                                      </w:rPr>
                                      <w:t>涂胶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2" name="直接箭头连接符 27"/>
                              <wps:cNvCnPr>
                                <a:stCxn id="26" idx="3"/>
                              </wps:cNvCnPr>
                              <wps:spPr>
                                <a:xfrm flipV="1">
                                  <a:off x="2653665" y="973455"/>
                                  <a:ext cx="289560" cy="508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03" name="文本框 37"/>
                              <wps:cNvSpPr txBox="1"/>
                              <wps:spPr>
                                <a:xfrm>
                                  <a:off x="2938780" y="834390"/>
                                  <a:ext cx="466725" cy="281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9BD97B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拼排</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4" name="直接箭头连接符 38"/>
                              <wps:cNvCnPr>
                                <a:stCxn id="37" idx="3"/>
                              </wps:cNvCnPr>
                              <wps:spPr>
                                <a:xfrm flipV="1">
                                  <a:off x="3405505" y="979805"/>
                                  <a:ext cx="289560" cy="508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05" name="文本框 39"/>
                              <wps:cNvSpPr txBox="1"/>
                              <wps:spPr>
                                <a:xfrm>
                                  <a:off x="3692525" y="833120"/>
                                  <a:ext cx="495300"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34128A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热压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6" name="直接箭头连接符 40"/>
                              <wps:cNvCnPr>
                                <a:stCxn id="39" idx="3"/>
                              </wps:cNvCnPr>
                              <wps:spPr>
                                <a:xfrm flipV="1">
                                  <a:off x="4197985" y="984885"/>
                                  <a:ext cx="289560" cy="508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07" name="文本框 41"/>
                              <wps:cNvSpPr txBox="1"/>
                              <wps:spPr>
                                <a:xfrm>
                                  <a:off x="4474845" y="837565"/>
                                  <a:ext cx="466725" cy="30289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42BBFC80">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宋体"/>
                                        <w:sz w:val="21"/>
                                        <w:lang w:eastAsia="zh-CN"/>
                                      </w:rPr>
                                    </w:pPr>
                                    <w:r>
                                      <w:rPr>
                                        <w:rFonts w:hint="eastAsia" w:ascii="Times New Roman" w:hAnsi="Times New Roman" w:eastAsia="宋体" w:cs="宋体"/>
                                        <w:sz w:val="21"/>
                                        <w:lang w:val="en-US" w:eastAsia="zh-CN"/>
                                      </w:rPr>
                                      <w:t>仿形</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2" name="文本框 47"/>
                              <wps:cNvSpPr txBox="1"/>
                              <wps:spPr>
                                <a:xfrm>
                                  <a:off x="1170940" y="1345565"/>
                                  <a:ext cx="985520" cy="484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2DD9B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粉尘、边角料、噪声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3" name="直接箭头连接符 48"/>
                              <wps:cNvCnPr/>
                              <wps:spPr>
                                <a:xfrm>
                                  <a:off x="1682750" y="1121410"/>
                                  <a:ext cx="8890" cy="289560"/>
                                </a:xfrm>
                                <a:prstGeom prst="straightConnector1">
                                  <a:avLst/>
                                </a:prstGeom>
                                <a:ln w="12700" cap="flat" cmpd="sng" algn="ctr">
                                  <a:solidFill>
                                    <a:schemeClr val="tx1"/>
                                  </a:solidFill>
                                  <a:prstDash val="dash"/>
                                  <a:miter lim="800000"/>
                                  <a:tailEnd type="arrow" w="med" len="med"/>
                                </a:ln>
                              </wps:spPr>
                              <wps:style>
                                <a:lnRef idx="0">
                                  <a:schemeClr val="accent1"/>
                                </a:lnRef>
                                <a:fillRef idx="0">
                                  <a:srgbClr val="FFFFFF"/>
                                </a:fillRef>
                                <a:effectRef idx="0">
                                  <a:srgbClr val="FFFFFF"/>
                                </a:effectRef>
                                <a:fontRef idx="minor">
                                  <a:schemeClr val="tx1"/>
                                </a:fontRef>
                              </wps:style>
                              <wps:bodyPr/>
                            </wps:wsp>
                            <wps:wsp>
                              <wps:cNvPr id="114" name="文本框 49"/>
                              <wps:cNvSpPr txBox="1"/>
                              <wps:spPr>
                                <a:xfrm>
                                  <a:off x="1990725" y="75565"/>
                                  <a:ext cx="866775" cy="47688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401E95E">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宋体"/>
                                        <w:sz w:val="21"/>
                                        <w:lang w:eastAsia="zh-CN"/>
                                      </w:rPr>
                                    </w:pPr>
                                    <w:r>
                                      <w:rPr>
                                        <w:rFonts w:hint="eastAsia" w:cs="宋体"/>
                                        <w:sz w:val="21"/>
                                        <w:lang w:val="en-US" w:eastAsia="zh-CN"/>
                                      </w:rPr>
                                      <w:t>导热油锅炉</w:t>
                                    </w:r>
                                    <w:r>
                                      <w:rPr>
                                        <w:rFonts w:hint="eastAsia" w:ascii="Times New Roman" w:hAnsi="Times New Roman" w:eastAsia="宋体" w:cs="宋体"/>
                                        <w:sz w:val="21"/>
                                        <w:lang w:eastAsia="zh-CN"/>
                                      </w:rPr>
                                      <w:t>供热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5" name="直接箭头连接符 50"/>
                              <wps:cNvCnPr>
                                <a:stCxn id="49" idx="2"/>
                                <a:endCxn id="94" idx="0"/>
                              </wps:cNvCnPr>
                              <wps:spPr>
                                <a:xfrm flipH="1">
                                  <a:off x="968375" y="552450"/>
                                  <a:ext cx="1456055" cy="300355"/>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16" name="直接箭头连接符 51"/>
                              <wps:cNvCnPr/>
                              <wps:spPr>
                                <a:xfrm flipV="1">
                                  <a:off x="1714500" y="310515"/>
                                  <a:ext cx="289560" cy="508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17" name="文本框 52"/>
                              <wps:cNvSpPr txBox="1"/>
                              <wps:spPr>
                                <a:xfrm>
                                  <a:off x="788670" y="161290"/>
                                  <a:ext cx="927735" cy="288290"/>
                                </a:xfrm>
                                <a:prstGeom prst="rect">
                                  <a:avLst/>
                                </a:prstGeom>
                                <a:noFill/>
                                <a:ln w="9525">
                                  <a:noFill/>
                                </a:ln>
                              </wps:spPr>
                              <wps:style>
                                <a:lnRef idx="0">
                                  <a:schemeClr val="accent1"/>
                                </a:lnRef>
                                <a:fillRef idx="0">
                                  <a:schemeClr val="accent1"/>
                                </a:fillRef>
                                <a:effectRef idx="0">
                                  <a:schemeClr val="accent1"/>
                                </a:effectRef>
                                <a:fontRef idx="minor">
                                  <a:schemeClr val="dk1"/>
                                </a:fontRef>
                              </wps:style>
                              <wps:txbx>
                                <w:txbxContent>
                                  <w:p w14:paraId="2E538A14">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Theme="minorEastAsia"/>
                                        <w:lang w:eastAsia="zh-CN"/>
                                      </w:rPr>
                                    </w:pPr>
                                    <w:r>
                                      <w:rPr>
                                        <w:rFonts w:hint="eastAsia"/>
                                        <w:sz w:val="21"/>
                                        <w:lang w:eastAsia="zh-CN"/>
                                      </w:rPr>
                                      <w:t>生物质颗</w:t>
                                    </w:r>
                                    <w:r>
                                      <w:rPr>
                                        <w:rFonts w:hint="eastAsia" w:ascii="Times New Roman" w:hAnsi="Times New Roman" w:eastAsia="宋体" w:cs="宋体"/>
                                        <w:color w:val="000000" w:themeColor="text1"/>
                                        <w:sz w:val="21"/>
                                        <w:lang w:eastAsia="zh-CN"/>
                                        <w14:textFill>
                                          <w14:solidFill>
                                            <w14:schemeClr w14:val="tx1"/>
                                          </w14:solidFill>
                                        </w14:textFill>
                                      </w:rPr>
                                      <w:t>粒</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8" name="直接箭头连接符 53"/>
                              <wps:cNvCnPr/>
                              <wps:spPr>
                                <a:xfrm rot="16200000">
                                  <a:off x="3006725" y="182245"/>
                                  <a:ext cx="8890" cy="289560"/>
                                </a:xfrm>
                                <a:prstGeom prst="straightConnector1">
                                  <a:avLst/>
                                </a:prstGeom>
                                <a:ln w="12700" cap="flat" cmpd="sng" algn="ctr">
                                  <a:solidFill>
                                    <a:schemeClr val="tx1"/>
                                  </a:solidFill>
                                  <a:prstDash val="dash"/>
                                  <a:miter lim="800000"/>
                                  <a:tailEnd type="arrow" w="med" len="med"/>
                                </a:ln>
                              </wps:spPr>
                              <wps:style>
                                <a:lnRef idx="0">
                                  <a:schemeClr val="accent1"/>
                                </a:lnRef>
                                <a:fillRef idx="0">
                                  <a:srgbClr val="FFFFFF"/>
                                </a:fillRef>
                                <a:effectRef idx="0">
                                  <a:srgbClr val="FFFFFF"/>
                                </a:effectRef>
                                <a:fontRef idx="minor">
                                  <a:schemeClr val="tx1"/>
                                </a:fontRef>
                              </wps:style>
                              <wps:bodyPr/>
                            </wps:wsp>
                            <wps:wsp>
                              <wps:cNvPr id="119" name="文本框 54"/>
                              <wps:cNvSpPr txBox="1"/>
                              <wps:spPr>
                                <a:xfrm>
                                  <a:off x="3114675" y="26670"/>
                                  <a:ext cx="561340" cy="628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1B16A4">
                                    <w:pPr>
                                      <w:keepNext w:val="0"/>
                                      <w:keepLines w:val="0"/>
                                      <w:pageBreakBefore w:val="0"/>
                                      <w:widowControl w:val="0"/>
                                      <w:kinsoku/>
                                      <w:wordWrap/>
                                      <w:overflowPunct/>
                                      <w:topLinePunct w:val="0"/>
                                      <w:bidi w:val="0"/>
                                      <w:adjustRightInd/>
                                      <w:snapToGrid/>
                                      <w:spacing w:line="240" w:lineRule="auto"/>
                                      <w:jc w:val="both"/>
                                      <w:textAlignment w:val="auto"/>
                                      <w:rPr>
                                        <w:rFonts w:hint="eastAsia" w:ascii="Times New Roman" w:hAnsi="Times New Roman" w:eastAsia="宋体" w:cs="宋体"/>
                                        <w:sz w:val="21"/>
                                        <w:lang w:eastAsia="zh-CN"/>
                                      </w:rPr>
                                    </w:pPr>
                                    <w:r>
                                      <w:rPr>
                                        <w:rFonts w:hint="eastAsia" w:ascii="Times New Roman" w:hAnsi="Times New Roman" w:eastAsia="宋体" w:cs="宋体"/>
                                        <w:sz w:val="21"/>
                                        <w:lang w:eastAsia="zh-CN"/>
                                      </w:rPr>
                                      <w:t>噪声、</w:t>
                                    </w:r>
                                    <w:r>
                                      <w:rPr>
                                        <w:rFonts w:hint="eastAsia" w:ascii="Times New Roman" w:hAnsi="Times New Roman" w:eastAsia="宋体" w:cs="宋体"/>
                                        <w:sz w:val="21"/>
                                        <w:lang w:val="en-US" w:eastAsia="zh-CN"/>
                                      </w:rPr>
                                      <w:t>烟</w:t>
                                    </w:r>
                                    <w:r>
                                      <w:rPr>
                                        <w:rFonts w:hint="eastAsia" w:ascii="Times New Roman" w:hAnsi="Times New Roman" w:eastAsia="宋体" w:cs="宋体"/>
                                        <w:sz w:val="21"/>
                                        <w:lang w:eastAsia="zh-CN"/>
                                      </w:rPr>
                                      <w:t>气</w:t>
                                    </w:r>
                                    <w:r>
                                      <w:rPr>
                                        <w:rFonts w:hint="eastAsia" w:cs="宋体"/>
                                        <w:sz w:val="21"/>
                                        <w:lang w:eastAsia="zh-CN"/>
                                      </w:rPr>
                                      <w:t>、固废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 name="文本框 55"/>
                              <wps:cNvSpPr txBox="1"/>
                              <wps:spPr>
                                <a:xfrm>
                                  <a:off x="3499485" y="1362710"/>
                                  <a:ext cx="899160" cy="4686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C1E04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eastAsia="zh-CN"/>
                                      </w:rPr>
                                      <w:t>噪声、</w:t>
                                    </w:r>
                                    <w:r>
                                      <w:rPr>
                                        <w:rFonts w:hint="eastAsia" w:ascii="Times New Roman" w:hAnsi="Times New Roman" w:eastAsia="宋体" w:cs="宋体"/>
                                        <w:sz w:val="21"/>
                                        <w:lang w:val="en-US" w:eastAsia="zh-CN"/>
                                      </w:rPr>
                                      <w:t>有机</w:t>
                                    </w:r>
                                    <w:r>
                                      <w:rPr>
                                        <w:rFonts w:hint="eastAsia" w:ascii="Times New Roman" w:hAnsi="Times New Roman" w:eastAsia="宋体" w:cs="宋体"/>
                                        <w:sz w:val="21"/>
                                        <w:lang w:eastAsia="zh-CN"/>
                                      </w:rPr>
                                      <w:t>废气、</w:t>
                                    </w:r>
                                    <w:r>
                                      <w:rPr>
                                        <w:rFonts w:hint="eastAsia" w:ascii="Times New Roman" w:hAnsi="Times New Roman" w:eastAsia="宋体" w:cs="宋体"/>
                                        <w:sz w:val="21"/>
                                        <w:lang w:val="en-US" w:eastAsia="zh-CN"/>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0" name="直接箭头连接符 56"/>
                              <wps:cNvCnPr/>
                              <wps:spPr>
                                <a:xfrm>
                                  <a:off x="3937000" y="1130935"/>
                                  <a:ext cx="8890" cy="289560"/>
                                </a:xfrm>
                                <a:prstGeom prst="straightConnector1">
                                  <a:avLst/>
                                </a:prstGeom>
                                <a:ln w="12700" cap="flat" cmpd="sng" algn="ctr">
                                  <a:solidFill>
                                    <a:schemeClr val="tx1"/>
                                  </a:solidFill>
                                  <a:prstDash val="dash"/>
                                  <a:miter lim="800000"/>
                                  <a:tailEnd type="arrow" w="med" len="med"/>
                                </a:ln>
                              </wps:spPr>
                              <wps:style>
                                <a:lnRef idx="0">
                                  <a:schemeClr val="accent1"/>
                                </a:lnRef>
                                <a:fillRef idx="0">
                                  <a:srgbClr val="FFFFFF"/>
                                </a:fillRef>
                                <a:effectRef idx="0">
                                  <a:srgbClr val="FFFFFF"/>
                                </a:effectRef>
                                <a:fontRef idx="minor">
                                  <a:schemeClr val="tx1"/>
                                </a:fontRef>
                              </wps:style>
                              <wps:bodyPr/>
                            </wps:wsp>
                            <wps:wsp>
                              <wps:cNvPr id="122" name="直接箭头连接符 59"/>
                              <wps:cNvCnPr/>
                              <wps:spPr>
                                <a:xfrm>
                                  <a:off x="2402205" y="1111250"/>
                                  <a:ext cx="8890" cy="289560"/>
                                </a:xfrm>
                                <a:prstGeom prst="straightConnector1">
                                  <a:avLst/>
                                </a:prstGeom>
                                <a:ln w="12700" cap="flat" cmpd="sng" algn="ctr">
                                  <a:solidFill>
                                    <a:schemeClr val="tx1"/>
                                  </a:solidFill>
                                  <a:prstDash val="dash"/>
                                  <a:miter lim="800000"/>
                                  <a:tailEnd type="arrow" w="med" len="med"/>
                                </a:ln>
                              </wps:spPr>
                              <wps:style>
                                <a:lnRef idx="0">
                                  <a:schemeClr val="accent1"/>
                                </a:lnRef>
                                <a:fillRef idx="0">
                                  <a:srgbClr val="FFFFFF"/>
                                </a:fillRef>
                                <a:effectRef idx="0">
                                  <a:srgbClr val="FFFFFF"/>
                                </a:effectRef>
                                <a:fontRef idx="minor">
                                  <a:schemeClr val="tx1"/>
                                </a:fontRef>
                              </wps:style>
                              <wps:bodyPr/>
                            </wps:wsp>
                            <wps:wsp>
                              <wps:cNvPr id="66" name="文本框 60"/>
                              <wps:cNvSpPr txBox="1"/>
                              <wps:spPr>
                                <a:xfrm>
                                  <a:off x="2113915" y="1337310"/>
                                  <a:ext cx="570865" cy="471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FCE5C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有机废气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3" name="直接箭头连接符 23"/>
                              <wps:cNvCnPr/>
                              <wps:spPr>
                                <a:xfrm>
                                  <a:off x="46355" y="984885"/>
                                  <a:ext cx="704215" cy="8255"/>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24" name="直接箭头连接符 48"/>
                              <wps:cNvCnPr/>
                              <wps:spPr>
                                <a:xfrm>
                                  <a:off x="4732655" y="1151255"/>
                                  <a:ext cx="8890" cy="289560"/>
                                </a:xfrm>
                                <a:prstGeom prst="straightConnector1">
                                  <a:avLst/>
                                </a:prstGeom>
                                <a:ln w="12700" cap="flat" cmpd="sng" algn="ctr">
                                  <a:solidFill>
                                    <a:schemeClr val="tx1"/>
                                  </a:solidFill>
                                  <a:prstDash val="dash"/>
                                  <a:miter lim="800000"/>
                                  <a:tailEnd type="arrow" w="med" len="med"/>
                                </a:ln>
                              </wps:spPr>
                              <wps:style>
                                <a:lnRef idx="0">
                                  <a:schemeClr val="accent1"/>
                                </a:lnRef>
                                <a:fillRef idx="0">
                                  <a:srgbClr val="FFFFFF"/>
                                </a:fillRef>
                                <a:effectRef idx="0">
                                  <a:srgbClr val="FFFFFF"/>
                                </a:effectRef>
                                <a:fontRef idx="minor">
                                  <a:schemeClr val="tx1"/>
                                </a:fontRef>
                              </wps:style>
                              <wps:bodyPr/>
                            </wps:wsp>
                            <wps:wsp>
                              <wps:cNvPr id="125" name="直接箭头连接符 50"/>
                              <wps:cNvCnPr>
                                <a:endCxn id="105" idx="0"/>
                              </wps:cNvCnPr>
                              <wps:spPr>
                                <a:xfrm>
                                  <a:off x="2407285" y="551180"/>
                                  <a:ext cx="1532890" cy="28194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26" name="文本框 47"/>
                              <wps:cNvSpPr txBox="1"/>
                              <wps:spPr>
                                <a:xfrm>
                                  <a:off x="4237355" y="1370330"/>
                                  <a:ext cx="985520" cy="484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F115C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粉尘、边角料、噪声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8" name="肘形连接符 128"/>
                              <wps:cNvCnPr>
                                <a:stCxn id="107" idx="3"/>
                              </wps:cNvCnPr>
                              <wps:spPr>
                                <a:xfrm>
                                  <a:off x="4941570" y="989330"/>
                                  <a:ext cx="247650" cy="1181100"/>
                                </a:xfrm>
                                <a:prstGeom prst="bentConnector2">
                                  <a:avLst/>
                                </a:prstGeom>
                                <a:ln w="12700">
                                  <a:solidFill>
                                    <a:schemeClr val="tx1"/>
                                  </a:solidFill>
                                  <a:headEnd type="none"/>
                                  <a:tailEnd type="none"/>
                                </a:ln>
                              </wps:spPr>
                              <wps:style>
                                <a:lnRef idx="2">
                                  <a:schemeClr val="accent1"/>
                                </a:lnRef>
                                <a:fillRef idx="0">
                                  <a:srgbClr val="FFFFFF"/>
                                </a:fillRef>
                                <a:effectRef idx="0">
                                  <a:srgbClr val="FFFFFF"/>
                                </a:effectRef>
                                <a:fontRef idx="minor">
                                  <a:schemeClr val="tx1"/>
                                </a:fontRef>
                              </wps:style>
                              <wps:bodyPr/>
                            </wps:wsp>
                            <wps:wsp>
                              <wps:cNvPr id="129" name="直接箭头连接符 129"/>
                              <wps:cNvCnPr/>
                              <wps:spPr>
                                <a:xfrm flipH="1">
                                  <a:off x="4770120" y="2170430"/>
                                  <a:ext cx="419100" cy="0"/>
                                </a:xfrm>
                                <a:prstGeom prst="straightConnector1">
                                  <a:avLst/>
                                </a:prstGeom>
                                <a:ln w="12700">
                                  <a:solidFill>
                                    <a:schemeClr val="tx1"/>
                                  </a:solidFill>
                                  <a:headEnd type="none"/>
                                  <a:tailEnd type="arrow" w="med" len="med"/>
                                </a:ln>
                              </wps:spPr>
                              <wps:style>
                                <a:lnRef idx="2">
                                  <a:schemeClr val="accent1"/>
                                </a:lnRef>
                                <a:fillRef idx="0">
                                  <a:srgbClr val="FFFFFF"/>
                                </a:fillRef>
                                <a:effectRef idx="0">
                                  <a:srgbClr val="FFFFFF"/>
                                </a:effectRef>
                                <a:fontRef idx="minor">
                                  <a:schemeClr val="tx1"/>
                                </a:fontRef>
                              </wps:style>
                              <wps:bodyPr/>
                            </wps:wsp>
                            <wps:wsp>
                              <wps:cNvPr id="132" name="文本框 41"/>
                              <wps:cNvSpPr txBox="1"/>
                              <wps:spPr>
                                <a:xfrm>
                                  <a:off x="4304030" y="2018030"/>
                                  <a:ext cx="466725" cy="30289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4A4FFB8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检验</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3" name="直接箭头连接符 133"/>
                              <wps:cNvCnPr/>
                              <wps:spPr>
                                <a:xfrm flipH="1">
                                  <a:off x="3884295" y="2170430"/>
                                  <a:ext cx="419100" cy="0"/>
                                </a:xfrm>
                                <a:prstGeom prst="straightConnector1">
                                  <a:avLst/>
                                </a:prstGeom>
                                <a:ln w="12700">
                                  <a:solidFill>
                                    <a:schemeClr val="tx1"/>
                                  </a:solidFill>
                                  <a:headEnd type="none"/>
                                  <a:tailEnd type="arrow" w="med" len="med"/>
                                </a:ln>
                              </wps:spPr>
                              <wps:style>
                                <a:lnRef idx="2">
                                  <a:schemeClr val="accent1"/>
                                </a:lnRef>
                                <a:fillRef idx="0">
                                  <a:srgbClr val="FFFFFF"/>
                                </a:fillRef>
                                <a:effectRef idx="0">
                                  <a:srgbClr val="FFFFFF"/>
                                </a:effectRef>
                                <a:fontRef idx="minor">
                                  <a:schemeClr val="tx1"/>
                                </a:fontRef>
                              </wps:style>
                              <wps:bodyPr/>
                            </wps:wsp>
                            <wps:wsp>
                              <wps:cNvPr id="134" name="文本框 41"/>
                              <wps:cNvSpPr txBox="1"/>
                              <wps:spPr>
                                <a:xfrm>
                                  <a:off x="3418205" y="2018030"/>
                                  <a:ext cx="466725" cy="30289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5C432A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成品</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243.65pt;width:434pt;" coordsize="5511800,3094355" editas="canvas" o:gfxdata="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">
                      <o:lock v:ext="edit" aspectratio="f"/>
                      <v:shape id="_x0000_s1026" o:spid="_x0000_s1026" style="position:absolute;left:0;top:0;height:3094355;width:5511800;" filled="f" stroked="f" coordsize="21600,21600" o:gfxdata="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">
                        <v:fill on="f" focussize="0,0"/>
                        <v:stroke on="f"/>
                        <v:imagedata o:title=""/>
                        <o:lock v:ext="edit" aspectratio="f"/>
                      </v:shape>
                      <v:shape id="文本框 20" o:spid="_x0000_s1026" o:spt="202" type="#_x0000_t202" style="position:absolute;left:740410;top:852805;height:263525;width:455930;" fillcolor="#FFFFFF [3201]" filled="t" stroked="t" coordsize="21600,21600" o:gfxdata="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vxEf6tMAAAAFAQAADwAAAAAAAAABACAAAAAiAAAAZHJzL2Rvd25yZXYueG1sUEsBAhQAFAAAAAgA&#10;h07iQJo6rqNjAgAAwgQAAA4AAAAAAAAAAQAgAAAAIgEAAGRycy9lMm9Eb2MueG1sUEsFBgAAAAAG&#10;AAYAWQEAAPcFAAAAAA==&#10;">
                        <v:fill on="t" focussize="0,0"/>
                        <v:stroke weight="0.5pt" color="#000000 [3204]" joinstyle="round"/>
                        <v:imagedata o:title=""/>
                        <o:lock v:ext="edit" aspectratio="f"/>
                        <v:textbox>
                          <w:txbxContent>
                            <w:p w14:paraId="05E6A1A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烘干</w:t>
                              </w:r>
                            </w:p>
                          </w:txbxContent>
                        </v:textbox>
                      </v:shape>
                      <v:shape id="文本框 22" o:spid="_x0000_s1026" o:spt="202" type="#_x0000_t202" style="position:absolute;left:0;top:716280;height:310515;width:763905;" filled="f" stroked="f" coordsize="21600,21600" o:gfxdata="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GvYCw1AAAAAUBAAAPAAAAAAAAAAEAIAAAACIAAABk&#10;cnMvZG93bnJldi54bWxQSwECFAAUAAAACACHTuJA00osvEMCAABtBAAADgAAAAAAAAABACAAAAAj&#10;AQAAZHJzL2Uyb0RvYy54bWxQSwUGAAAAAAYABgBZAQAA2AUAAAAA&#10;">
                        <v:fill on="f" focussize="0,0"/>
                        <v:stroke on="f" weight="1pt"/>
                        <v:imagedata o:title=""/>
                        <o:lock v:ext="edit" aspectratio="f"/>
                        <v:textbox>
                          <w:txbxContent>
                            <w:p w14:paraId="5FA793E2">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宋体"/>
                                  <w:sz w:val="21"/>
                                  <w:lang w:eastAsia="zh-CN"/>
                                </w:rPr>
                              </w:pPr>
                              <w:r>
                                <w:rPr>
                                  <w:rFonts w:hint="eastAsia" w:ascii="Times New Roman" w:hAnsi="Times New Roman" w:eastAsia="宋体" w:cs="宋体"/>
                                  <w:sz w:val="21"/>
                                  <w:lang w:eastAsia="zh-CN"/>
                                </w:rPr>
                                <w:t>原料木材</w:t>
                              </w:r>
                            </w:p>
                          </w:txbxContent>
                        </v:textbox>
                      </v:shape>
                      <v:shape id="直接箭头连接符 23" o:spid="_x0000_s1026" o:spt="32" type="#_x0000_t32" style="position:absolute;left:1196340;top:979805;flip:y;height:5080;width:289560;" filled="f" stroked="t" coordsize="21600,21600" o:gfxdata="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xZ/d01QAA&#10;AAUBAAAPAAAAAAAAAAEAIAAAACIAAABkcnMvZG93bnJldi54bWxQSwECFAAUAAAACACHTuJA2M0A&#10;dyECAAAIBAAADgAAAAAAAAABACAAAAAkAQAAZHJzL2Uyb0RvYy54bWxQSwUGAAAAAAYABgBZAQAA&#10;twUAAAAA&#10;">
                        <v:fill on="f" focussize="0,0"/>
                        <v:stroke weight="1pt" color="#000000 [3213]" joinstyle="round" endarrow="open"/>
                        <v:imagedata o:title=""/>
                        <o:lock v:ext="edit" aspectratio="f"/>
                      </v:shape>
                      <v:shape id="文本框 24" o:spid="_x0000_s1026" o:spt="202" type="#_x0000_t202" style="position:absolute;left:1456055;top:842645;height:273050;width:455930;" fillcolor="#FFFFFF [3201]" filled="t" stroked="t" coordsize="21600,21600" o:gfxdata="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xEf6tMAAAAFAQAADwAAAAAAAAABACAAAAAiAAAAZHJzL2Rvd25yZXYueG1sUEsBAhQAFAAA&#10;AAgAh07iQA668iRmAgAAwwQAAA4AAAAAAAAAAQAgAAAAIgEAAGRycy9lMm9Eb2MueG1sUEsFBgAA&#10;AAAGAAYAWQEAAPoFAAAAAA==&#10;">
                        <v:fill on="t" focussize="0,0"/>
                        <v:stroke weight="0.5pt" color="#000000 [3204]" joinstyle="round"/>
                        <v:imagedata o:title=""/>
                        <o:lock v:ext="edit" aspectratio="f"/>
                        <v:textbox>
                          <w:txbxContent>
                            <w:p w14:paraId="25ED164A">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锯切</w:t>
                              </w:r>
                            </w:p>
                          </w:txbxContent>
                        </v:textbox>
                      </v:shape>
                      <v:shape id="直接箭头连接符 25" o:spid="_x0000_s1026" o:spt="32" type="#_x0000_t32" style="position:absolute;left:1922145;top:979170;flip:y;height:5080;width:289560;" filled="f" stroked="t" coordsize="21600,21600" o:gfxdata="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Fn93TVAAAABQEAAA8AAAAAAAAAAQAgAAAA&#10;IgAAAGRycy9kb3ducmV2LnhtbFBLAQIUABQAAAAIAIdO4kCpDK2EDgIAAOIDAAAOAAAAAAAAAAEA&#10;IAAAACQBAABkcnMvZTJvRG9jLnhtbFBLBQYAAAAABgAGAFkBAACkBQAAAAA=&#10;">
                        <v:fill on="f" focussize="0,0"/>
                        <v:stroke weight="1pt" color="#000000 [3213]" joinstyle="round" endarrow="open"/>
                        <v:imagedata o:title=""/>
                        <o:lock v:ext="edit" aspectratio="f"/>
                      </v:shape>
                      <v:shape id="文本框 26" o:spid="_x0000_s1026" o:spt="202" type="#_x0000_t202" style="position:absolute;left:2197735;top:846455;height:263525;width:455930;" fillcolor="#FFFFFF [3201]" filled="t" stroked="t" coordsize="21600,21600" o:gfxdata="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ER/q0wAAAAUBAAAPAAAAAAAAAAEAIAAAACIAAABkcnMvZG93bnJldi54bWxQSwECFAAUAAAA&#10;CACHTuJANusU52UCAADEBAAADgAAAAAAAAABACAAAAAiAQAAZHJzL2Uyb0RvYy54bWxQSwUGAAAA&#10;AAYABgBZAQAA+QUAAAAA&#10;">
                        <v:fill on="t" focussize="0,0"/>
                        <v:stroke weight="0.5pt" color="#000000 [3204]" joinstyle="round"/>
                        <v:imagedata o:title=""/>
                        <o:lock v:ext="edit" aspectratio="f"/>
                        <v:textbox>
                          <w:txbxContent>
                            <w:p w14:paraId="50E2D7FD">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宋体"/>
                                  <w:sz w:val="21"/>
                                  <w:lang w:eastAsia="zh-CN"/>
                                </w:rPr>
                              </w:pPr>
                              <w:r>
                                <w:rPr>
                                  <w:rFonts w:hint="eastAsia" w:ascii="Times New Roman" w:hAnsi="Times New Roman" w:eastAsia="宋体" w:cs="宋体"/>
                                  <w:sz w:val="21"/>
                                  <w:lang w:val="en-US" w:eastAsia="zh-CN"/>
                                </w:rPr>
                                <w:t>涂胶</w:t>
                              </w:r>
                            </w:p>
                          </w:txbxContent>
                        </v:textbox>
                      </v:shape>
                      <v:shape id="直接箭头连接符 27" o:spid="_x0000_s1026" o:spt="32" type="#_x0000_t32" style="position:absolute;left:2653665;top:973455;flip:y;height:5080;width:289560;" filled="f" stroked="t" coordsize="21600,21600" o:gfxdata="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Wf3dNUA&#10;AAAFAQAADwAAAAAAAAABACAAAAAiAAAAZHJzL2Rvd25yZXYueG1sUEsBAhQAFAAAAAgAh07iQNCc&#10;uuwiAgAACQQAAA4AAAAAAAAAAQAgAAAAJAEAAGRycy9lMm9Eb2MueG1sUEsFBgAAAAAGAAYAWQEA&#10;ALgFAAAAAA==&#10;">
                        <v:fill on="f" focussize="0,0"/>
                        <v:stroke weight="1pt" color="#000000 [3213]" joinstyle="round" endarrow="open"/>
                        <v:imagedata o:title=""/>
                        <o:lock v:ext="edit" aspectratio="f"/>
                      </v:shape>
                      <v:shape id="文本框 37" o:spid="_x0000_s1026" o:spt="202" type="#_x0000_t202" style="position:absolute;left:2938780;top:834390;height:281940;width:466725;" fillcolor="#FFFFFF [3201]" filled="t" stroked="t" coordsize="21600,21600" o:gfxdata="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xEf6tMAAAAFAQAADwAAAAAAAAABACAAAAAiAAAAZHJzL2Rvd25yZXYueG1sUEsBAhQAFAAA&#10;AAgAh07iQLGhM2pmAgAAxAQAAA4AAAAAAAAAAQAgAAAAIgEAAGRycy9lMm9Eb2MueG1sUEsFBgAA&#10;AAAGAAYAWQEAAPoFAAAAAA==&#10;">
                        <v:fill on="t" focussize="0,0"/>
                        <v:stroke weight="0.5pt" color="#000000 [3204]" joinstyle="round"/>
                        <v:imagedata o:title=""/>
                        <o:lock v:ext="edit" aspectratio="f"/>
                        <v:textbox>
                          <w:txbxContent>
                            <w:p w14:paraId="59BD97B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拼排</w:t>
                              </w:r>
                            </w:p>
                          </w:txbxContent>
                        </v:textbox>
                      </v:shape>
                      <v:shape id="直接箭头连接符 38" o:spid="_x0000_s1026" o:spt="32" type="#_x0000_t32" style="position:absolute;left:3405505;top:979805;flip:y;height:5080;width:289560;" filled="f" stroked="t" coordsize="21600,21600" o:gfxdata="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xZ/d01QAA&#10;AAUBAAAPAAAAAAAAAAEAIAAAACIAAABkcnMvZG93bnJldi54bWxQSwECFAAUAAAACACHTuJA+Rfx&#10;byECAAAJBAAADgAAAAAAAAABACAAAAAkAQAAZHJzL2Uyb0RvYy54bWxQSwUGAAAAAAYABgBZAQAA&#10;twUAAAAA&#10;">
                        <v:fill on="f" focussize="0,0"/>
                        <v:stroke weight="1pt" color="#000000 [3213]" joinstyle="round" endarrow="open"/>
                        <v:imagedata o:title=""/>
                        <o:lock v:ext="edit" aspectratio="f"/>
                      </v:shape>
                      <v:shape id="文本框 39" o:spid="_x0000_s1026" o:spt="202" type="#_x0000_t202" style="position:absolute;left:3692525;top:833120;height:285750;width:495300;" fillcolor="#FFFFFF [3201]" filled="t" stroked="t" coordsize="21600,21600" o:gfxdata="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8RH+rTAAAABQEAAA8AAAAAAAAAAQAgAAAAIgAAAGRycy9kb3ducmV2LnhtbFBLAQIUABQAAAAI&#10;AIdO4kCZ/jZBZAIAAMQEAAAOAAAAAAAAAAEAIAAAACIBAABkcnMvZTJvRG9jLnhtbFBLBQYAAAAA&#10;BgAGAFkBAAD4BQAAAAA=&#10;">
                        <v:fill on="t" focussize="0,0"/>
                        <v:stroke weight="0.5pt" color="#000000 [3204]" joinstyle="round"/>
                        <v:imagedata o:title=""/>
                        <o:lock v:ext="edit" aspectratio="f"/>
                        <v:textbox>
                          <w:txbxContent>
                            <w:p w14:paraId="634128A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热压</w:t>
                              </w:r>
                            </w:p>
                          </w:txbxContent>
                        </v:textbox>
                      </v:shape>
                      <v:shape id="直接箭头连接符 40" o:spid="_x0000_s1026" o:spt="32" type="#_x0000_t32" style="position:absolute;left:4197985;top:984885;flip:y;height:5080;width:289560;" filled="f" stroked="t" coordsize="21600,21600" o:gfxdata="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xZ/d01QAA&#10;AAUBAAAPAAAAAAAAAAEAIAAAACIAAABkcnMvZG93bnJldi54bWxQSwECFAAUAAAACACHTuJAUnx7&#10;HSECAAAJBAAADgAAAAAAAAABACAAAAAkAQAAZHJzL2Uyb0RvYy54bWxQSwUGAAAAAAYABgBZAQAA&#10;twUAAAAA&#10;">
                        <v:fill on="f" focussize="0,0"/>
                        <v:stroke weight="1pt" color="#000000 [3213]" joinstyle="round" endarrow="open"/>
                        <v:imagedata o:title=""/>
                        <o:lock v:ext="edit" aspectratio="f"/>
                      </v:shape>
                      <v:shape id="文本框 41" o:spid="_x0000_s1026" o:spt="202" type="#_x0000_t202" style="position:absolute;left:4474845;top:837565;height:302895;width:466725;" filled="f" stroked="t" coordsize="21600,21600" o:gfxdata="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0g&#10;TjDWAAAABQEAAA8AAAAAAAAAAQAgAAAAIgAAAGRycy9kb3ducmV2LnhtbFBLAQIUABQAAAAIAIdO&#10;4kCzhJt5XgIAAJwEAAAOAAAAAAAAAAEAIAAAACUBAABkcnMvZTJvRG9jLnhtbFBLBQYAAAAABgAG&#10;AFkBAAD1BQAAAAA=&#10;">
                        <v:fill on="f" focussize="0,0"/>
                        <v:stroke weight="0.5pt" color="#000000 [3213]" joinstyle="round"/>
                        <v:imagedata o:title=""/>
                        <o:lock v:ext="edit" aspectratio="f"/>
                        <v:textbox>
                          <w:txbxContent>
                            <w:p w14:paraId="42BBFC80">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宋体"/>
                                  <w:sz w:val="21"/>
                                  <w:lang w:eastAsia="zh-CN"/>
                                </w:rPr>
                              </w:pPr>
                              <w:r>
                                <w:rPr>
                                  <w:rFonts w:hint="eastAsia" w:ascii="Times New Roman" w:hAnsi="Times New Roman" w:eastAsia="宋体" w:cs="宋体"/>
                                  <w:sz w:val="21"/>
                                  <w:lang w:val="en-US" w:eastAsia="zh-CN"/>
                                </w:rPr>
                                <w:t>仿形</w:t>
                              </w:r>
                            </w:p>
                          </w:txbxContent>
                        </v:textbox>
                      </v:shape>
                      <v:shape id="文本框 47" o:spid="_x0000_s1026" o:spt="202" type="#_x0000_t202" style="position:absolute;left:1170940;top:1345565;height:484505;width:985520;" filled="f" stroked="f" coordsize="21600,21600" o:gfxdata="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wH9vzXAAAABQEAAA8AAAAAAAAAAQAg&#10;AAAAIgAAAGRycy9kb3ducmV2LnhtbFBLAQIUABQAAAAIAIdO4kDqe9/sSAIAAHQEAAAOAAAAAAAA&#10;AAEAIAAAACYBAABkcnMvZTJvRG9jLnhtbFBLBQYAAAAABgAGAFkBAADgBQAAAAA=&#10;">
                        <v:fill on="f" focussize="0,0"/>
                        <v:stroke on="f" weight="0.5pt"/>
                        <v:imagedata o:title=""/>
                        <o:lock v:ext="edit" aspectratio="f"/>
                        <v:textbox>
                          <w:txbxContent>
                            <w:p w14:paraId="0E2DD9B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粉尘、边角料、噪声</w:t>
                              </w:r>
                            </w:p>
                          </w:txbxContent>
                        </v:textbox>
                      </v:shape>
                      <v:shape id="直接箭头连接符 48" o:spid="_x0000_s1026" o:spt="32" type="#_x0000_t32" style="position:absolute;left:1682750;top:1121410;height:289560;width:8890;" filled="f" stroked="t" coordsize="21600,21600" o:gfxdata="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HNVsR1QAAAAUB&#10;AAAPAAAAAAAAAAEAIAAAACIAAABkcnMvZG93bnJldi54bWxQSwECFAAUAAAACACHTuJAr25YYR4C&#10;AAABBAAADgAAAAAAAAABACAAAAAkAQAAZHJzL2Uyb0RvYy54bWxQSwUGAAAAAAYABgBZAQAAtAUA&#10;AAAA&#10;">
                        <v:fill on="f" focussize="0,0"/>
                        <v:stroke weight="1pt" color="#000000 [3213]" miterlimit="8" joinstyle="miter" dashstyle="dash" endarrow="open"/>
                        <v:imagedata o:title=""/>
                        <o:lock v:ext="edit" aspectratio="f"/>
                      </v:shape>
                      <v:shape id="文本框 49" o:spid="_x0000_s1026" o:spt="202" type="#_x0000_t202" style="position:absolute;left:1990725;top:75565;height:476885;width:866775;" filled="f" stroked="t" coordsize="21600,21600" o:gfxdata="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0gTjDW&#10;AAAABQEAAA8AAAAAAAAAAQAgAAAAIgAAAGRycy9kb3ducmV2LnhtbFBLAQIUABQAAAAIAIdO4kAN&#10;hhggWwIAAJsEAAAOAAAAAAAAAAEAIAAAACUBAABkcnMvZTJvRG9jLnhtbFBLBQYAAAAABgAGAFkB&#10;AADyBQAAAAA=&#10;">
                        <v:fill on="f" focussize="0,0"/>
                        <v:stroke weight="0.5pt" color="#000000 [3213]" joinstyle="round"/>
                        <v:imagedata o:title=""/>
                        <o:lock v:ext="edit" aspectratio="f"/>
                        <v:textbox>
                          <w:txbxContent>
                            <w:p w14:paraId="5401E95E">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宋体"/>
                                  <w:sz w:val="21"/>
                                  <w:lang w:eastAsia="zh-CN"/>
                                </w:rPr>
                              </w:pPr>
                              <w:r>
                                <w:rPr>
                                  <w:rFonts w:hint="eastAsia" w:cs="宋体"/>
                                  <w:sz w:val="21"/>
                                  <w:lang w:val="en-US" w:eastAsia="zh-CN"/>
                                </w:rPr>
                                <w:t>导热油锅炉</w:t>
                              </w:r>
                              <w:r>
                                <w:rPr>
                                  <w:rFonts w:hint="eastAsia" w:ascii="Times New Roman" w:hAnsi="Times New Roman" w:eastAsia="宋体" w:cs="宋体"/>
                                  <w:sz w:val="21"/>
                                  <w:lang w:eastAsia="zh-CN"/>
                                </w:rPr>
                                <w:t>供热</w:t>
                              </w:r>
                            </w:p>
                          </w:txbxContent>
                        </v:textbox>
                      </v:shape>
                      <v:shape id="直接箭头连接符 50" o:spid="_x0000_s1026" o:spt="32" type="#_x0000_t32" style="position:absolute;left:968375;top:552450;flip:x;height:300355;width:1456055;" filled="f" stroked="t" coordsize="21600,21600" o:gfxdata="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DFn93TVAAAABQEAAA8AAAAAAAAAAQAgAAAAIgAAAGRycy9kb3ducmV2LnhtbFBLAQIUABQA&#10;AAAIAIdO4kAPYPfZLAIAACYEAAAOAAAAAAAAAAEAIAAAACQBAABkcnMvZTJvRG9jLnhtbFBLBQYA&#10;AAAABgAGAFkBAADCBQAAAAA=&#10;">
                        <v:fill on="f" focussize="0,0"/>
                        <v:stroke weight="1pt" color="#000000 [3213]" joinstyle="round" endarrow="open"/>
                        <v:imagedata o:title=""/>
                        <o:lock v:ext="edit" aspectratio="f"/>
                      </v:shape>
                      <v:shape id="直接箭头连接符 51" o:spid="_x0000_s1026" o:spt="32" type="#_x0000_t32" style="position:absolute;left:1714500;top:310515;flip:y;height:5080;width:289560;" filled="f" stroked="t" coordsize="21600,21600" o:gfxdata="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Fn93TVAAAABQEAAA8AAAAAAAAAAQAgAAAA&#10;IgAAAGRycy9kb3ducmV2LnhtbFBLAQIUABQAAAAIAIdO4kC9H9TIDgIAAOIDAAAOAAAAAAAAAAEA&#10;IAAAACQBAABkcnMvZTJvRG9jLnhtbFBLBQYAAAAABgAGAFkBAACkBQAAAAA=&#10;">
                        <v:fill on="f" focussize="0,0"/>
                        <v:stroke weight="1pt" color="#000000 [3213]" joinstyle="round" endarrow="open"/>
                        <v:imagedata o:title=""/>
                        <o:lock v:ext="edit" aspectratio="f"/>
                      </v:shape>
                      <v:shape id="文本框 52" o:spid="_x0000_s1026" o:spt="202" type="#_x0000_t202" style="position:absolute;left:788670;top:161290;height:288290;width:927735;" filled="f" stroked="f" coordsize="21600,21600" o:gfxdata="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3ZKsNMAAAAFAQAADwAAAAAAAAABACAAAAAiAAAA&#10;ZHJzL2Rvd25yZXYueG1sUEsBAhQAFAAAAAgAh07iQOO+FJJFAgAAcgQAAA4AAAAAAAAAAQAgAAAA&#10;IgEAAGRycy9lMm9Eb2MueG1sUEsFBgAAAAAGAAYAWQEAANkFAAAAAA==&#10;">
                        <v:fill on="f" focussize="0,0"/>
                        <v:stroke on="f"/>
                        <v:imagedata o:title=""/>
                        <o:lock v:ext="edit" aspectratio="f"/>
                        <v:textbox>
                          <w:txbxContent>
                            <w:p w14:paraId="2E538A14">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Theme="minorEastAsia"/>
                                  <w:lang w:eastAsia="zh-CN"/>
                                </w:rPr>
                              </w:pPr>
                              <w:r>
                                <w:rPr>
                                  <w:rFonts w:hint="eastAsia"/>
                                  <w:sz w:val="21"/>
                                  <w:lang w:eastAsia="zh-CN"/>
                                </w:rPr>
                                <w:t>生物质颗</w:t>
                              </w:r>
                              <w:r>
                                <w:rPr>
                                  <w:rFonts w:hint="eastAsia" w:ascii="Times New Roman" w:hAnsi="Times New Roman" w:eastAsia="宋体" w:cs="宋体"/>
                                  <w:color w:val="000000" w:themeColor="text1"/>
                                  <w:sz w:val="21"/>
                                  <w:lang w:eastAsia="zh-CN"/>
                                  <w14:textFill>
                                    <w14:solidFill>
                                      <w14:schemeClr w14:val="tx1"/>
                                    </w14:solidFill>
                                  </w14:textFill>
                                </w:rPr>
                                <w:t>粒</w:t>
                              </w:r>
                            </w:p>
                          </w:txbxContent>
                        </v:textbox>
                      </v:shape>
                      <v:shape id="直接箭头连接符 53" o:spid="_x0000_s1026" o:spt="32" type="#_x0000_t32" style="position:absolute;left:3006725;top:182245;height:289560;width:8890;rotation:-5898240f;" filled="f" stroked="t" coordsize="21600,21600" o:gfxdata="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A8&#10;5/HUAAAABQEAAA8AAAAAAAAAAQAgAAAAIgAAAGRycy9kb3ducmV2LnhtbFBLAQIUABQAAAAIAIdO&#10;4kAhrLFFJwIAAA8EAAAOAAAAAAAAAAEAIAAAACMBAABkcnMvZTJvRG9jLnhtbFBLBQYAAAAABgAG&#10;AFkBAAC8BQAAAAA=&#10;">
                        <v:fill on="f" focussize="0,0"/>
                        <v:stroke weight="1pt" color="#000000 [3213]" miterlimit="8" joinstyle="miter" dashstyle="dash" endarrow="open"/>
                        <v:imagedata o:title=""/>
                        <o:lock v:ext="edit" aspectratio="f"/>
                      </v:shape>
                      <v:shape id="文本框 54" o:spid="_x0000_s1026" o:spt="202" type="#_x0000_t202" style="position:absolute;left:3114675;top:26670;height:628650;width:561340;" filled="f" stroked="f" coordsize="21600,21600" o:gfxdata="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sB/b81wAAAAUBAAAPAAAAAAAAAAEAIAAA&#10;ACIAAABkcnMvZG93bnJldi54bWxQSwECFAAUAAAACACHTuJALDCZI0YCAAByBAAADgAAAAAAAAAB&#10;ACAAAAAmAQAAZHJzL2Uyb0RvYy54bWxQSwUGAAAAAAYABgBZAQAA3gUAAAAA&#10;">
                        <v:fill on="f" focussize="0,0"/>
                        <v:stroke on="f" weight="0.5pt"/>
                        <v:imagedata o:title=""/>
                        <o:lock v:ext="edit" aspectratio="f"/>
                        <v:textbox>
                          <w:txbxContent>
                            <w:p w14:paraId="3E1B16A4">
                              <w:pPr>
                                <w:keepNext w:val="0"/>
                                <w:keepLines w:val="0"/>
                                <w:pageBreakBefore w:val="0"/>
                                <w:widowControl w:val="0"/>
                                <w:kinsoku/>
                                <w:wordWrap/>
                                <w:overflowPunct/>
                                <w:topLinePunct w:val="0"/>
                                <w:bidi w:val="0"/>
                                <w:adjustRightInd/>
                                <w:snapToGrid/>
                                <w:spacing w:line="240" w:lineRule="auto"/>
                                <w:jc w:val="both"/>
                                <w:textAlignment w:val="auto"/>
                                <w:rPr>
                                  <w:rFonts w:hint="eastAsia" w:ascii="Times New Roman" w:hAnsi="Times New Roman" w:eastAsia="宋体" w:cs="宋体"/>
                                  <w:sz w:val="21"/>
                                  <w:lang w:eastAsia="zh-CN"/>
                                </w:rPr>
                              </w:pPr>
                              <w:r>
                                <w:rPr>
                                  <w:rFonts w:hint="eastAsia" w:ascii="Times New Roman" w:hAnsi="Times New Roman" w:eastAsia="宋体" w:cs="宋体"/>
                                  <w:sz w:val="21"/>
                                  <w:lang w:eastAsia="zh-CN"/>
                                </w:rPr>
                                <w:t>噪声、</w:t>
                              </w:r>
                              <w:r>
                                <w:rPr>
                                  <w:rFonts w:hint="eastAsia" w:ascii="Times New Roman" w:hAnsi="Times New Roman" w:eastAsia="宋体" w:cs="宋体"/>
                                  <w:sz w:val="21"/>
                                  <w:lang w:val="en-US" w:eastAsia="zh-CN"/>
                                </w:rPr>
                                <w:t>烟</w:t>
                              </w:r>
                              <w:r>
                                <w:rPr>
                                  <w:rFonts w:hint="eastAsia" w:ascii="Times New Roman" w:hAnsi="Times New Roman" w:eastAsia="宋体" w:cs="宋体"/>
                                  <w:sz w:val="21"/>
                                  <w:lang w:eastAsia="zh-CN"/>
                                </w:rPr>
                                <w:t>气</w:t>
                              </w:r>
                              <w:r>
                                <w:rPr>
                                  <w:rFonts w:hint="eastAsia" w:cs="宋体"/>
                                  <w:sz w:val="21"/>
                                  <w:lang w:eastAsia="zh-CN"/>
                                </w:rPr>
                                <w:t>、固废</w:t>
                              </w:r>
                            </w:p>
                          </w:txbxContent>
                        </v:textbox>
                      </v:shape>
                      <v:shape id="文本框 55" o:spid="_x0000_s1026" o:spt="202" type="#_x0000_t202" style="position:absolute;left:3499485;top:1362710;height:468630;width:899160;" filled="f" stroked="f" coordsize="21600,21600" o:gfxdata="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rAf2/NcAAAAFAQAADwAAAAAAAAABACAA&#10;AAAiAAAAZHJzL2Rvd25yZXYueG1sUEsBAhQAFAAAAAgAh07iQNip/KtHAgAAcwQAAA4AAAAAAAAA&#10;AQAgAAAAJgEAAGRycy9lMm9Eb2MueG1sUEsFBgAAAAAGAAYAWQEAAN8FAAAAAA==&#10;">
                        <v:fill on="f" focussize="0,0"/>
                        <v:stroke on="f" weight="0.5pt"/>
                        <v:imagedata o:title=""/>
                        <o:lock v:ext="edit" aspectratio="f"/>
                        <v:textbox>
                          <w:txbxContent>
                            <w:p w14:paraId="44C1E04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eastAsia="zh-CN"/>
                                </w:rPr>
                                <w:t>噪声、</w:t>
                              </w:r>
                              <w:r>
                                <w:rPr>
                                  <w:rFonts w:hint="eastAsia" w:ascii="Times New Roman" w:hAnsi="Times New Roman" w:eastAsia="宋体" w:cs="宋体"/>
                                  <w:sz w:val="21"/>
                                  <w:lang w:val="en-US" w:eastAsia="zh-CN"/>
                                </w:rPr>
                                <w:t>有机</w:t>
                              </w:r>
                              <w:r>
                                <w:rPr>
                                  <w:rFonts w:hint="eastAsia" w:ascii="Times New Roman" w:hAnsi="Times New Roman" w:eastAsia="宋体" w:cs="宋体"/>
                                  <w:sz w:val="21"/>
                                  <w:lang w:eastAsia="zh-CN"/>
                                </w:rPr>
                                <w:t>废气、</w:t>
                              </w:r>
                              <w:r>
                                <w:rPr>
                                  <w:rFonts w:hint="eastAsia" w:ascii="Times New Roman" w:hAnsi="Times New Roman" w:eastAsia="宋体" w:cs="宋体"/>
                                  <w:sz w:val="21"/>
                                  <w:lang w:val="en-US" w:eastAsia="zh-CN"/>
                                </w:rPr>
                                <w:t>粉尘</w:t>
                              </w:r>
                            </w:p>
                          </w:txbxContent>
                        </v:textbox>
                      </v:shape>
                      <v:shape id="直接箭头连接符 56" o:spid="_x0000_s1026" o:spt="32" type="#_x0000_t32" style="position:absolute;left:3937000;top:1130935;height:289560;width:8890;" filled="f" stroked="t" coordsize="21600,21600" o:gfxdata="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c1WxHVAAAABQEA&#10;AA8AAAAAAAAAAQAgAAAAIgAAAGRycy9kb3ducmV2LnhtbFBLAQIUABQAAAAIAIdO4kCIWEmGHQIA&#10;AAEEAAAOAAAAAAAAAAEAIAAAACQBAABkcnMvZTJvRG9jLnhtbFBLBQYAAAAABgAGAFkBAACzBQAA&#10;AAA=&#10;">
                        <v:fill on="f" focussize="0,0"/>
                        <v:stroke weight="1pt" color="#000000 [3213]" miterlimit="8" joinstyle="miter" dashstyle="dash" endarrow="open"/>
                        <v:imagedata o:title=""/>
                        <o:lock v:ext="edit" aspectratio="f"/>
                      </v:shape>
                      <v:shape id="直接箭头连接符 59" o:spid="_x0000_s1026" o:spt="32" type="#_x0000_t32" style="position:absolute;left:2402205;top:1111250;height:289560;width:8890;" filled="f" stroked="t" coordsize="21600,21600" o:gfxdata="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xzVbEdUAAAAFAQAA&#10;DwAAAAAAAAABACAAAAAiAAAAZHJzL2Rvd25yZXYueG1sUEsBAhQAFAAAAAgAh07iQBmlwqscAgAA&#10;AQQAAA4AAAAAAAAAAQAgAAAAJAEAAGRycy9lMm9Eb2MueG1sUEsFBgAAAAAGAAYAWQEAALIFAAAA&#10;AA==&#10;">
                        <v:fill on="f" focussize="0,0"/>
                        <v:stroke weight="1pt" color="#000000 [3213]" miterlimit="8" joinstyle="miter" dashstyle="dash" endarrow="open"/>
                        <v:imagedata o:title=""/>
                        <o:lock v:ext="edit" aspectratio="f"/>
                      </v:shape>
                      <v:shape id="文本框 60" o:spid="_x0000_s1026" o:spt="202" type="#_x0000_t202" style="position:absolute;left:2113915;top:1337310;height:471805;width:570865;" filled="f" stroked="f" coordsize="21600,21600" o:gfxdata="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sB/b81wAAAAUBAAAPAAAAAAAAAAEAIAAA&#10;ACIAAABkcnMvZG93bnJldi54bWxQSwECFAAUAAAACACHTuJAL6sQp0YCAABzBAAADgAAAAAAAAAB&#10;ACAAAAAmAQAAZHJzL2Uyb0RvYy54bWxQSwUGAAAAAAYABgBZAQAA3gUAAAAA&#10;">
                        <v:fill on="f" focussize="0,0"/>
                        <v:stroke on="f" weight="0.5pt"/>
                        <v:imagedata o:title=""/>
                        <o:lock v:ext="edit" aspectratio="f"/>
                        <v:textbox>
                          <w:txbxContent>
                            <w:p w14:paraId="3AFCE5C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有机废气</w:t>
                              </w:r>
                            </w:p>
                          </w:txbxContent>
                        </v:textbox>
                      </v:shape>
                      <v:shape id="直接箭头连接符 23" o:spid="_x0000_s1026" o:spt="32" type="#_x0000_t32" style="position:absolute;left:46355;top:984885;height:8255;width:704215;" filled="f" stroked="t" coordsize="21600,21600" o:gfxdata="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&#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7kmzWAAAABQEAAA8AAAAAAAAAAQAgAAAAIgAAAGRy&#10;cy9kb3ducmV2LnhtbFBLAQIUABQAAAAIAIdO4kCAbf0rBwIAANYDAAAOAAAAAAAAAAEAIAAAACUB&#10;AABkcnMvZTJvRG9jLnhtbFBLBQYAAAAABgAGAFkBAACeBQAAAAA=&#10;">
                        <v:fill on="f" focussize="0,0"/>
                        <v:stroke weight="1pt" color="#000000 [3213]" joinstyle="round" endarrow="open"/>
                        <v:imagedata o:title=""/>
                        <o:lock v:ext="edit" aspectratio="f"/>
                      </v:shape>
                      <v:shape id="直接箭头连接符 48" o:spid="_x0000_s1026" o:spt="32" type="#_x0000_t32" style="position:absolute;left:4732655;top:1151255;height:289560;width:8890;" filled="f" stroked="t" coordsize="21600,21600" o:gfxdata="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xzVbEdUAAAAF&#10;AQAADwAAAAAAAAABACAAAAAiAAAAZHJzL2Rvd25yZXYueG1sUEsBAhQAFAAAAAgAh07iQOdXVLsf&#10;AgAAAQQAAA4AAAAAAAAAAQAgAAAAJAEAAGRycy9lMm9Eb2MueG1sUEsFBgAAAAAGAAYAWQEAALUF&#10;AAAAAA==&#10;">
                        <v:fill on="f" focussize="0,0"/>
                        <v:stroke weight="1pt" color="#000000 [3213]" miterlimit="8" joinstyle="miter" dashstyle="dash" endarrow="open"/>
                        <v:imagedata o:title=""/>
                        <o:lock v:ext="edit" aspectratio="f"/>
                      </v:shape>
                      <v:shape id="直接箭头连接符 50" o:spid="_x0000_s1026" o:spt="32" type="#_x0000_t32" style="position:absolute;left:2407285;top:551180;height:281940;width:1532890;" filled="f" stroked="t" coordsize="21600,21600" o:gfxdata="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7uSbNYAAAAFAQAA&#10;DwAAAAAAAAABACAAAAAiAAAAZHJzL2Rvd25yZXYueG1sUEsBAhQAFAAAAAgAh07iQEKU0QgbAgAA&#10;BAQAAA4AAAAAAAAAAQAgAAAAJQEAAGRycy9lMm9Eb2MueG1sUEsFBgAAAAAGAAYAWQEAALIFAAAA&#10;AA==&#10;">
                        <v:fill on="f" focussize="0,0"/>
                        <v:stroke weight="1pt" color="#000000 [3213]" joinstyle="round" endarrow="open"/>
                        <v:imagedata o:title=""/>
                        <o:lock v:ext="edit" aspectratio="f"/>
                      </v:shape>
                      <v:shape id="文本框 47" o:spid="_x0000_s1026" o:spt="202" type="#_x0000_t202" style="position:absolute;left:4237355;top:1370330;height:484505;width:985520;" filled="f" stroked="f" coordsize="21600,21600" o:gfxdata="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wH9vzXAAAABQEAAA8AAAAAAAAAAQAg&#10;AAAAIgAAAGRycy9kb3ducmV2LnhtbFBLAQIUABQAAAAIAIdO4kBl9ffaSAIAAHQEAAAOAAAAAAAA&#10;AAEAIAAAACYBAABkcnMvZTJvRG9jLnhtbFBLBQYAAAAABgAGAFkBAADgBQAAAAA=&#10;">
                        <v:fill on="f" focussize="0,0"/>
                        <v:stroke on="f" weight="0.5pt"/>
                        <v:imagedata o:title=""/>
                        <o:lock v:ext="edit" aspectratio="f"/>
                        <v:textbox>
                          <w:txbxContent>
                            <w:p w14:paraId="63F115C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粉尘、边角料、噪声</w:t>
                              </w:r>
                            </w:p>
                          </w:txbxContent>
                        </v:textbox>
                      </v:shape>
                      <v:shape id="_x0000_s1026" o:spid="_x0000_s1026" o:spt="33" type="#_x0000_t33" style="position:absolute;left:4941570;top:989330;height:1181100;width:247650;" filled="f" stroked="t" coordsize="21600,21600" o:gfxdata="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OJBL3dcAAAAF&#10;AQAADwAAAAAAAAABACAAAAAiAAAAZHJzL2Rvd25yZXYueG1sUEsBAhQAFAAAAAgAh07iQJ84DiUd&#10;AgAAEQQAAA4AAAAAAAAAAQAgAAAAJgEAAGRycy9lMm9Eb2MueG1sUEsFBgAAAAAGAAYAWQEAALUF&#10;AAAAAA==&#10;">
                        <v:fill on="f" focussize="0,0"/>
                        <v:stroke weight="1pt" color="#000000 [3213]" joinstyle="round"/>
                        <v:imagedata o:title=""/>
                        <o:lock v:ext="edit" aspectratio="f"/>
                      </v:shape>
                      <v:shape id="_x0000_s1026" o:spid="_x0000_s1026" o:spt="32" type="#_x0000_t32" style="position:absolute;left:4770120;top:2170430;flip:x;height:0;width:419100;" filled="f" stroked="t" coordsize="21600,21600" o:gfxdata="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xZ/d01QAAAAUB&#10;AAAPAAAAAAAAAAEAIAAAACIAAABkcnMvZG93bnJldi54bWxQSwECFAAUAAAACACHTuJA33S7WR4C&#10;AAALBAAADgAAAAAAAAABACAAAAAkAQAAZHJzL2Uyb0RvYy54bWxQSwUGAAAAAAYABgBZAQAAtAUA&#10;AAAA&#10;">
                        <v:fill on="f" focussize="0,0"/>
                        <v:stroke weight="1pt" color="#000000 [3213]" joinstyle="round" endarrow="open"/>
                        <v:imagedata o:title=""/>
                        <o:lock v:ext="edit" aspectratio="f"/>
                      </v:shape>
                      <v:shape id="文本框 41" o:spid="_x0000_s1026" o:spt="202" type="#_x0000_t202" style="position:absolute;left:4304030;top:2018030;height:302895;width:466725;" filled="f" stroked="t" coordsize="21600,21600" o:gfxdata="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NIE4w1gAA&#10;AAUBAAAPAAAAAAAAAAEAIAAAACIAAABkcnMvZG93bnJldi54bWxQSwECFAAUAAAACACHTuJA39Ym&#10;nFkCAACdBAAADgAAAAAAAAABACAAAAAlAQAAZHJzL2Uyb0RvYy54bWxQSwUGAAAAAAYABgBZAQAA&#10;8AUAAAAA&#10;">
                        <v:fill on="f" focussize="0,0"/>
                        <v:stroke weight="0.5pt" color="#000000 [3213]" joinstyle="round"/>
                        <v:imagedata o:title=""/>
                        <o:lock v:ext="edit" aspectratio="f"/>
                        <v:textbox>
                          <w:txbxContent>
                            <w:p w14:paraId="4A4FFB8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检验</w:t>
                              </w:r>
                            </w:p>
                          </w:txbxContent>
                        </v:textbox>
                      </v:shape>
                      <v:shape id="_x0000_s1026" o:spid="_x0000_s1026" o:spt="32" type="#_x0000_t32" style="position:absolute;left:3884295;top:2170430;flip:x;height:0;width:419100;" filled="f" stroked="t" coordsize="21600,21600" o:gfxdata="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Wf3dNUA&#10;AAAFAQAADwAAAAAAAAABACAAAAAiAAAAZHJzL2Rvd25yZXYueG1sUEsBAhQAFAAAAAgAh07iQBBv&#10;pnoiAgAACwQAAA4AAAAAAAAAAQAgAAAAJAEAAGRycy9lMm9Eb2MueG1sUEsFBgAAAAAGAAYAWQEA&#10;ALgFAAAAAA==&#10;">
                        <v:fill on="f" focussize="0,0"/>
                        <v:stroke weight="1pt" color="#000000 [3213]" joinstyle="round" endarrow="open"/>
                        <v:imagedata o:title=""/>
                        <o:lock v:ext="edit" aspectratio="f"/>
                      </v:shape>
                      <v:shape id="文本框 41" o:spid="_x0000_s1026" o:spt="202" type="#_x0000_t202" style="position:absolute;left:3418205;top:2018030;height:302895;width:466725;" filled="f" stroked="t" coordsize="21600,21600" o:gfxdata="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NIE4w&#10;1gAAAAUBAAAPAAAAAAAAAAEAIAAAACIAAABkcnMvZG93bnJldi54bWxQSwECFAAUAAAACACHTuJA&#10;2HqCIVwCAACdBAAADgAAAAAAAAABACAAAAAlAQAAZHJzL2Uyb0RvYy54bWxQSwUGAAAAAAYABgBZ&#10;AQAA8wUAAAAA&#10;">
                        <v:fill on="f" focussize="0,0"/>
                        <v:stroke weight="0.5pt" color="#000000 [3213]" joinstyle="round"/>
                        <v:imagedata o:title=""/>
                        <o:lock v:ext="edit" aspectratio="f"/>
                        <v:textbox>
                          <w:txbxContent>
                            <w:p w14:paraId="15C432A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宋体"/>
                                  <w:sz w:val="21"/>
                                  <w:lang w:val="en-US" w:eastAsia="zh-CN"/>
                                </w:rPr>
                              </w:pPr>
                              <w:r>
                                <w:rPr>
                                  <w:rFonts w:hint="eastAsia" w:ascii="Times New Roman" w:hAnsi="Times New Roman" w:eastAsia="宋体" w:cs="宋体"/>
                                  <w:sz w:val="21"/>
                                  <w:lang w:val="en-US" w:eastAsia="zh-CN"/>
                                </w:rPr>
                                <w:t>成品</w:t>
                              </w:r>
                            </w:p>
                          </w:txbxContent>
                        </v:textbox>
                      </v:shape>
                      <w10:wrap type="none"/>
                      <w10:anchorlock/>
                    </v:group>
                  </w:pict>
                </mc:Fallback>
              </mc:AlternateContent>
            </w:r>
          </w:p>
          <w:p w14:paraId="0E41C0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rPr>
              <w:t>图</w:t>
            </w:r>
            <w:r>
              <w:rPr>
                <w:rFonts w:hint="eastAsia" w:ascii="Times New Roman" w:hAnsi="Times New Roman" w:eastAsia="宋体" w:cs="Times New Roman"/>
                <w:b/>
                <w:bCs/>
                <w:color w:val="auto"/>
                <w:sz w:val="24"/>
                <w:szCs w:val="24"/>
                <w:highlight w:val="none"/>
                <w:lang w:val="en-US" w:eastAsia="zh-CN"/>
              </w:rPr>
              <w:t>2-2</w:t>
            </w:r>
            <w:r>
              <w:rPr>
                <w:rFonts w:hint="eastAsia" w:ascii="Times New Roman" w:hAnsi="Times New Roman" w:eastAsia="宋体" w:cs="Times New Roman"/>
                <w:b/>
                <w:bCs/>
                <w:color w:val="auto"/>
                <w:sz w:val="24"/>
                <w:szCs w:val="24"/>
                <w:highlight w:val="none"/>
              </w:rPr>
              <w:t xml:space="preserve"> 生产工艺流程图</w:t>
            </w:r>
          </w:p>
          <w:p w14:paraId="096D6D37">
            <w:pPr>
              <w:spacing w:line="360" w:lineRule="auto"/>
              <w:rPr>
                <w:rFonts w:hint="default" w:cs="Times New Roman"/>
                <w:b/>
                <w:color w:val="auto"/>
                <w:sz w:val="30"/>
                <w:szCs w:val="30"/>
                <w:highlight w:val="none"/>
                <w:lang w:val="en-US" w:eastAsia="zh-CN"/>
              </w:rPr>
            </w:pPr>
            <w:r>
              <w:rPr>
                <w:rFonts w:hint="default" w:cs="Times New Roman"/>
                <w:b/>
                <w:color w:val="auto"/>
                <w:sz w:val="30"/>
                <w:szCs w:val="30"/>
                <w:highlight w:val="none"/>
                <w:lang w:val="en-US" w:eastAsia="zh-CN"/>
              </w:rPr>
              <w:t>二、主要污染工序</w:t>
            </w:r>
          </w:p>
          <w:p w14:paraId="4E3E36E4">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本项目营运期的主要污染因素见下表。</w:t>
            </w:r>
          </w:p>
          <w:p w14:paraId="62D1A1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表2-</w:t>
            </w:r>
            <w:r>
              <w:rPr>
                <w:rFonts w:hint="eastAsia"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本项目运营期主要排污节点一览表</w:t>
            </w:r>
          </w:p>
          <w:tbl>
            <w:tblPr>
              <w:tblStyle w:val="31"/>
              <w:tblW w:w="499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3"/>
              <w:gridCol w:w="1205"/>
              <w:gridCol w:w="2983"/>
              <w:gridCol w:w="3207"/>
            </w:tblGrid>
            <w:tr w14:paraId="74A04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3" w:hRule="atLeast"/>
              </w:trPr>
              <w:tc>
                <w:tcPr>
                  <w:tcW w:w="489" w:type="pct"/>
                  <w:tcBorders>
                    <w:tl2br w:val="nil"/>
                    <w:tr2bl w:val="nil"/>
                  </w:tcBorders>
                  <w:noWrap w:val="0"/>
                  <w:vAlign w:val="center"/>
                </w:tcPr>
                <w:p w14:paraId="401D18D0">
                  <w:pPr>
                    <w:jc w:val="center"/>
                    <w:rPr>
                      <w:color w:val="auto"/>
                      <w:szCs w:val="21"/>
                      <w:highlight w:val="none"/>
                    </w:rPr>
                  </w:pPr>
                  <w:r>
                    <w:rPr>
                      <w:color w:val="auto"/>
                      <w:szCs w:val="21"/>
                      <w:highlight w:val="none"/>
                    </w:rPr>
                    <w:t>污染类别</w:t>
                  </w:r>
                </w:p>
              </w:tc>
              <w:tc>
                <w:tcPr>
                  <w:tcW w:w="734" w:type="pct"/>
                  <w:tcBorders>
                    <w:tl2br w:val="nil"/>
                    <w:tr2bl w:val="nil"/>
                  </w:tcBorders>
                  <w:noWrap w:val="0"/>
                  <w:vAlign w:val="center"/>
                </w:tcPr>
                <w:p w14:paraId="1A4A44A8">
                  <w:pPr>
                    <w:jc w:val="center"/>
                    <w:rPr>
                      <w:color w:val="auto"/>
                      <w:szCs w:val="21"/>
                      <w:highlight w:val="none"/>
                    </w:rPr>
                  </w:pPr>
                  <w:r>
                    <w:rPr>
                      <w:color w:val="auto"/>
                      <w:szCs w:val="21"/>
                      <w:highlight w:val="none"/>
                    </w:rPr>
                    <w:t>主要污</w:t>
                  </w:r>
                </w:p>
                <w:p w14:paraId="0DDC2214">
                  <w:pPr>
                    <w:jc w:val="center"/>
                    <w:rPr>
                      <w:color w:val="auto"/>
                      <w:szCs w:val="21"/>
                      <w:highlight w:val="none"/>
                    </w:rPr>
                  </w:pPr>
                  <w:r>
                    <w:rPr>
                      <w:color w:val="auto"/>
                      <w:szCs w:val="21"/>
                      <w:highlight w:val="none"/>
                    </w:rPr>
                    <w:t>染源</w:t>
                  </w:r>
                </w:p>
              </w:tc>
              <w:tc>
                <w:tcPr>
                  <w:tcW w:w="1819" w:type="pct"/>
                  <w:tcBorders>
                    <w:tl2br w:val="nil"/>
                    <w:tr2bl w:val="nil"/>
                  </w:tcBorders>
                  <w:noWrap w:val="0"/>
                  <w:vAlign w:val="center"/>
                </w:tcPr>
                <w:p w14:paraId="1C85FFF2">
                  <w:pPr>
                    <w:jc w:val="center"/>
                    <w:rPr>
                      <w:color w:val="auto"/>
                      <w:szCs w:val="21"/>
                      <w:highlight w:val="none"/>
                    </w:rPr>
                  </w:pPr>
                  <w:r>
                    <w:rPr>
                      <w:color w:val="auto"/>
                      <w:szCs w:val="21"/>
                      <w:highlight w:val="none"/>
                    </w:rPr>
                    <w:t>产生工序</w:t>
                  </w:r>
                </w:p>
              </w:tc>
              <w:tc>
                <w:tcPr>
                  <w:tcW w:w="1955" w:type="pct"/>
                  <w:tcBorders>
                    <w:tl2br w:val="nil"/>
                    <w:tr2bl w:val="nil"/>
                  </w:tcBorders>
                  <w:noWrap w:val="0"/>
                  <w:vAlign w:val="center"/>
                </w:tcPr>
                <w:p w14:paraId="034F4DC3">
                  <w:pPr>
                    <w:jc w:val="center"/>
                    <w:rPr>
                      <w:color w:val="auto"/>
                      <w:szCs w:val="21"/>
                      <w:highlight w:val="none"/>
                    </w:rPr>
                  </w:pPr>
                  <w:r>
                    <w:rPr>
                      <w:color w:val="auto"/>
                      <w:szCs w:val="21"/>
                      <w:highlight w:val="none"/>
                    </w:rPr>
                    <w:t>主要污染因子</w:t>
                  </w:r>
                </w:p>
              </w:tc>
            </w:tr>
            <w:tr w14:paraId="65762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489" w:type="pct"/>
                  <w:vMerge w:val="restart"/>
                  <w:tcBorders>
                    <w:tl2br w:val="nil"/>
                    <w:tr2bl w:val="nil"/>
                  </w:tcBorders>
                  <w:noWrap w:val="0"/>
                  <w:vAlign w:val="center"/>
                </w:tcPr>
                <w:p w14:paraId="33E458AE">
                  <w:pPr>
                    <w:jc w:val="center"/>
                    <w:rPr>
                      <w:color w:val="auto"/>
                      <w:szCs w:val="21"/>
                      <w:highlight w:val="none"/>
                    </w:rPr>
                  </w:pPr>
                  <w:r>
                    <w:rPr>
                      <w:color w:val="auto"/>
                      <w:szCs w:val="21"/>
                      <w:highlight w:val="none"/>
                    </w:rPr>
                    <w:t>废气</w:t>
                  </w:r>
                </w:p>
              </w:tc>
              <w:tc>
                <w:tcPr>
                  <w:tcW w:w="734" w:type="pct"/>
                  <w:vMerge w:val="restart"/>
                  <w:tcBorders>
                    <w:tl2br w:val="nil"/>
                    <w:tr2bl w:val="nil"/>
                  </w:tcBorders>
                  <w:noWrap w:val="0"/>
                  <w:vAlign w:val="center"/>
                </w:tcPr>
                <w:p w14:paraId="712D3561">
                  <w:pPr>
                    <w:jc w:val="center"/>
                    <w:rPr>
                      <w:color w:val="auto"/>
                      <w:szCs w:val="21"/>
                      <w:highlight w:val="none"/>
                    </w:rPr>
                  </w:pPr>
                  <w:r>
                    <w:rPr>
                      <w:color w:val="auto"/>
                      <w:szCs w:val="21"/>
                      <w:highlight w:val="none"/>
                    </w:rPr>
                    <w:t>生产区</w:t>
                  </w:r>
                </w:p>
              </w:tc>
              <w:tc>
                <w:tcPr>
                  <w:tcW w:w="1819" w:type="pct"/>
                  <w:tcBorders>
                    <w:tl2br w:val="nil"/>
                    <w:tr2bl w:val="nil"/>
                  </w:tcBorders>
                  <w:noWrap w:val="0"/>
                  <w:vAlign w:val="center"/>
                </w:tcPr>
                <w:p w14:paraId="655FB76A">
                  <w:pPr>
                    <w:jc w:val="center"/>
                    <w:rPr>
                      <w:rFonts w:hint="default" w:eastAsia="宋体"/>
                      <w:color w:val="auto"/>
                      <w:kern w:val="2"/>
                      <w:sz w:val="21"/>
                      <w:szCs w:val="21"/>
                      <w:highlight w:val="none"/>
                      <w:lang w:val="en-US" w:eastAsia="zh-CN" w:bidi="ar-SA"/>
                    </w:rPr>
                  </w:pPr>
                  <w:r>
                    <w:rPr>
                      <w:rFonts w:hint="eastAsia"/>
                      <w:color w:val="auto"/>
                      <w:szCs w:val="21"/>
                      <w:highlight w:val="none"/>
                      <w:lang w:val="en-US" w:eastAsia="zh-CN"/>
                    </w:rPr>
                    <w:t>涂胶、热压</w:t>
                  </w:r>
                </w:p>
              </w:tc>
              <w:tc>
                <w:tcPr>
                  <w:tcW w:w="1955" w:type="pct"/>
                  <w:tcBorders>
                    <w:tl2br w:val="nil"/>
                    <w:tr2bl w:val="nil"/>
                  </w:tcBorders>
                  <w:noWrap w:val="0"/>
                  <w:vAlign w:val="center"/>
                </w:tcPr>
                <w:p w14:paraId="4292223B">
                  <w:pPr>
                    <w:jc w:val="center"/>
                    <w:rPr>
                      <w:rFonts w:hint="eastAsia" w:eastAsia="宋体"/>
                      <w:color w:val="auto"/>
                      <w:kern w:val="2"/>
                      <w:sz w:val="21"/>
                      <w:szCs w:val="21"/>
                      <w:highlight w:val="none"/>
                      <w:lang w:val="en-US" w:eastAsia="zh-CN" w:bidi="ar-SA"/>
                    </w:rPr>
                  </w:pPr>
                  <w:r>
                    <w:rPr>
                      <w:rFonts w:hint="eastAsia"/>
                      <w:color w:val="auto"/>
                      <w:szCs w:val="21"/>
                      <w:highlight w:val="none"/>
                      <w:lang w:val="en-US" w:eastAsia="zh-CN"/>
                    </w:rPr>
                    <w:t>非甲烷总烃</w:t>
                  </w:r>
                </w:p>
              </w:tc>
            </w:tr>
            <w:tr w14:paraId="0F75DE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489" w:type="pct"/>
                  <w:vMerge w:val="continue"/>
                  <w:tcBorders>
                    <w:tl2br w:val="nil"/>
                    <w:tr2bl w:val="nil"/>
                  </w:tcBorders>
                  <w:noWrap w:val="0"/>
                  <w:vAlign w:val="center"/>
                </w:tcPr>
                <w:p w14:paraId="12B26570">
                  <w:pPr>
                    <w:jc w:val="center"/>
                    <w:rPr>
                      <w:color w:val="auto"/>
                      <w:szCs w:val="21"/>
                      <w:highlight w:val="none"/>
                    </w:rPr>
                  </w:pPr>
                </w:p>
              </w:tc>
              <w:tc>
                <w:tcPr>
                  <w:tcW w:w="734" w:type="pct"/>
                  <w:vMerge w:val="continue"/>
                  <w:tcBorders>
                    <w:tl2br w:val="nil"/>
                    <w:tr2bl w:val="nil"/>
                  </w:tcBorders>
                  <w:noWrap w:val="0"/>
                  <w:vAlign w:val="center"/>
                </w:tcPr>
                <w:p w14:paraId="4B7F0371">
                  <w:pPr>
                    <w:jc w:val="center"/>
                    <w:rPr>
                      <w:color w:val="auto"/>
                      <w:szCs w:val="21"/>
                      <w:highlight w:val="none"/>
                    </w:rPr>
                  </w:pPr>
                </w:p>
              </w:tc>
              <w:tc>
                <w:tcPr>
                  <w:tcW w:w="1819" w:type="pct"/>
                  <w:tcBorders>
                    <w:tl2br w:val="nil"/>
                    <w:tr2bl w:val="nil"/>
                  </w:tcBorders>
                  <w:noWrap w:val="0"/>
                  <w:vAlign w:val="center"/>
                </w:tcPr>
                <w:p w14:paraId="655B23D2">
                  <w:pPr>
                    <w:jc w:val="center"/>
                    <w:rPr>
                      <w:rFonts w:hint="default"/>
                      <w:color w:val="auto"/>
                      <w:szCs w:val="21"/>
                      <w:highlight w:val="none"/>
                      <w:lang w:val="en-US" w:eastAsia="zh-CN"/>
                    </w:rPr>
                  </w:pPr>
                  <w:r>
                    <w:rPr>
                      <w:rFonts w:hint="eastAsia"/>
                      <w:color w:val="auto"/>
                      <w:szCs w:val="21"/>
                      <w:highlight w:val="none"/>
                      <w:lang w:val="en-US" w:eastAsia="zh-CN"/>
                    </w:rPr>
                    <w:t>锯切、仿形</w:t>
                  </w:r>
                </w:p>
              </w:tc>
              <w:tc>
                <w:tcPr>
                  <w:tcW w:w="1955" w:type="pct"/>
                  <w:tcBorders>
                    <w:tl2br w:val="nil"/>
                    <w:tr2bl w:val="nil"/>
                  </w:tcBorders>
                  <w:noWrap w:val="0"/>
                  <w:vAlign w:val="center"/>
                </w:tcPr>
                <w:p w14:paraId="2D0DB2A1">
                  <w:pPr>
                    <w:jc w:val="center"/>
                    <w:rPr>
                      <w:rFonts w:hint="default"/>
                      <w:color w:val="auto"/>
                      <w:szCs w:val="21"/>
                      <w:highlight w:val="none"/>
                      <w:lang w:val="en-US" w:eastAsia="zh-CN"/>
                    </w:rPr>
                  </w:pPr>
                  <w:r>
                    <w:rPr>
                      <w:rFonts w:hint="eastAsia"/>
                      <w:color w:val="auto"/>
                      <w:szCs w:val="21"/>
                      <w:highlight w:val="none"/>
                      <w:lang w:val="en-US" w:eastAsia="zh-CN"/>
                    </w:rPr>
                    <w:t>粉尘</w:t>
                  </w:r>
                </w:p>
              </w:tc>
            </w:tr>
            <w:tr w14:paraId="3208E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489" w:type="pct"/>
                  <w:vMerge w:val="continue"/>
                  <w:tcBorders>
                    <w:tl2br w:val="nil"/>
                    <w:tr2bl w:val="nil"/>
                  </w:tcBorders>
                  <w:noWrap w:val="0"/>
                  <w:vAlign w:val="center"/>
                </w:tcPr>
                <w:p w14:paraId="51606B52">
                  <w:pPr>
                    <w:jc w:val="center"/>
                    <w:rPr>
                      <w:color w:val="auto"/>
                      <w:szCs w:val="21"/>
                      <w:highlight w:val="none"/>
                    </w:rPr>
                  </w:pPr>
                </w:p>
              </w:tc>
              <w:tc>
                <w:tcPr>
                  <w:tcW w:w="734" w:type="pct"/>
                  <w:vMerge w:val="continue"/>
                  <w:tcBorders>
                    <w:tl2br w:val="nil"/>
                    <w:tr2bl w:val="nil"/>
                  </w:tcBorders>
                  <w:noWrap w:val="0"/>
                  <w:vAlign w:val="center"/>
                </w:tcPr>
                <w:p w14:paraId="724A7559">
                  <w:pPr>
                    <w:jc w:val="center"/>
                    <w:rPr>
                      <w:color w:val="auto"/>
                      <w:szCs w:val="21"/>
                      <w:highlight w:val="none"/>
                    </w:rPr>
                  </w:pPr>
                </w:p>
              </w:tc>
              <w:tc>
                <w:tcPr>
                  <w:tcW w:w="1819" w:type="pct"/>
                  <w:tcBorders>
                    <w:tl2br w:val="nil"/>
                    <w:tr2bl w:val="nil"/>
                  </w:tcBorders>
                  <w:noWrap w:val="0"/>
                  <w:vAlign w:val="center"/>
                </w:tcPr>
                <w:p w14:paraId="7400B133">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锅炉烟气</w:t>
                  </w:r>
                </w:p>
              </w:tc>
              <w:tc>
                <w:tcPr>
                  <w:tcW w:w="1955" w:type="pct"/>
                  <w:tcBorders>
                    <w:tl2br w:val="nil"/>
                    <w:tr2bl w:val="nil"/>
                  </w:tcBorders>
                  <w:noWrap w:val="0"/>
                  <w:vAlign w:val="center"/>
                </w:tcPr>
                <w:p w14:paraId="58B1F50D">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颗粒物、</w:t>
                  </w:r>
                  <w:r>
                    <w:rPr>
                      <w:rFonts w:hint="eastAsia" w:cs="Times New Roman"/>
                      <w:color w:val="auto"/>
                      <w:szCs w:val="21"/>
                      <w:highlight w:val="none"/>
                      <w:lang w:val="en-US" w:eastAsia="zh-CN"/>
                    </w:rPr>
                    <w:t>烟气黑度、</w:t>
                  </w:r>
                  <w:r>
                    <w:rPr>
                      <w:rFonts w:hint="eastAsia" w:ascii="Times New Roman" w:hAnsi="Times New Roman" w:eastAsia="宋体" w:cs="Times New Roman"/>
                      <w:color w:val="auto"/>
                      <w:szCs w:val="21"/>
                      <w:highlight w:val="none"/>
                      <w:lang w:val="en-US" w:eastAsia="zh-CN"/>
                    </w:rPr>
                    <w:t>SO</w:t>
                  </w:r>
                  <w:r>
                    <w:rPr>
                      <w:rFonts w:hint="eastAsia" w:ascii="Times New Roman" w:hAnsi="Times New Roman" w:eastAsia="宋体" w:cs="Times New Roman"/>
                      <w:color w:val="auto"/>
                      <w:szCs w:val="21"/>
                      <w:highlight w:val="none"/>
                      <w:vertAlign w:val="subscript"/>
                      <w:lang w:val="en-US" w:eastAsia="zh-CN"/>
                    </w:rPr>
                    <w:t>2</w:t>
                  </w:r>
                  <w:r>
                    <w:rPr>
                      <w:rFonts w:hint="eastAsia" w:ascii="Times New Roman" w:hAnsi="Times New Roman" w:eastAsia="宋体" w:cs="Times New Roman"/>
                      <w:color w:val="auto"/>
                      <w:szCs w:val="21"/>
                      <w:highlight w:val="none"/>
                      <w:lang w:val="en-US" w:eastAsia="zh-CN"/>
                    </w:rPr>
                    <w:t>、NOx</w:t>
                  </w:r>
                </w:p>
              </w:tc>
            </w:tr>
            <w:tr w14:paraId="6634A3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489" w:type="pct"/>
                  <w:tcBorders>
                    <w:tl2br w:val="nil"/>
                    <w:tr2bl w:val="nil"/>
                  </w:tcBorders>
                  <w:noWrap w:val="0"/>
                  <w:vAlign w:val="center"/>
                </w:tcPr>
                <w:p w14:paraId="6D364F2C">
                  <w:pPr>
                    <w:jc w:val="center"/>
                    <w:rPr>
                      <w:color w:val="auto"/>
                      <w:szCs w:val="21"/>
                      <w:highlight w:val="none"/>
                    </w:rPr>
                  </w:pPr>
                  <w:r>
                    <w:rPr>
                      <w:color w:val="auto"/>
                      <w:szCs w:val="21"/>
                      <w:highlight w:val="none"/>
                    </w:rPr>
                    <w:t>废水</w:t>
                  </w:r>
                </w:p>
              </w:tc>
              <w:tc>
                <w:tcPr>
                  <w:tcW w:w="734" w:type="pct"/>
                  <w:tcBorders>
                    <w:tl2br w:val="nil"/>
                    <w:tr2bl w:val="nil"/>
                  </w:tcBorders>
                  <w:noWrap w:val="0"/>
                  <w:vAlign w:val="center"/>
                </w:tcPr>
                <w:p w14:paraId="76892394">
                  <w:pPr>
                    <w:jc w:val="center"/>
                    <w:rPr>
                      <w:rFonts w:hint="default" w:eastAsia="宋体"/>
                      <w:color w:val="auto"/>
                      <w:szCs w:val="21"/>
                      <w:highlight w:val="none"/>
                      <w:lang w:val="en-US" w:eastAsia="zh-CN"/>
                    </w:rPr>
                  </w:pPr>
                  <w:r>
                    <w:rPr>
                      <w:rFonts w:hint="eastAsia"/>
                      <w:color w:val="auto"/>
                      <w:szCs w:val="21"/>
                      <w:highlight w:val="none"/>
                      <w:lang w:val="en-US" w:eastAsia="zh-CN"/>
                    </w:rPr>
                    <w:t>生活污水</w:t>
                  </w:r>
                </w:p>
              </w:tc>
              <w:tc>
                <w:tcPr>
                  <w:tcW w:w="1819" w:type="pct"/>
                  <w:tcBorders>
                    <w:tl2br w:val="nil"/>
                    <w:tr2bl w:val="nil"/>
                  </w:tcBorders>
                  <w:noWrap w:val="0"/>
                  <w:vAlign w:val="center"/>
                </w:tcPr>
                <w:p w14:paraId="4600CBC7">
                  <w:pPr>
                    <w:jc w:val="center"/>
                    <w:rPr>
                      <w:rFonts w:hint="default"/>
                      <w:color w:val="auto"/>
                      <w:szCs w:val="21"/>
                      <w:highlight w:val="none"/>
                      <w:lang w:val="en-US"/>
                    </w:rPr>
                  </w:pPr>
                  <w:r>
                    <w:rPr>
                      <w:color w:val="auto"/>
                      <w:szCs w:val="21"/>
                      <w:highlight w:val="none"/>
                    </w:rPr>
                    <w:t>职工生活</w:t>
                  </w:r>
                </w:p>
              </w:tc>
              <w:tc>
                <w:tcPr>
                  <w:tcW w:w="1955" w:type="pct"/>
                  <w:tcBorders>
                    <w:tl2br w:val="nil"/>
                    <w:tr2bl w:val="nil"/>
                  </w:tcBorders>
                  <w:noWrap w:val="0"/>
                  <w:vAlign w:val="center"/>
                </w:tcPr>
                <w:p w14:paraId="7319DABF">
                  <w:pPr>
                    <w:spacing w:beforeLines="0" w:afterLines="0"/>
                    <w:jc w:val="center"/>
                    <w:rPr>
                      <w:rFonts w:hint="eastAsia" w:eastAsia="宋体"/>
                      <w:color w:val="auto"/>
                      <w:kern w:val="2"/>
                      <w:sz w:val="21"/>
                      <w:szCs w:val="21"/>
                      <w:highlight w:val="none"/>
                      <w:lang w:val="en-US" w:eastAsia="zh-CN" w:bidi="ar-SA"/>
                    </w:rPr>
                  </w:pPr>
                  <w:r>
                    <w:rPr>
                      <w:rFonts w:hint="eastAsia" w:ascii="TimesNewRomanPSMT" w:hAnsi="TimesNewRomanPSMT" w:eastAsia="TimesNewRomanPSMT"/>
                      <w:color w:val="auto"/>
                      <w:sz w:val="21"/>
                      <w:szCs w:val="24"/>
                    </w:rPr>
                    <w:t>CODcr</w:t>
                  </w:r>
                  <w:r>
                    <w:rPr>
                      <w:rFonts w:hint="eastAsia" w:ascii="宋体" w:hAnsi="宋体" w:eastAsia="宋体"/>
                      <w:color w:val="auto"/>
                      <w:sz w:val="21"/>
                      <w:szCs w:val="24"/>
                    </w:rPr>
                    <w:t>、</w:t>
                  </w:r>
                  <w:r>
                    <w:rPr>
                      <w:rFonts w:hint="eastAsia" w:ascii="TimesNewRomanPSMT" w:hAnsi="TimesNewRomanPSMT" w:eastAsia="TimesNewRomanPSMT"/>
                      <w:color w:val="auto"/>
                      <w:sz w:val="21"/>
                      <w:szCs w:val="24"/>
                    </w:rPr>
                    <w:t>BOD</w:t>
                  </w:r>
                  <w:r>
                    <w:rPr>
                      <w:rFonts w:hint="eastAsia" w:ascii="TimesNewRomanPSMT" w:hAnsi="TimesNewRomanPSMT" w:eastAsia="TimesNewRomanPSMT"/>
                      <w:color w:val="auto"/>
                      <w:sz w:val="14"/>
                      <w:szCs w:val="24"/>
                    </w:rPr>
                    <w:t>5</w:t>
                  </w:r>
                  <w:r>
                    <w:rPr>
                      <w:rFonts w:hint="eastAsia" w:ascii="宋体" w:hAnsi="宋体" w:eastAsia="宋体"/>
                      <w:color w:val="auto"/>
                      <w:sz w:val="21"/>
                      <w:szCs w:val="24"/>
                    </w:rPr>
                    <w:t>、</w:t>
                  </w:r>
                  <w:r>
                    <w:rPr>
                      <w:rFonts w:hint="eastAsia" w:ascii="TimesNewRomanPSMT" w:hAnsi="TimesNewRomanPSMT" w:eastAsia="TimesNewRomanPSMT"/>
                      <w:color w:val="auto"/>
                      <w:sz w:val="21"/>
                      <w:szCs w:val="24"/>
                    </w:rPr>
                    <w:t>SS</w:t>
                  </w:r>
                  <w:r>
                    <w:rPr>
                      <w:rFonts w:hint="eastAsia" w:ascii="宋体" w:hAnsi="宋体" w:eastAsia="宋体"/>
                      <w:color w:val="auto"/>
                      <w:sz w:val="21"/>
                      <w:szCs w:val="24"/>
                    </w:rPr>
                    <w:t>、</w:t>
                  </w:r>
                  <w:r>
                    <w:rPr>
                      <w:rFonts w:hint="eastAsia" w:ascii="TimesNewRomanPSMT" w:hAnsi="TimesNewRomanPSMT" w:eastAsia="TimesNewRomanPSMT"/>
                      <w:color w:val="auto"/>
                      <w:sz w:val="21"/>
                      <w:szCs w:val="24"/>
                    </w:rPr>
                    <w:t>NH</w:t>
                  </w:r>
                  <w:r>
                    <w:rPr>
                      <w:rFonts w:hint="eastAsia" w:ascii="TimesNewRomanPSMT" w:hAnsi="TimesNewRomanPSMT" w:eastAsia="TimesNewRomanPSMT"/>
                      <w:color w:val="auto"/>
                      <w:sz w:val="14"/>
                      <w:szCs w:val="24"/>
                    </w:rPr>
                    <w:t>3</w:t>
                  </w:r>
                  <w:r>
                    <w:rPr>
                      <w:rFonts w:hint="eastAsia" w:ascii="TimesNewRomanPSMT" w:hAnsi="TimesNewRomanPSMT" w:eastAsia="TimesNewRomanPSMT"/>
                      <w:color w:val="auto"/>
                      <w:sz w:val="21"/>
                      <w:szCs w:val="24"/>
                    </w:rPr>
                    <w:t>-H</w:t>
                  </w:r>
                  <w:r>
                    <w:rPr>
                      <w:rFonts w:hint="eastAsia"/>
                      <w:color w:val="auto"/>
                      <w:szCs w:val="21"/>
                      <w:highlight w:val="none"/>
                      <w:lang w:val="en-US" w:eastAsia="zh-CN"/>
                    </w:rPr>
                    <w:t>等</w:t>
                  </w:r>
                </w:p>
              </w:tc>
            </w:tr>
            <w:tr w14:paraId="6FEA51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89" w:type="pct"/>
                  <w:tcBorders>
                    <w:tl2br w:val="nil"/>
                    <w:tr2bl w:val="nil"/>
                  </w:tcBorders>
                  <w:noWrap w:val="0"/>
                  <w:vAlign w:val="center"/>
                </w:tcPr>
                <w:p w14:paraId="66492F52">
                  <w:pPr>
                    <w:jc w:val="center"/>
                    <w:rPr>
                      <w:color w:val="auto"/>
                      <w:szCs w:val="21"/>
                      <w:highlight w:val="none"/>
                    </w:rPr>
                  </w:pPr>
                  <w:r>
                    <w:rPr>
                      <w:color w:val="auto"/>
                      <w:szCs w:val="21"/>
                      <w:highlight w:val="none"/>
                    </w:rPr>
                    <w:t>噪声</w:t>
                  </w:r>
                </w:p>
              </w:tc>
              <w:tc>
                <w:tcPr>
                  <w:tcW w:w="734" w:type="pct"/>
                  <w:tcBorders>
                    <w:tl2br w:val="nil"/>
                    <w:tr2bl w:val="nil"/>
                  </w:tcBorders>
                  <w:noWrap w:val="0"/>
                  <w:vAlign w:val="center"/>
                </w:tcPr>
                <w:p w14:paraId="2E4A322E">
                  <w:pPr>
                    <w:jc w:val="center"/>
                    <w:rPr>
                      <w:color w:val="auto"/>
                      <w:szCs w:val="21"/>
                      <w:highlight w:val="none"/>
                    </w:rPr>
                  </w:pPr>
                  <w:r>
                    <w:rPr>
                      <w:color w:val="auto"/>
                      <w:szCs w:val="21"/>
                      <w:highlight w:val="none"/>
                    </w:rPr>
                    <w:t>生产区</w:t>
                  </w:r>
                </w:p>
              </w:tc>
              <w:tc>
                <w:tcPr>
                  <w:tcW w:w="1819" w:type="pct"/>
                  <w:tcBorders>
                    <w:tl2br w:val="nil"/>
                    <w:tr2bl w:val="nil"/>
                  </w:tcBorders>
                  <w:noWrap w:val="0"/>
                  <w:vAlign w:val="center"/>
                </w:tcPr>
                <w:p w14:paraId="3F9F1BDC">
                  <w:pPr>
                    <w:jc w:val="center"/>
                    <w:rPr>
                      <w:color w:val="auto"/>
                      <w:szCs w:val="21"/>
                      <w:highlight w:val="none"/>
                    </w:rPr>
                  </w:pPr>
                  <w:r>
                    <w:rPr>
                      <w:rFonts w:hint="eastAsia"/>
                      <w:color w:val="auto"/>
                      <w:szCs w:val="21"/>
                      <w:highlight w:val="none"/>
                      <w:lang w:val="en-US" w:eastAsia="zh-CN"/>
                    </w:rPr>
                    <w:t>锅炉、除尘器、风机、水泵等</w:t>
                  </w:r>
                </w:p>
              </w:tc>
              <w:tc>
                <w:tcPr>
                  <w:tcW w:w="1955" w:type="pct"/>
                  <w:tcBorders>
                    <w:tl2br w:val="nil"/>
                    <w:tr2bl w:val="nil"/>
                  </w:tcBorders>
                  <w:noWrap w:val="0"/>
                  <w:vAlign w:val="center"/>
                </w:tcPr>
                <w:p w14:paraId="6F71203C">
                  <w:pPr>
                    <w:jc w:val="center"/>
                    <w:rPr>
                      <w:color w:val="auto"/>
                      <w:szCs w:val="21"/>
                      <w:highlight w:val="none"/>
                    </w:rPr>
                  </w:pPr>
                  <w:r>
                    <w:rPr>
                      <w:rFonts w:hint="eastAsia"/>
                      <w:color w:val="auto"/>
                      <w:szCs w:val="21"/>
                      <w:highlight w:val="none"/>
                      <w:lang w:val="en-US" w:eastAsia="zh-CN"/>
                    </w:rPr>
                    <w:t>设备</w:t>
                  </w:r>
                  <w:r>
                    <w:rPr>
                      <w:color w:val="auto"/>
                      <w:szCs w:val="21"/>
                      <w:highlight w:val="none"/>
                    </w:rPr>
                    <w:t>噪声</w:t>
                  </w:r>
                </w:p>
              </w:tc>
            </w:tr>
            <w:tr w14:paraId="76782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89" w:type="pct"/>
                  <w:vMerge w:val="restart"/>
                  <w:tcBorders>
                    <w:tl2br w:val="nil"/>
                    <w:tr2bl w:val="nil"/>
                  </w:tcBorders>
                  <w:noWrap w:val="0"/>
                  <w:vAlign w:val="center"/>
                </w:tcPr>
                <w:p w14:paraId="0207B804">
                  <w:pPr>
                    <w:jc w:val="center"/>
                    <w:rPr>
                      <w:color w:val="auto"/>
                      <w:szCs w:val="21"/>
                      <w:highlight w:val="none"/>
                    </w:rPr>
                  </w:pPr>
                  <w:r>
                    <w:rPr>
                      <w:color w:val="auto"/>
                      <w:szCs w:val="21"/>
                      <w:highlight w:val="none"/>
                    </w:rPr>
                    <w:t>固体废物</w:t>
                  </w:r>
                </w:p>
              </w:tc>
              <w:tc>
                <w:tcPr>
                  <w:tcW w:w="734" w:type="pct"/>
                  <w:tcBorders>
                    <w:tl2br w:val="nil"/>
                    <w:tr2bl w:val="nil"/>
                  </w:tcBorders>
                  <w:noWrap w:val="0"/>
                  <w:vAlign w:val="center"/>
                </w:tcPr>
                <w:p w14:paraId="4247C266">
                  <w:pPr>
                    <w:jc w:val="center"/>
                    <w:rPr>
                      <w:color w:val="auto"/>
                      <w:szCs w:val="21"/>
                      <w:highlight w:val="none"/>
                    </w:rPr>
                  </w:pPr>
                  <w:r>
                    <w:rPr>
                      <w:color w:val="auto"/>
                      <w:szCs w:val="21"/>
                      <w:highlight w:val="none"/>
                    </w:rPr>
                    <w:t>办公生活</w:t>
                  </w:r>
                </w:p>
              </w:tc>
              <w:tc>
                <w:tcPr>
                  <w:tcW w:w="1819" w:type="pct"/>
                  <w:tcBorders>
                    <w:tl2br w:val="nil"/>
                    <w:tr2bl w:val="nil"/>
                  </w:tcBorders>
                  <w:noWrap w:val="0"/>
                  <w:vAlign w:val="center"/>
                </w:tcPr>
                <w:p w14:paraId="2212D2CE">
                  <w:pPr>
                    <w:jc w:val="center"/>
                    <w:rPr>
                      <w:color w:val="auto"/>
                      <w:szCs w:val="21"/>
                      <w:highlight w:val="none"/>
                    </w:rPr>
                  </w:pPr>
                  <w:r>
                    <w:rPr>
                      <w:color w:val="auto"/>
                      <w:szCs w:val="21"/>
                      <w:highlight w:val="none"/>
                    </w:rPr>
                    <w:t>职工生活</w:t>
                  </w:r>
                </w:p>
              </w:tc>
              <w:tc>
                <w:tcPr>
                  <w:tcW w:w="1955" w:type="pct"/>
                  <w:tcBorders>
                    <w:tl2br w:val="nil"/>
                    <w:tr2bl w:val="nil"/>
                  </w:tcBorders>
                  <w:noWrap w:val="0"/>
                  <w:vAlign w:val="center"/>
                </w:tcPr>
                <w:p w14:paraId="3BAA2B62">
                  <w:pPr>
                    <w:jc w:val="center"/>
                    <w:rPr>
                      <w:color w:val="auto"/>
                      <w:szCs w:val="21"/>
                      <w:highlight w:val="none"/>
                    </w:rPr>
                  </w:pPr>
                  <w:r>
                    <w:rPr>
                      <w:color w:val="auto"/>
                      <w:szCs w:val="21"/>
                      <w:highlight w:val="none"/>
                    </w:rPr>
                    <w:t>生活垃圾</w:t>
                  </w:r>
                </w:p>
              </w:tc>
            </w:tr>
            <w:tr w14:paraId="0AE3A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89" w:type="pct"/>
                  <w:vMerge w:val="continue"/>
                  <w:tcBorders>
                    <w:tl2br w:val="nil"/>
                    <w:tr2bl w:val="nil"/>
                  </w:tcBorders>
                  <w:noWrap w:val="0"/>
                  <w:vAlign w:val="center"/>
                </w:tcPr>
                <w:p w14:paraId="527BA3CA">
                  <w:pPr>
                    <w:jc w:val="center"/>
                    <w:rPr>
                      <w:color w:val="auto"/>
                      <w:szCs w:val="21"/>
                      <w:highlight w:val="none"/>
                    </w:rPr>
                  </w:pPr>
                </w:p>
              </w:tc>
              <w:tc>
                <w:tcPr>
                  <w:tcW w:w="734" w:type="pct"/>
                  <w:vMerge w:val="restart"/>
                  <w:tcBorders>
                    <w:tl2br w:val="nil"/>
                    <w:tr2bl w:val="nil"/>
                  </w:tcBorders>
                  <w:noWrap w:val="0"/>
                  <w:vAlign w:val="center"/>
                </w:tcPr>
                <w:p w14:paraId="78484506">
                  <w:pPr>
                    <w:jc w:val="center"/>
                    <w:rPr>
                      <w:color w:val="auto"/>
                      <w:szCs w:val="21"/>
                      <w:highlight w:val="none"/>
                    </w:rPr>
                  </w:pPr>
                  <w:r>
                    <w:rPr>
                      <w:color w:val="auto"/>
                      <w:szCs w:val="21"/>
                      <w:highlight w:val="none"/>
                    </w:rPr>
                    <w:t>生产区</w:t>
                  </w:r>
                </w:p>
              </w:tc>
              <w:tc>
                <w:tcPr>
                  <w:tcW w:w="1819" w:type="pct"/>
                  <w:tcBorders>
                    <w:tl2br w:val="nil"/>
                    <w:tr2bl w:val="nil"/>
                  </w:tcBorders>
                  <w:noWrap w:val="0"/>
                  <w:vAlign w:val="center"/>
                </w:tcPr>
                <w:p w14:paraId="242786DE">
                  <w:pPr>
                    <w:jc w:val="center"/>
                    <w:rPr>
                      <w:color w:val="auto"/>
                      <w:szCs w:val="21"/>
                      <w:highlight w:val="none"/>
                    </w:rPr>
                  </w:pPr>
                  <w:r>
                    <w:rPr>
                      <w:rFonts w:hint="eastAsia"/>
                      <w:color w:val="auto"/>
                      <w:szCs w:val="21"/>
                      <w:highlight w:val="none"/>
                      <w:lang w:val="en-US" w:eastAsia="zh-CN"/>
                    </w:rPr>
                    <w:t>锅炉</w:t>
                  </w:r>
                </w:p>
              </w:tc>
              <w:tc>
                <w:tcPr>
                  <w:tcW w:w="1955" w:type="pct"/>
                  <w:tcBorders>
                    <w:tl2br w:val="nil"/>
                    <w:tr2bl w:val="nil"/>
                  </w:tcBorders>
                  <w:noWrap w:val="0"/>
                  <w:vAlign w:val="center"/>
                </w:tcPr>
                <w:p w14:paraId="418FCA2C">
                  <w:pPr>
                    <w:jc w:val="center"/>
                    <w:rPr>
                      <w:rFonts w:hint="default" w:eastAsia="宋体"/>
                      <w:color w:val="auto"/>
                      <w:szCs w:val="21"/>
                      <w:highlight w:val="none"/>
                      <w:lang w:val="en-US" w:eastAsia="zh-CN"/>
                    </w:rPr>
                  </w:pPr>
                  <w:r>
                    <w:rPr>
                      <w:rFonts w:hint="eastAsia"/>
                      <w:color w:val="auto"/>
                      <w:szCs w:val="21"/>
                      <w:highlight w:val="none"/>
                      <w:lang w:val="en-US" w:eastAsia="zh-CN"/>
                    </w:rPr>
                    <w:t>灰渣</w:t>
                  </w:r>
                </w:p>
              </w:tc>
            </w:tr>
            <w:tr w14:paraId="476C5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89" w:type="pct"/>
                  <w:vMerge w:val="continue"/>
                  <w:tcBorders>
                    <w:tl2br w:val="nil"/>
                    <w:tr2bl w:val="nil"/>
                  </w:tcBorders>
                  <w:noWrap w:val="0"/>
                  <w:vAlign w:val="center"/>
                </w:tcPr>
                <w:p w14:paraId="091FE38D">
                  <w:pPr>
                    <w:jc w:val="center"/>
                    <w:rPr>
                      <w:color w:val="auto"/>
                      <w:szCs w:val="21"/>
                      <w:highlight w:val="none"/>
                    </w:rPr>
                  </w:pPr>
                </w:p>
              </w:tc>
              <w:tc>
                <w:tcPr>
                  <w:tcW w:w="734" w:type="pct"/>
                  <w:vMerge w:val="continue"/>
                  <w:tcBorders>
                    <w:tl2br w:val="nil"/>
                    <w:tr2bl w:val="nil"/>
                  </w:tcBorders>
                  <w:noWrap w:val="0"/>
                  <w:vAlign w:val="center"/>
                </w:tcPr>
                <w:p w14:paraId="56563B04">
                  <w:pPr>
                    <w:jc w:val="center"/>
                    <w:rPr>
                      <w:color w:val="auto"/>
                      <w:szCs w:val="21"/>
                      <w:highlight w:val="none"/>
                    </w:rPr>
                  </w:pPr>
                </w:p>
              </w:tc>
              <w:tc>
                <w:tcPr>
                  <w:tcW w:w="1819" w:type="pct"/>
                  <w:tcBorders>
                    <w:tl2br w:val="nil"/>
                    <w:tr2bl w:val="nil"/>
                  </w:tcBorders>
                  <w:noWrap w:val="0"/>
                  <w:vAlign w:val="center"/>
                </w:tcPr>
                <w:p w14:paraId="6234BE84">
                  <w:pPr>
                    <w:jc w:val="center"/>
                    <w:rPr>
                      <w:rFonts w:hint="default"/>
                      <w:color w:val="auto"/>
                      <w:szCs w:val="21"/>
                      <w:highlight w:val="none"/>
                      <w:lang w:val="en-US" w:eastAsia="zh-CN"/>
                    </w:rPr>
                  </w:pPr>
                  <w:r>
                    <w:rPr>
                      <w:rFonts w:hint="eastAsia"/>
                      <w:color w:val="auto"/>
                      <w:szCs w:val="21"/>
                      <w:highlight w:val="none"/>
                      <w:lang w:val="en-US" w:eastAsia="zh-CN"/>
                    </w:rPr>
                    <w:t>锯切、仿形</w:t>
                  </w:r>
                </w:p>
              </w:tc>
              <w:tc>
                <w:tcPr>
                  <w:tcW w:w="1955" w:type="pct"/>
                  <w:tcBorders>
                    <w:tl2br w:val="nil"/>
                    <w:tr2bl w:val="nil"/>
                  </w:tcBorders>
                  <w:noWrap w:val="0"/>
                  <w:vAlign w:val="center"/>
                </w:tcPr>
                <w:p w14:paraId="0A6BE5A8">
                  <w:pPr>
                    <w:jc w:val="center"/>
                    <w:rPr>
                      <w:rFonts w:hint="default"/>
                      <w:color w:val="auto"/>
                      <w:szCs w:val="21"/>
                      <w:highlight w:val="none"/>
                      <w:lang w:val="en-US" w:eastAsia="zh-CN"/>
                    </w:rPr>
                  </w:pPr>
                  <w:r>
                    <w:rPr>
                      <w:rFonts w:hint="eastAsia"/>
                      <w:color w:val="auto"/>
                      <w:szCs w:val="21"/>
                      <w:highlight w:val="none"/>
                      <w:lang w:val="en-US" w:eastAsia="zh-CN"/>
                    </w:rPr>
                    <w:t>粉尘、边角料</w:t>
                  </w:r>
                </w:p>
              </w:tc>
            </w:tr>
            <w:tr w14:paraId="3816B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89" w:type="pct"/>
                  <w:vMerge w:val="continue"/>
                  <w:tcBorders>
                    <w:tl2br w:val="nil"/>
                    <w:tr2bl w:val="nil"/>
                  </w:tcBorders>
                  <w:noWrap w:val="0"/>
                  <w:vAlign w:val="center"/>
                </w:tcPr>
                <w:p w14:paraId="32A981BC">
                  <w:pPr>
                    <w:jc w:val="center"/>
                    <w:rPr>
                      <w:color w:val="auto"/>
                      <w:szCs w:val="21"/>
                      <w:highlight w:val="none"/>
                    </w:rPr>
                  </w:pPr>
                </w:p>
              </w:tc>
              <w:tc>
                <w:tcPr>
                  <w:tcW w:w="734" w:type="pct"/>
                  <w:vMerge w:val="continue"/>
                  <w:tcBorders>
                    <w:tl2br w:val="nil"/>
                    <w:tr2bl w:val="nil"/>
                  </w:tcBorders>
                  <w:noWrap w:val="0"/>
                  <w:vAlign w:val="center"/>
                </w:tcPr>
                <w:p w14:paraId="060E31A7">
                  <w:pPr>
                    <w:jc w:val="center"/>
                    <w:rPr>
                      <w:color w:val="auto"/>
                      <w:szCs w:val="21"/>
                      <w:highlight w:val="none"/>
                    </w:rPr>
                  </w:pPr>
                </w:p>
              </w:tc>
              <w:tc>
                <w:tcPr>
                  <w:tcW w:w="1819" w:type="pct"/>
                  <w:tcBorders>
                    <w:tl2br w:val="nil"/>
                    <w:tr2bl w:val="nil"/>
                  </w:tcBorders>
                  <w:shd w:val="clear" w:color="auto" w:fill="auto"/>
                  <w:noWrap w:val="0"/>
                  <w:vAlign w:val="center"/>
                </w:tcPr>
                <w:p w14:paraId="1309CFAB">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涂胶</w:t>
                  </w:r>
                </w:p>
              </w:tc>
              <w:tc>
                <w:tcPr>
                  <w:tcW w:w="1955" w:type="pct"/>
                  <w:tcBorders>
                    <w:tl2br w:val="nil"/>
                    <w:tr2bl w:val="nil"/>
                  </w:tcBorders>
                  <w:shd w:val="clear" w:color="auto" w:fill="auto"/>
                  <w:noWrap w:val="0"/>
                  <w:vAlign w:val="center"/>
                </w:tcPr>
                <w:p w14:paraId="2C2E1DE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大豆胶桶、胶渣</w:t>
                  </w:r>
                </w:p>
              </w:tc>
            </w:tr>
            <w:tr w14:paraId="33F70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89" w:type="pct"/>
                  <w:vMerge w:val="continue"/>
                  <w:tcBorders>
                    <w:tl2br w:val="nil"/>
                    <w:tr2bl w:val="nil"/>
                  </w:tcBorders>
                  <w:noWrap w:val="0"/>
                  <w:vAlign w:val="center"/>
                </w:tcPr>
                <w:p w14:paraId="07902699">
                  <w:pPr>
                    <w:jc w:val="center"/>
                    <w:rPr>
                      <w:color w:val="auto"/>
                      <w:szCs w:val="21"/>
                      <w:highlight w:val="none"/>
                    </w:rPr>
                  </w:pPr>
                </w:p>
              </w:tc>
              <w:tc>
                <w:tcPr>
                  <w:tcW w:w="734" w:type="pct"/>
                  <w:vMerge w:val="continue"/>
                  <w:tcBorders>
                    <w:tl2br w:val="nil"/>
                    <w:tr2bl w:val="nil"/>
                  </w:tcBorders>
                  <w:noWrap w:val="0"/>
                  <w:vAlign w:val="center"/>
                </w:tcPr>
                <w:p w14:paraId="4F0DFD10">
                  <w:pPr>
                    <w:jc w:val="center"/>
                    <w:rPr>
                      <w:color w:val="auto"/>
                      <w:szCs w:val="21"/>
                      <w:highlight w:val="none"/>
                    </w:rPr>
                  </w:pPr>
                </w:p>
              </w:tc>
              <w:tc>
                <w:tcPr>
                  <w:tcW w:w="1819" w:type="pct"/>
                  <w:tcBorders>
                    <w:tl2br w:val="nil"/>
                    <w:tr2bl w:val="nil"/>
                  </w:tcBorders>
                  <w:shd w:val="clear" w:color="auto" w:fill="auto"/>
                  <w:noWrap w:val="0"/>
                  <w:vAlign w:val="center"/>
                </w:tcPr>
                <w:p w14:paraId="34B5F7F9">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布袋除尘器</w:t>
                  </w:r>
                </w:p>
              </w:tc>
              <w:tc>
                <w:tcPr>
                  <w:tcW w:w="1955" w:type="pct"/>
                  <w:tcBorders>
                    <w:tl2br w:val="nil"/>
                    <w:tr2bl w:val="nil"/>
                  </w:tcBorders>
                  <w:shd w:val="clear" w:color="auto" w:fill="auto"/>
                  <w:noWrap w:val="0"/>
                  <w:vAlign w:val="center"/>
                </w:tcPr>
                <w:p w14:paraId="0F4A39C5">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粉尘、废布袋</w:t>
                  </w:r>
                </w:p>
              </w:tc>
            </w:tr>
            <w:tr w14:paraId="3B2BE8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89" w:type="pct"/>
                  <w:vMerge w:val="continue"/>
                  <w:tcBorders>
                    <w:tl2br w:val="nil"/>
                    <w:tr2bl w:val="nil"/>
                  </w:tcBorders>
                  <w:noWrap w:val="0"/>
                  <w:vAlign w:val="center"/>
                </w:tcPr>
                <w:p w14:paraId="2A654B3B">
                  <w:pPr>
                    <w:jc w:val="center"/>
                    <w:rPr>
                      <w:color w:val="auto"/>
                      <w:szCs w:val="21"/>
                      <w:highlight w:val="none"/>
                    </w:rPr>
                  </w:pPr>
                </w:p>
              </w:tc>
              <w:tc>
                <w:tcPr>
                  <w:tcW w:w="734" w:type="pct"/>
                  <w:vMerge w:val="continue"/>
                  <w:tcBorders>
                    <w:tl2br w:val="nil"/>
                    <w:tr2bl w:val="nil"/>
                  </w:tcBorders>
                  <w:noWrap w:val="0"/>
                  <w:vAlign w:val="center"/>
                </w:tcPr>
                <w:p w14:paraId="13705220">
                  <w:pPr>
                    <w:jc w:val="center"/>
                    <w:rPr>
                      <w:color w:val="auto"/>
                      <w:szCs w:val="21"/>
                      <w:highlight w:val="none"/>
                    </w:rPr>
                  </w:pPr>
                </w:p>
              </w:tc>
              <w:tc>
                <w:tcPr>
                  <w:tcW w:w="1819" w:type="pct"/>
                  <w:tcBorders>
                    <w:tl2br w:val="nil"/>
                    <w:tr2bl w:val="nil"/>
                  </w:tcBorders>
                  <w:shd w:val="clear" w:color="auto" w:fill="auto"/>
                  <w:noWrap w:val="0"/>
                  <w:vAlign w:val="center"/>
                </w:tcPr>
                <w:p w14:paraId="60D54F69">
                  <w:pPr>
                    <w:jc w:val="center"/>
                    <w:rPr>
                      <w:rFonts w:hint="default"/>
                      <w:color w:val="auto"/>
                      <w:szCs w:val="21"/>
                      <w:highlight w:val="none"/>
                      <w:lang w:val="en-US" w:eastAsia="zh-CN"/>
                    </w:rPr>
                  </w:pPr>
                  <w:r>
                    <w:rPr>
                      <w:rFonts w:hint="eastAsia"/>
                      <w:color w:val="auto"/>
                      <w:szCs w:val="21"/>
                      <w:highlight w:val="none"/>
                      <w:lang w:val="en-US" w:eastAsia="zh-CN"/>
                    </w:rPr>
                    <w:t>导热油锅炉</w:t>
                  </w:r>
                </w:p>
              </w:tc>
              <w:tc>
                <w:tcPr>
                  <w:tcW w:w="1955" w:type="pct"/>
                  <w:tcBorders>
                    <w:tl2br w:val="nil"/>
                    <w:tr2bl w:val="nil"/>
                  </w:tcBorders>
                  <w:shd w:val="clear" w:color="auto" w:fill="auto"/>
                  <w:noWrap w:val="0"/>
                  <w:vAlign w:val="center"/>
                </w:tcPr>
                <w:p w14:paraId="42937D74">
                  <w:pPr>
                    <w:jc w:val="center"/>
                    <w:rPr>
                      <w:rFonts w:hint="default"/>
                      <w:color w:val="auto"/>
                      <w:szCs w:val="21"/>
                      <w:highlight w:val="none"/>
                      <w:lang w:val="en-US" w:eastAsia="zh-CN"/>
                    </w:rPr>
                  </w:pPr>
                  <w:r>
                    <w:rPr>
                      <w:rFonts w:hint="eastAsia"/>
                      <w:color w:val="auto"/>
                      <w:szCs w:val="21"/>
                      <w:highlight w:val="none"/>
                      <w:lang w:val="en-US" w:eastAsia="zh-CN"/>
                    </w:rPr>
                    <w:t>废导热油</w:t>
                  </w:r>
                </w:p>
              </w:tc>
            </w:tr>
            <w:tr w14:paraId="1B05B1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89" w:type="pct"/>
                  <w:vMerge w:val="continue"/>
                  <w:tcBorders>
                    <w:tl2br w:val="nil"/>
                    <w:tr2bl w:val="nil"/>
                  </w:tcBorders>
                  <w:noWrap w:val="0"/>
                  <w:vAlign w:val="center"/>
                </w:tcPr>
                <w:p w14:paraId="3AECD079">
                  <w:pPr>
                    <w:jc w:val="center"/>
                    <w:rPr>
                      <w:color w:val="auto"/>
                      <w:szCs w:val="21"/>
                      <w:highlight w:val="none"/>
                    </w:rPr>
                  </w:pPr>
                </w:p>
              </w:tc>
              <w:tc>
                <w:tcPr>
                  <w:tcW w:w="734" w:type="pct"/>
                  <w:vMerge w:val="continue"/>
                  <w:tcBorders>
                    <w:tl2br w:val="nil"/>
                    <w:tr2bl w:val="nil"/>
                  </w:tcBorders>
                  <w:noWrap w:val="0"/>
                  <w:vAlign w:val="center"/>
                </w:tcPr>
                <w:p w14:paraId="4CB5ACB1">
                  <w:pPr>
                    <w:jc w:val="center"/>
                    <w:rPr>
                      <w:color w:val="auto"/>
                      <w:szCs w:val="21"/>
                      <w:highlight w:val="none"/>
                    </w:rPr>
                  </w:pPr>
                </w:p>
              </w:tc>
              <w:tc>
                <w:tcPr>
                  <w:tcW w:w="1819" w:type="pct"/>
                  <w:tcBorders>
                    <w:tl2br w:val="nil"/>
                    <w:tr2bl w:val="nil"/>
                  </w:tcBorders>
                  <w:shd w:val="clear" w:color="auto" w:fill="auto"/>
                  <w:noWrap w:val="0"/>
                  <w:vAlign w:val="center"/>
                </w:tcPr>
                <w:p w14:paraId="0C0F7B61">
                  <w:pPr>
                    <w:jc w:val="center"/>
                    <w:rPr>
                      <w:rFonts w:hint="default"/>
                      <w:color w:val="auto"/>
                      <w:szCs w:val="21"/>
                      <w:highlight w:val="none"/>
                      <w:lang w:val="en-US" w:eastAsia="zh-CN"/>
                    </w:rPr>
                  </w:pPr>
                  <w:r>
                    <w:rPr>
                      <w:rFonts w:hint="eastAsia"/>
                      <w:color w:val="auto"/>
                      <w:szCs w:val="21"/>
                      <w:highlight w:val="none"/>
                      <w:lang w:val="en-US" w:eastAsia="zh-CN"/>
                    </w:rPr>
                    <w:t>活性炭吸附装置</w:t>
                  </w:r>
                </w:p>
              </w:tc>
              <w:tc>
                <w:tcPr>
                  <w:tcW w:w="1955" w:type="pct"/>
                  <w:tcBorders>
                    <w:tl2br w:val="nil"/>
                    <w:tr2bl w:val="nil"/>
                  </w:tcBorders>
                  <w:shd w:val="clear" w:color="auto" w:fill="auto"/>
                  <w:noWrap w:val="0"/>
                  <w:vAlign w:val="center"/>
                </w:tcPr>
                <w:p w14:paraId="0059734E">
                  <w:pPr>
                    <w:jc w:val="center"/>
                    <w:rPr>
                      <w:rFonts w:hint="default"/>
                      <w:color w:val="auto"/>
                      <w:szCs w:val="21"/>
                      <w:highlight w:val="none"/>
                      <w:lang w:val="en-US" w:eastAsia="zh-CN"/>
                    </w:rPr>
                  </w:pPr>
                  <w:r>
                    <w:rPr>
                      <w:rFonts w:hint="eastAsia"/>
                      <w:color w:val="auto"/>
                      <w:szCs w:val="21"/>
                      <w:highlight w:val="none"/>
                      <w:lang w:val="en-US" w:eastAsia="zh-CN"/>
                    </w:rPr>
                    <w:t>废活性炭</w:t>
                  </w:r>
                </w:p>
              </w:tc>
            </w:tr>
            <w:tr w14:paraId="389FB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489" w:type="pct"/>
                  <w:vMerge w:val="continue"/>
                  <w:tcBorders>
                    <w:tl2br w:val="nil"/>
                    <w:tr2bl w:val="nil"/>
                  </w:tcBorders>
                  <w:noWrap w:val="0"/>
                  <w:vAlign w:val="center"/>
                </w:tcPr>
                <w:p w14:paraId="3C7FC3E3">
                  <w:pPr>
                    <w:jc w:val="center"/>
                    <w:rPr>
                      <w:color w:val="auto"/>
                      <w:szCs w:val="21"/>
                      <w:highlight w:val="none"/>
                    </w:rPr>
                  </w:pPr>
                </w:p>
              </w:tc>
              <w:tc>
                <w:tcPr>
                  <w:tcW w:w="734" w:type="pct"/>
                  <w:vMerge w:val="continue"/>
                  <w:tcBorders>
                    <w:tl2br w:val="nil"/>
                    <w:tr2bl w:val="nil"/>
                  </w:tcBorders>
                  <w:noWrap w:val="0"/>
                  <w:vAlign w:val="center"/>
                </w:tcPr>
                <w:p w14:paraId="2C52A461">
                  <w:pPr>
                    <w:jc w:val="center"/>
                    <w:rPr>
                      <w:color w:val="auto"/>
                      <w:szCs w:val="21"/>
                      <w:highlight w:val="none"/>
                    </w:rPr>
                  </w:pPr>
                </w:p>
              </w:tc>
              <w:tc>
                <w:tcPr>
                  <w:tcW w:w="1819" w:type="pct"/>
                  <w:tcBorders>
                    <w:tl2br w:val="nil"/>
                    <w:tr2bl w:val="nil"/>
                  </w:tcBorders>
                  <w:shd w:val="clear" w:color="auto" w:fill="auto"/>
                  <w:noWrap w:val="0"/>
                  <w:vAlign w:val="center"/>
                </w:tcPr>
                <w:p w14:paraId="5488F1CE">
                  <w:pPr>
                    <w:jc w:val="center"/>
                    <w:rPr>
                      <w:rFonts w:hint="default" w:ascii="Times New Roman" w:hAnsi="Times New Roman"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设备维护</w:t>
                  </w:r>
                </w:p>
              </w:tc>
              <w:tc>
                <w:tcPr>
                  <w:tcW w:w="1955" w:type="pct"/>
                  <w:tcBorders>
                    <w:tl2br w:val="nil"/>
                    <w:tr2bl w:val="nil"/>
                  </w:tcBorders>
                  <w:shd w:val="clear" w:color="auto" w:fill="auto"/>
                  <w:noWrap w:val="0"/>
                  <w:vAlign w:val="center"/>
                </w:tcPr>
                <w:p w14:paraId="3A758F1F">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废机油、废油桶、废油抹布及手套</w:t>
                  </w:r>
                </w:p>
              </w:tc>
            </w:tr>
          </w:tbl>
          <w:p w14:paraId="47B98E39">
            <w:pPr>
              <w:spacing w:line="360" w:lineRule="auto"/>
              <w:rPr>
                <w:rFonts w:hint="default" w:ascii="Times New Roman" w:hAnsi="Times New Roman" w:cs="Times New Roman"/>
                <w:bCs/>
                <w:color w:val="auto"/>
                <w:sz w:val="24"/>
                <w:highlight w:val="none"/>
              </w:rPr>
            </w:pPr>
          </w:p>
        </w:tc>
      </w:tr>
      <w:tr w14:paraId="5FBB24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04"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2D0E2D6D">
            <w:pPr>
              <w:pStyle w:val="27"/>
              <w:adjustRightInd w:val="0"/>
              <w:snapToGrid w:val="0"/>
              <w:spacing w:before="0" w:beforeAutospacing="0" w:after="0" w:afterAutospacing="0"/>
              <w:jc w:val="center"/>
              <w:rPr>
                <w:rFonts w:hint="default" w:ascii="Times New Roman" w:hAnsi="Times New Roman" w:cs="Times New Roman"/>
                <w:color w:val="auto"/>
                <w:szCs w:val="24"/>
                <w:highlight w:val="none"/>
                <w:lang w:val="en-US" w:eastAsia="zh-CN"/>
              </w:rPr>
            </w:pPr>
            <w:r>
              <w:rPr>
                <w:rFonts w:hint="default" w:ascii="Times New Roman" w:hAnsi="Times New Roman" w:cs="Times New Roman"/>
                <w:bCs/>
                <w:color w:val="auto"/>
                <w:kern w:val="2"/>
                <w:szCs w:val="24"/>
                <w:highlight w:val="none"/>
                <w:lang w:val="en-US" w:eastAsia="zh-CN"/>
              </w:rPr>
              <w:t>与项目有关的原有环境污染问题</w:t>
            </w:r>
          </w:p>
        </w:tc>
        <w:tc>
          <w:tcPr>
            <w:tcW w:w="8429" w:type="dxa"/>
            <w:tcBorders>
              <w:top w:val="single" w:color="auto" w:sz="4" w:space="0"/>
              <w:left w:val="single" w:color="auto" w:sz="4" w:space="0"/>
              <w:bottom w:val="single" w:color="auto" w:sz="4" w:space="0"/>
              <w:right w:val="single" w:color="auto" w:sz="4" w:space="0"/>
            </w:tcBorders>
            <w:noWrap w:val="0"/>
            <w:vAlign w:val="top"/>
          </w:tcPr>
          <w:p w14:paraId="16D6E14B">
            <w:pPr>
              <w:keepNext w:val="0"/>
              <w:keepLines w:val="0"/>
              <w:pageBreakBefore/>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u w:val="none" w:color="auto"/>
                <w:lang w:val="en-US" w:eastAsia="zh-CN"/>
              </w:rPr>
            </w:pPr>
          </w:p>
          <w:p w14:paraId="12F362A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1、基本情况</w:t>
            </w:r>
          </w:p>
          <w:p w14:paraId="15B5964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rPr>
              <w:t>本项目位于双鸭山市尖山区</w:t>
            </w:r>
            <w:r>
              <w:rPr>
                <w:rFonts w:hint="eastAsia" w:cs="Times New Roman"/>
                <w:bCs/>
                <w:color w:val="auto"/>
                <w:sz w:val="24"/>
                <w:highlight w:val="none"/>
                <w:lang w:val="en-US" w:eastAsia="zh-CN"/>
              </w:rPr>
              <w:t>窑地路</w:t>
            </w:r>
            <w:r>
              <w:rPr>
                <w:rFonts w:hint="default" w:ascii="Times New Roman" w:hAnsi="Times New Roman" w:cs="Times New Roman"/>
                <w:bCs/>
                <w:color w:val="auto"/>
                <w:sz w:val="24"/>
                <w:highlight w:val="none"/>
              </w:rPr>
              <w:t>，</w:t>
            </w:r>
            <w:r>
              <w:rPr>
                <w:rFonts w:hint="eastAsia" w:cs="Times New Roman"/>
                <w:bCs/>
                <w:color w:val="auto"/>
                <w:sz w:val="24"/>
                <w:highlight w:val="none"/>
                <w:lang w:val="en-US" w:eastAsia="zh-CN"/>
              </w:rPr>
              <w:t>利用自家厂房建设</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本项目于202</w:t>
            </w:r>
            <w:r>
              <w:rPr>
                <w:rFonts w:hint="eastAsia" w:cs="Times New Roman"/>
                <w:bCs/>
                <w:color w:val="auto"/>
                <w:sz w:val="24"/>
                <w:highlight w:val="none"/>
                <w:lang w:val="en-US" w:eastAsia="zh-CN"/>
              </w:rPr>
              <w:t>1</w:t>
            </w:r>
            <w:r>
              <w:rPr>
                <w:rFonts w:hint="default" w:ascii="Times New Roman" w:hAnsi="Times New Roman" w:cs="Times New Roman"/>
                <w:bCs/>
                <w:color w:val="auto"/>
                <w:sz w:val="24"/>
                <w:highlight w:val="none"/>
                <w:lang w:val="en-US" w:eastAsia="zh-CN"/>
              </w:rPr>
              <w:t>年6月开始建设，202</w:t>
            </w:r>
            <w:r>
              <w:rPr>
                <w:rFonts w:hint="eastAsia" w:cs="Times New Roman"/>
                <w:bCs/>
                <w:color w:val="auto"/>
                <w:sz w:val="24"/>
                <w:highlight w:val="none"/>
                <w:lang w:val="en-US" w:eastAsia="zh-CN"/>
              </w:rPr>
              <w:t>1</w:t>
            </w:r>
            <w:r>
              <w:rPr>
                <w:rFonts w:hint="default" w:ascii="Times New Roman" w:hAnsi="Times New Roman" w:cs="Times New Roman"/>
                <w:bCs/>
                <w:color w:val="auto"/>
                <w:sz w:val="24"/>
                <w:highlight w:val="none"/>
                <w:lang w:val="en-US" w:eastAsia="zh-CN"/>
              </w:rPr>
              <w:t>年10月建成，</w:t>
            </w:r>
            <w:r>
              <w:rPr>
                <w:rFonts w:hint="default" w:ascii="Times New Roman" w:hAnsi="Times New Roman" w:cs="Times New Roman"/>
                <w:bCs/>
                <w:color w:val="auto"/>
                <w:sz w:val="24"/>
                <w:highlight w:val="none"/>
              </w:rPr>
              <w:t>已建</w:t>
            </w:r>
            <w:r>
              <w:rPr>
                <w:rFonts w:hint="default" w:ascii="Times New Roman" w:hAnsi="Times New Roman" w:cs="Times New Roman"/>
                <w:bCs/>
                <w:color w:val="auto"/>
                <w:sz w:val="24"/>
                <w:highlight w:val="none"/>
                <w:lang w:val="en-US" w:eastAsia="zh-CN"/>
              </w:rPr>
              <w:t>成1</w:t>
            </w:r>
            <w:r>
              <w:rPr>
                <w:rFonts w:hint="default" w:ascii="Times New Roman" w:hAnsi="Times New Roman" w:cs="Times New Roman"/>
                <w:bCs/>
                <w:color w:val="auto"/>
                <w:sz w:val="24"/>
                <w:highlight w:val="none"/>
              </w:rPr>
              <w:t>栋1层</w:t>
            </w:r>
            <w:r>
              <w:rPr>
                <w:rFonts w:hint="default" w:ascii="Times New Roman" w:hAnsi="Times New Roman" w:cs="Times New Roman"/>
                <w:bCs/>
                <w:color w:val="auto"/>
                <w:sz w:val="24"/>
                <w:highlight w:val="none"/>
                <w:lang w:val="en-US" w:eastAsia="zh-CN"/>
              </w:rPr>
              <w:t>生产车间</w:t>
            </w:r>
            <w:r>
              <w:rPr>
                <w:rFonts w:hint="default" w:ascii="Times New Roman" w:hAnsi="Times New Roman" w:cs="Times New Roman"/>
                <w:bCs/>
                <w:color w:val="auto"/>
                <w:sz w:val="24"/>
                <w:highlight w:val="none"/>
              </w:rPr>
              <w:t>、1栋1F锅炉房</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烘干</w:t>
            </w:r>
            <w:r>
              <w:rPr>
                <w:rFonts w:hint="default" w:cs="Times New Roman"/>
                <w:bCs/>
                <w:color w:val="auto"/>
                <w:sz w:val="24"/>
                <w:highlight w:val="none"/>
                <w:lang w:val="en-US" w:eastAsia="zh-CN"/>
              </w:rPr>
              <w:t>房、原料棚、成品仓库、休息室，3条生态板芯生产线及其</w:t>
            </w:r>
            <w:r>
              <w:rPr>
                <w:rFonts w:hint="eastAsia" w:cs="Times New Roman"/>
                <w:bCs/>
                <w:color w:val="auto"/>
                <w:sz w:val="24"/>
                <w:highlight w:val="none"/>
                <w:lang w:val="en-US" w:eastAsia="zh-CN"/>
              </w:rPr>
              <w:t>环保</w:t>
            </w:r>
            <w:r>
              <w:rPr>
                <w:rFonts w:hint="default" w:cs="Times New Roman"/>
                <w:bCs/>
                <w:color w:val="auto"/>
                <w:sz w:val="24"/>
                <w:highlight w:val="none"/>
                <w:lang w:val="en-US" w:eastAsia="zh-CN"/>
              </w:rPr>
              <w:t>配套设施。</w:t>
            </w:r>
            <w:r>
              <w:rPr>
                <w:rFonts w:hint="eastAsia" w:cs="Times New Roman"/>
                <w:bCs/>
                <w:color w:val="auto"/>
                <w:sz w:val="24"/>
                <w:highlight w:val="none"/>
                <w:lang w:val="en-US" w:eastAsia="zh-CN"/>
              </w:rPr>
              <w:t>企业因资金问题一直未投产，现企业主动</w:t>
            </w:r>
            <w:r>
              <w:rPr>
                <w:rFonts w:hint="default" w:cs="Times New Roman"/>
                <w:bCs/>
                <w:color w:val="auto"/>
                <w:sz w:val="24"/>
                <w:highlight w:val="none"/>
                <w:lang w:val="en-US" w:eastAsia="zh-CN"/>
              </w:rPr>
              <w:t>依法完善有关</w:t>
            </w:r>
            <w:r>
              <w:rPr>
                <w:rFonts w:hint="eastAsia" w:cs="Times New Roman"/>
                <w:bCs/>
                <w:color w:val="auto"/>
                <w:sz w:val="24"/>
                <w:highlight w:val="none"/>
                <w:lang w:val="en-US" w:eastAsia="zh-CN"/>
              </w:rPr>
              <w:t>环保</w:t>
            </w:r>
            <w:r>
              <w:rPr>
                <w:rFonts w:hint="default" w:cs="Times New Roman"/>
                <w:bCs/>
                <w:color w:val="auto"/>
                <w:sz w:val="24"/>
                <w:highlight w:val="none"/>
                <w:lang w:val="en-US" w:eastAsia="zh-CN"/>
              </w:rPr>
              <w:t>手续</w:t>
            </w:r>
            <w:r>
              <w:rPr>
                <w:rFonts w:hint="eastAsia" w:cs="Times New Roman"/>
                <w:bCs/>
                <w:color w:val="auto"/>
                <w:sz w:val="24"/>
                <w:highlight w:val="none"/>
                <w:lang w:val="en-US" w:eastAsia="zh-CN"/>
              </w:rPr>
              <w:t>，手续齐全后再投产。</w:t>
            </w:r>
          </w:p>
          <w:p w14:paraId="499E7BE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2、现有环境问题</w:t>
            </w:r>
          </w:p>
          <w:p w14:paraId="2C8B3E1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cs="Times New Roman"/>
                <w:bCs/>
                <w:color w:val="auto"/>
                <w:sz w:val="24"/>
                <w:highlight w:val="none"/>
              </w:rPr>
              <w:t>企业在未办理环评手续情况下开始建设项目</w:t>
            </w:r>
            <w:r>
              <w:rPr>
                <w:rFonts w:hint="eastAsia" w:cs="Times New Roman"/>
                <w:bCs/>
                <w:color w:val="auto"/>
                <w:sz w:val="24"/>
                <w:highlight w:val="none"/>
                <w:lang w:eastAsia="zh-CN"/>
              </w:rPr>
              <w:t>，</w:t>
            </w:r>
            <w:r>
              <w:rPr>
                <w:rFonts w:hint="eastAsia" w:cs="Times New Roman"/>
                <w:bCs/>
                <w:color w:val="auto"/>
                <w:sz w:val="24"/>
                <w:highlight w:val="none"/>
                <w:lang w:val="en-US" w:eastAsia="zh-CN"/>
              </w:rPr>
              <w:t>项目未投产，无污染产生</w:t>
            </w:r>
            <w:r>
              <w:rPr>
                <w:rFonts w:hint="default" w:ascii="Times New Roman" w:hAnsi="Times New Roman" w:cs="Times New Roman"/>
                <w:bCs/>
                <w:color w:val="auto"/>
                <w:sz w:val="24"/>
                <w:highlight w:val="none"/>
              </w:rPr>
              <w:t>。</w:t>
            </w:r>
            <w:r>
              <w:rPr>
                <w:rFonts w:hint="eastAsia" w:cs="Times New Roman"/>
                <w:bCs/>
                <w:color w:val="auto"/>
                <w:sz w:val="24"/>
                <w:highlight w:val="none"/>
                <w:lang w:val="en-US" w:eastAsia="zh-CN"/>
              </w:rPr>
              <w:t>迄今为止，建设单位未收到周边居民投诉。</w:t>
            </w:r>
          </w:p>
          <w:p w14:paraId="22D58D1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3、整改措施</w:t>
            </w:r>
          </w:p>
          <w:p w14:paraId="4B06F76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企业办理相关环保手续，在取得相关环保手续前不得开工建设。</w:t>
            </w:r>
          </w:p>
        </w:tc>
      </w:tr>
    </w:tbl>
    <w:p w14:paraId="4FD0F587">
      <w:pPr>
        <w:pStyle w:val="27"/>
        <w:jc w:val="both"/>
        <w:rPr>
          <w:rFonts w:hint="default" w:ascii="Times New Roman" w:hAnsi="Times New Roman" w:eastAsia="黑体" w:cs="Times New Roman"/>
          <w:snapToGrid w:val="0"/>
          <w:color w:val="auto"/>
          <w:sz w:val="36"/>
          <w:szCs w:val="36"/>
          <w:highlight w:val="none"/>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82C2AC2">
      <w:pPr>
        <w:pStyle w:val="27"/>
        <w:jc w:val="center"/>
        <w:outlineLvl w:val="0"/>
        <w:rPr>
          <w:rFonts w:hint="default" w:ascii="Times New Roman" w:hAnsi="Times New Roman" w:eastAsia="黑体" w:cs="Times New Roman"/>
          <w:snapToGrid w:val="0"/>
          <w:color w:val="auto"/>
          <w:sz w:val="30"/>
          <w:szCs w:val="30"/>
          <w:highlight w:val="none"/>
        </w:rPr>
      </w:pPr>
      <w:bookmarkStart w:id="23" w:name="_Toc10597"/>
      <w:bookmarkStart w:id="24" w:name="_Toc4569"/>
      <w:r>
        <w:rPr>
          <w:rFonts w:hint="default" w:ascii="Times New Roman" w:hAnsi="Times New Roman" w:eastAsia="黑体" w:cs="Times New Roman"/>
          <w:snapToGrid w:val="0"/>
          <w:color w:val="auto"/>
          <w:sz w:val="30"/>
          <w:szCs w:val="30"/>
          <w:highlight w:val="none"/>
        </w:rPr>
        <w:t>三、区域环境质量现状、环境保护目标及评价标准</w:t>
      </w:r>
      <w:bookmarkEnd w:id="23"/>
      <w:bookmarkEnd w:id="24"/>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0D5E3F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26" w:hRule="atLeast"/>
          <w:jc w:val="center"/>
        </w:trPr>
        <w:tc>
          <w:tcPr>
            <w:tcW w:w="800" w:type="dxa"/>
            <w:noWrap w:val="0"/>
            <w:vAlign w:val="center"/>
          </w:tcPr>
          <w:p w14:paraId="2D4ACE4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区域</w:t>
            </w:r>
          </w:p>
          <w:p w14:paraId="42376550">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4EA86BE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质量</w:t>
            </w:r>
          </w:p>
          <w:p w14:paraId="5BE672C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现状</w:t>
            </w:r>
          </w:p>
        </w:tc>
        <w:tc>
          <w:tcPr>
            <w:tcW w:w="8190" w:type="dxa"/>
            <w:noWrap w:val="0"/>
            <w:vAlign w:val="center"/>
          </w:tcPr>
          <w:p w14:paraId="2F2DBD9A">
            <w:pPr>
              <w:pStyle w:val="71"/>
              <w:keepNext w:val="0"/>
              <w:keepLines w:val="0"/>
              <w:pageBreakBefore w:val="0"/>
              <w:widowControl w:val="0"/>
              <w:kinsoku/>
              <w:wordWrap/>
              <w:overflowPunct/>
              <w:topLinePunct w:val="0"/>
              <w:bidi w:val="0"/>
              <w:snapToGrid/>
              <w:spacing w:line="500" w:lineRule="exact"/>
              <w:ind w:firstLine="482" w:firstLineChars="200"/>
              <w:outlineLvl w:val="2"/>
              <w:rPr>
                <w:rFonts w:hint="default" w:ascii="Times New Roman" w:hAnsi="Times New Roman" w:eastAsia="宋体"/>
                <w:b/>
                <w:bCs/>
                <w:color w:val="auto"/>
                <w:sz w:val="24"/>
                <w:highlight w:val="none"/>
              </w:rPr>
            </w:pPr>
            <w:r>
              <w:rPr>
                <w:rFonts w:hint="eastAsia" w:ascii="Times New Roman" w:hAnsi="Times New Roman" w:eastAsia="宋体"/>
                <w:b/>
                <w:bCs/>
                <w:color w:val="auto"/>
                <w:sz w:val="24"/>
                <w:highlight w:val="none"/>
                <w:lang w:val="en-US" w:eastAsia="zh-CN"/>
              </w:rPr>
              <w:t>一</w:t>
            </w:r>
            <w:r>
              <w:rPr>
                <w:rFonts w:hint="default" w:ascii="Times New Roman" w:hAnsi="Times New Roman" w:eastAsia="宋体"/>
                <w:b/>
                <w:bCs/>
                <w:color w:val="auto"/>
                <w:sz w:val="24"/>
                <w:highlight w:val="none"/>
              </w:rPr>
              <w:t>、大气环境现状</w:t>
            </w:r>
          </w:p>
          <w:p w14:paraId="0518FD21">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本项目位于双鸭山市</w:t>
            </w:r>
            <w:r>
              <w:rPr>
                <w:rFonts w:hint="eastAsia" w:cs="Times New Roman"/>
                <w:color w:val="auto"/>
                <w:sz w:val="24"/>
                <w:highlight w:val="none"/>
                <w:lang w:val="en-US" w:eastAsia="zh-CN"/>
              </w:rPr>
              <w:t>尖山区</w:t>
            </w:r>
            <w:r>
              <w:rPr>
                <w:rFonts w:hint="default" w:ascii="Times New Roman" w:hAnsi="Times New Roman" w:eastAsia="宋体" w:cs="Times New Roman"/>
                <w:color w:val="auto"/>
                <w:sz w:val="24"/>
                <w:highlight w:val="none"/>
                <w:lang w:val="en-US" w:eastAsia="zh-CN"/>
              </w:rPr>
              <w:t>，所在区域为二类功能区，执行《环境空气质量标准》（GB3095-20</w:t>
            </w:r>
            <w:r>
              <w:rPr>
                <w:rFonts w:hint="eastAsia" w:cs="Times New Roman"/>
                <w:color w:val="auto"/>
                <w:sz w:val="24"/>
                <w:highlight w:val="none"/>
                <w:lang w:val="en-US" w:eastAsia="zh-CN"/>
              </w:rPr>
              <w:t>26</w:t>
            </w:r>
            <w:r>
              <w:rPr>
                <w:rFonts w:hint="default" w:ascii="Times New Roman" w:hAnsi="Times New Roman" w:eastAsia="宋体" w:cs="Times New Roman"/>
                <w:color w:val="auto"/>
                <w:sz w:val="24"/>
                <w:highlight w:val="none"/>
                <w:lang w:val="en-US" w:eastAsia="zh-CN"/>
              </w:rPr>
              <w:t>）二级标准。所在地基本污染物PM</w:t>
            </w:r>
            <w:r>
              <w:rPr>
                <w:rFonts w:hint="default" w:ascii="Times New Roman" w:hAnsi="Times New Roman" w:eastAsia="宋体" w:cs="Times New Roman"/>
                <w:color w:val="auto"/>
                <w:sz w:val="24"/>
                <w:highlight w:val="none"/>
                <w:vertAlign w:val="subscript"/>
                <w:lang w:val="en-US" w:eastAsia="zh-CN"/>
              </w:rPr>
              <w:t>10</w:t>
            </w:r>
            <w:r>
              <w:rPr>
                <w:rFonts w:hint="default" w:ascii="Times New Roman" w:hAnsi="Times New Roman" w:eastAsia="宋体" w:cs="Times New Roman"/>
                <w:color w:val="auto"/>
                <w:sz w:val="24"/>
                <w:highlight w:val="none"/>
                <w:lang w:val="en-US" w:eastAsia="zh-CN"/>
              </w:rPr>
              <w:t>、PM</w:t>
            </w:r>
            <w:r>
              <w:rPr>
                <w:rFonts w:hint="default" w:ascii="Times New Roman" w:hAnsi="Times New Roman" w:eastAsia="宋体" w:cs="Times New Roman"/>
                <w:color w:val="auto"/>
                <w:sz w:val="24"/>
                <w:highlight w:val="none"/>
                <w:vertAlign w:val="subscript"/>
                <w:lang w:val="en-US" w:eastAsia="zh-CN"/>
              </w:rPr>
              <w:t>2.5</w:t>
            </w:r>
            <w:r>
              <w:rPr>
                <w:rFonts w:hint="default" w:ascii="Times New Roman" w:hAnsi="Times New Roman" w:eastAsia="宋体" w:cs="Times New Roman"/>
                <w:color w:val="auto"/>
                <w:sz w:val="24"/>
                <w:highlight w:val="none"/>
                <w:lang w:val="en-US" w:eastAsia="zh-CN"/>
              </w:rPr>
              <w:t>、SO</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、NO</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、CO和O</w:t>
            </w:r>
            <w:r>
              <w:rPr>
                <w:rFonts w:hint="default" w:ascii="Times New Roman" w:hAnsi="Times New Roman" w:eastAsia="宋体" w:cs="Times New Roman"/>
                <w:color w:val="auto"/>
                <w:sz w:val="24"/>
                <w:highlight w:val="none"/>
                <w:vertAlign w:val="subscript"/>
                <w:lang w:val="en-US" w:eastAsia="zh-CN"/>
              </w:rPr>
              <w:t>3</w:t>
            </w:r>
            <w:r>
              <w:rPr>
                <w:rFonts w:hint="default" w:ascii="Times New Roman" w:hAnsi="Times New Roman" w:eastAsia="宋体" w:cs="Times New Roman"/>
                <w:color w:val="auto"/>
                <w:sz w:val="24"/>
                <w:highlight w:val="none"/>
                <w:lang w:val="en-US" w:eastAsia="zh-CN"/>
              </w:rPr>
              <w:t>的环境质量现状数据引用自《202</w:t>
            </w:r>
            <w:r>
              <w:rPr>
                <w:rFonts w:hint="eastAsia"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年双鸭山市环境空气质量状况》中公布的数据，具体见下表。基本污染物现状统计结果一览表详见下表。</w:t>
            </w:r>
          </w:p>
          <w:p w14:paraId="7B88732E">
            <w:pPr>
              <w:keepNext w:val="0"/>
              <w:keepLines w:val="0"/>
              <w:pageBreakBefore w:val="0"/>
              <w:widowControl w:val="0"/>
              <w:kinsoku/>
              <w:wordWrap/>
              <w:overflowPunct/>
              <w:topLinePunct w:val="0"/>
              <w:autoSpaceDE/>
              <w:autoSpaceDN/>
              <w:bidi w:val="0"/>
              <w:adjustRightInd w:val="0"/>
              <w:snapToGrid w:val="0"/>
              <w:spacing w:before="157" w:beforeLines="50" w:line="240" w:lineRule="auto"/>
              <w:ind w:firstLine="0" w:firstLineChars="0"/>
              <w:jc w:val="center"/>
              <w:textAlignment w:val="auto"/>
              <w:rPr>
                <w:color w:val="auto"/>
                <w:szCs w:val="21"/>
              </w:rPr>
            </w:pPr>
            <w:r>
              <w:rPr>
                <w:b/>
                <w:color w:val="auto"/>
                <w:sz w:val="24"/>
                <w:szCs w:val="24"/>
              </w:rPr>
              <w:t>表</w:t>
            </w:r>
            <w:r>
              <w:rPr>
                <w:b/>
                <w:snapToGrid w:val="0"/>
                <w:color w:val="auto"/>
                <w:spacing w:val="16"/>
                <w:kern w:val="0"/>
                <w:sz w:val="24"/>
                <w:szCs w:val="24"/>
              </w:rPr>
              <w:t>3-1</w:t>
            </w:r>
            <w:r>
              <w:rPr>
                <w:b/>
                <w:color w:val="auto"/>
                <w:sz w:val="24"/>
                <w:szCs w:val="24"/>
              </w:rPr>
              <w:t xml:space="preserve">  区域空气质量现状评价表</w:t>
            </w:r>
          </w:p>
          <w:tbl>
            <w:tblPr>
              <w:tblStyle w:val="31"/>
              <w:tblW w:w="5000" w:type="pct"/>
              <w:jc w:val="center"/>
              <w:tblLayout w:type="fixed"/>
              <w:tblCellMar>
                <w:top w:w="0" w:type="dxa"/>
                <w:left w:w="0" w:type="dxa"/>
                <w:bottom w:w="0" w:type="dxa"/>
                <w:right w:w="0" w:type="dxa"/>
              </w:tblCellMar>
            </w:tblPr>
            <w:tblGrid>
              <w:gridCol w:w="1118"/>
              <w:gridCol w:w="2042"/>
              <w:gridCol w:w="1240"/>
              <w:gridCol w:w="933"/>
              <w:gridCol w:w="1368"/>
              <w:gridCol w:w="1273"/>
            </w:tblGrid>
            <w:tr w14:paraId="6E967188">
              <w:tblPrEx>
                <w:tblCellMar>
                  <w:top w:w="0" w:type="dxa"/>
                  <w:left w:w="0" w:type="dxa"/>
                  <w:bottom w:w="0" w:type="dxa"/>
                  <w:right w:w="0" w:type="dxa"/>
                </w:tblCellMar>
              </w:tblPrEx>
              <w:trPr>
                <w:trHeight w:val="343" w:hRule="exact"/>
                <w:jc w:val="center"/>
              </w:trPr>
              <w:tc>
                <w:tcPr>
                  <w:tcW w:w="701" w:type="pct"/>
                  <w:tcBorders>
                    <w:top w:val="single" w:color="000000" w:sz="12" w:space="0"/>
                    <w:left w:val="nil"/>
                    <w:bottom w:val="single" w:color="000000" w:sz="4" w:space="0"/>
                    <w:right w:val="single" w:color="000000" w:sz="4" w:space="0"/>
                  </w:tcBorders>
                  <w:noWrap w:val="0"/>
                  <w:vAlign w:val="center"/>
                </w:tcPr>
                <w:p w14:paraId="606AFEAE">
                  <w:pPr>
                    <w:adjustRightInd w:val="0"/>
                    <w:snapToGrid w:val="0"/>
                    <w:jc w:val="center"/>
                    <w:rPr>
                      <w:color w:val="auto"/>
                      <w:spacing w:val="16"/>
                      <w:szCs w:val="21"/>
                    </w:rPr>
                  </w:pPr>
                  <w:r>
                    <w:rPr>
                      <w:color w:val="auto"/>
                      <w:spacing w:val="16"/>
                      <w:szCs w:val="21"/>
                    </w:rPr>
                    <w:t>项目</w:t>
                  </w:r>
                </w:p>
              </w:tc>
              <w:tc>
                <w:tcPr>
                  <w:tcW w:w="1280" w:type="pct"/>
                  <w:tcBorders>
                    <w:top w:val="single" w:color="000000" w:sz="12" w:space="0"/>
                    <w:left w:val="single" w:color="000000" w:sz="4" w:space="0"/>
                    <w:bottom w:val="single" w:color="000000" w:sz="4" w:space="0"/>
                    <w:right w:val="single" w:color="000000" w:sz="4" w:space="0"/>
                  </w:tcBorders>
                  <w:noWrap w:val="0"/>
                  <w:vAlign w:val="center"/>
                </w:tcPr>
                <w:p w14:paraId="76796102">
                  <w:pPr>
                    <w:adjustRightInd w:val="0"/>
                    <w:snapToGrid w:val="0"/>
                    <w:jc w:val="center"/>
                    <w:rPr>
                      <w:color w:val="auto"/>
                      <w:spacing w:val="16"/>
                      <w:szCs w:val="21"/>
                    </w:rPr>
                  </w:pPr>
                  <w:r>
                    <w:rPr>
                      <w:color w:val="auto"/>
                      <w:spacing w:val="16"/>
                      <w:szCs w:val="21"/>
                    </w:rPr>
                    <w:t>年评价</w:t>
                  </w:r>
                  <w:r>
                    <w:rPr>
                      <w:color w:val="auto"/>
                      <w:spacing w:val="16"/>
                      <w:szCs w:val="21"/>
                    </w:rPr>
                    <w:cr/>
                  </w:r>
                  <w:r>
                    <w:rPr>
                      <w:color w:val="auto"/>
                      <w:spacing w:val="16"/>
                      <w:szCs w:val="21"/>
                    </w:rPr>
                    <w:t>标</w:t>
                  </w:r>
                </w:p>
              </w:tc>
              <w:tc>
                <w:tcPr>
                  <w:tcW w:w="777" w:type="pct"/>
                  <w:tcBorders>
                    <w:top w:val="single" w:color="000000" w:sz="12" w:space="0"/>
                    <w:left w:val="single" w:color="000000" w:sz="4" w:space="0"/>
                    <w:bottom w:val="single" w:color="000000" w:sz="4" w:space="0"/>
                    <w:right w:val="single" w:color="000000" w:sz="4" w:space="0"/>
                  </w:tcBorders>
                  <w:noWrap w:val="0"/>
                  <w:vAlign w:val="center"/>
                </w:tcPr>
                <w:p w14:paraId="5B0D1997">
                  <w:pPr>
                    <w:adjustRightInd w:val="0"/>
                    <w:snapToGrid w:val="0"/>
                    <w:jc w:val="center"/>
                    <w:rPr>
                      <w:color w:val="auto"/>
                      <w:spacing w:val="16"/>
                      <w:szCs w:val="21"/>
                    </w:rPr>
                  </w:pPr>
                  <w:r>
                    <w:rPr>
                      <w:color w:val="auto"/>
                      <w:spacing w:val="16"/>
                      <w:szCs w:val="21"/>
                    </w:rPr>
                    <w:t>现状浓度</w:t>
                  </w:r>
                </w:p>
                <w:p w14:paraId="79559791">
                  <w:pPr>
                    <w:adjustRightInd w:val="0"/>
                    <w:snapToGrid w:val="0"/>
                    <w:jc w:val="center"/>
                    <w:rPr>
                      <w:color w:val="auto"/>
                      <w:spacing w:val="16"/>
                      <w:szCs w:val="21"/>
                    </w:rPr>
                  </w:pPr>
                  <w:r>
                    <w:rPr>
                      <w:color w:val="auto"/>
                      <w:spacing w:val="16"/>
                      <w:szCs w:val="21"/>
                    </w:rPr>
                    <w:t>μg/m</w:t>
                  </w:r>
                  <w:r>
                    <w:rPr>
                      <w:color w:val="auto"/>
                      <w:spacing w:val="16"/>
                      <w:szCs w:val="21"/>
                      <w:vertAlign w:val="superscript"/>
                    </w:rPr>
                    <w:t>3</w:t>
                  </w:r>
                </w:p>
              </w:tc>
              <w:tc>
                <w:tcPr>
                  <w:tcW w:w="585" w:type="pct"/>
                  <w:tcBorders>
                    <w:top w:val="single" w:color="000000" w:sz="12" w:space="0"/>
                    <w:left w:val="single" w:color="000000" w:sz="4" w:space="0"/>
                    <w:bottom w:val="single" w:color="000000" w:sz="4" w:space="0"/>
                    <w:right w:val="single" w:color="000000" w:sz="4" w:space="0"/>
                  </w:tcBorders>
                  <w:noWrap w:val="0"/>
                  <w:vAlign w:val="center"/>
                </w:tcPr>
                <w:p w14:paraId="63FFC707">
                  <w:pPr>
                    <w:adjustRightInd w:val="0"/>
                    <w:snapToGrid w:val="0"/>
                    <w:jc w:val="center"/>
                    <w:rPr>
                      <w:color w:val="auto"/>
                      <w:spacing w:val="16"/>
                      <w:szCs w:val="21"/>
                    </w:rPr>
                  </w:pPr>
                  <w:r>
                    <w:rPr>
                      <w:color w:val="auto"/>
                      <w:spacing w:val="16"/>
                      <w:szCs w:val="21"/>
                    </w:rPr>
                    <w:t>标准值</w:t>
                  </w:r>
                </w:p>
                <w:p w14:paraId="0A81DF56">
                  <w:pPr>
                    <w:adjustRightInd w:val="0"/>
                    <w:snapToGrid w:val="0"/>
                    <w:jc w:val="center"/>
                    <w:rPr>
                      <w:color w:val="auto"/>
                      <w:spacing w:val="16"/>
                      <w:szCs w:val="21"/>
                    </w:rPr>
                  </w:pPr>
                  <w:r>
                    <w:rPr>
                      <w:color w:val="auto"/>
                      <w:spacing w:val="16"/>
                      <w:szCs w:val="21"/>
                    </w:rPr>
                    <w:t>μg/m</w:t>
                  </w:r>
                  <w:r>
                    <w:rPr>
                      <w:color w:val="auto"/>
                      <w:spacing w:val="16"/>
                      <w:szCs w:val="21"/>
                      <w:vertAlign w:val="superscript"/>
                    </w:rPr>
                    <w:t>3</w:t>
                  </w:r>
                </w:p>
              </w:tc>
              <w:tc>
                <w:tcPr>
                  <w:tcW w:w="857" w:type="pct"/>
                  <w:tcBorders>
                    <w:top w:val="single" w:color="000000" w:sz="12" w:space="0"/>
                    <w:left w:val="single" w:color="000000" w:sz="4" w:space="0"/>
                    <w:bottom w:val="single" w:color="000000" w:sz="4" w:space="0"/>
                    <w:right w:val="single" w:color="000000" w:sz="4" w:space="0"/>
                  </w:tcBorders>
                  <w:noWrap w:val="0"/>
                  <w:vAlign w:val="center"/>
                </w:tcPr>
                <w:p w14:paraId="12FDF14B">
                  <w:pPr>
                    <w:adjustRightInd w:val="0"/>
                    <w:snapToGrid w:val="0"/>
                    <w:jc w:val="center"/>
                    <w:rPr>
                      <w:color w:val="auto"/>
                      <w:spacing w:val="16"/>
                      <w:szCs w:val="21"/>
                    </w:rPr>
                  </w:pPr>
                  <w:r>
                    <w:rPr>
                      <w:color w:val="auto"/>
                      <w:spacing w:val="16"/>
                      <w:szCs w:val="21"/>
                    </w:rPr>
                    <w:t>占标率%</w:t>
                  </w:r>
                </w:p>
              </w:tc>
              <w:tc>
                <w:tcPr>
                  <w:tcW w:w="798" w:type="pct"/>
                  <w:tcBorders>
                    <w:top w:val="single" w:color="000000" w:sz="12" w:space="0"/>
                    <w:left w:val="single" w:color="000000" w:sz="4" w:space="0"/>
                    <w:bottom w:val="single" w:color="000000" w:sz="4" w:space="0"/>
                    <w:right w:val="nil"/>
                  </w:tcBorders>
                  <w:noWrap w:val="0"/>
                  <w:vAlign w:val="center"/>
                </w:tcPr>
                <w:p w14:paraId="0308CB03">
                  <w:pPr>
                    <w:adjustRightInd w:val="0"/>
                    <w:snapToGrid w:val="0"/>
                    <w:jc w:val="center"/>
                    <w:rPr>
                      <w:color w:val="auto"/>
                      <w:spacing w:val="16"/>
                      <w:szCs w:val="21"/>
                    </w:rPr>
                  </w:pPr>
                  <w:r>
                    <w:rPr>
                      <w:color w:val="auto"/>
                      <w:spacing w:val="16"/>
                      <w:szCs w:val="21"/>
                    </w:rPr>
                    <w:t>达标情况</w:t>
                  </w:r>
                </w:p>
              </w:tc>
            </w:tr>
            <w:tr w14:paraId="1EECF2EF">
              <w:tblPrEx>
                <w:tblCellMar>
                  <w:top w:w="0" w:type="dxa"/>
                  <w:left w:w="0" w:type="dxa"/>
                  <w:bottom w:w="0" w:type="dxa"/>
                  <w:right w:w="0" w:type="dxa"/>
                </w:tblCellMar>
              </w:tblPrEx>
              <w:trPr>
                <w:trHeight w:val="370" w:hRule="exact"/>
                <w:jc w:val="center"/>
              </w:trPr>
              <w:tc>
                <w:tcPr>
                  <w:tcW w:w="701" w:type="pct"/>
                  <w:tcBorders>
                    <w:top w:val="single" w:color="000000" w:sz="4" w:space="0"/>
                    <w:left w:val="nil"/>
                    <w:bottom w:val="single" w:color="000000" w:sz="4" w:space="0"/>
                    <w:right w:val="single" w:color="000000" w:sz="4" w:space="0"/>
                  </w:tcBorders>
                  <w:noWrap w:val="0"/>
                  <w:vAlign w:val="center"/>
                </w:tcPr>
                <w:p w14:paraId="45EB43B1">
                  <w:pPr>
                    <w:adjustRightInd w:val="0"/>
                    <w:snapToGrid w:val="0"/>
                    <w:jc w:val="center"/>
                    <w:rPr>
                      <w:color w:val="auto"/>
                      <w:spacing w:val="16"/>
                      <w:szCs w:val="21"/>
                    </w:rPr>
                  </w:pPr>
                  <w:r>
                    <w:rPr>
                      <w:color w:val="auto"/>
                      <w:spacing w:val="16"/>
                      <w:szCs w:val="21"/>
                    </w:rPr>
                    <w:t>PM</w:t>
                  </w:r>
                  <w:r>
                    <w:rPr>
                      <w:color w:val="auto"/>
                      <w:spacing w:val="16"/>
                      <w:szCs w:val="21"/>
                      <w:vertAlign w:val="subscript"/>
                    </w:rPr>
                    <w:t>2.5</w:t>
                  </w:r>
                </w:p>
              </w:tc>
              <w:tc>
                <w:tcPr>
                  <w:tcW w:w="1280" w:type="pct"/>
                  <w:tcBorders>
                    <w:top w:val="single" w:color="000000" w:sz="4" w:space="0"/>
                    <w:left w:val="single" w:color="000000" w:sz="4" w:space="0"/>
                    <w:bottom w:val="single" w:color="000000" w:sz="4" w:space="0"/>
                    <w:right w:val="single" w:color="000000" w:sz="4" w:space="0"/>
                  </w:tcBorders>
                  <w:noWrap w:val="0"/>
                  <w:vAlign w:val="center"/>
                </w:tcPr>
                <w:p w14:paraId="5E37EE25">
                  <w:pPr>
                    <w:adjustRightInd w:val="0"/>
                    <w:snapToGrid w:val="0"/>
                    <w:jc w:val="center"/>
                    <w:rPr>
                      <w:color w:val="auto"/>
                      <w:spacing w:val="16"/>
                      <w:szCs w:val="21"/>
                    </w:rPr>
                  </w:pPr>
                  <w:r>
                    <w:rPr>
                      <w:color w:val="auto"/>
                      <w:spacing w:val="16"/>
                      <w:szCs w:val="21"/>
                    </w:rPr>
                    <w:t>年平均质量浓度</w:t>
                  </w:r>
                </w:p>
              </w:tc>
              <w:tc>
                <w:tcPr>
                  <w:tcW w:w="777" w:type="pct"/>
                  <w:tcBorders>
                    <w:top w:val="single" w:color="000000" w:sz="4" w:space="0"/>
                    <w:left w:val="single" w:color="000000" w:sz="4" w:space="0"/>
                    <w:bottom w:val="single" w:color="000000" w:sz="4" w:space="0"/>
                    <w:right w:val="single" w:color="000000" w:sz="4" w:space="0"/>
                  </w:tcBorders>
                  <w:noWrap w:val="0"/>
                  <w:vAlign w:val="center"/>
                </w:tcPr>
                <w:p w14:paraId="6392E66D">
                  <w:pPr>
                    <w:adjustRightInd w:val="0"/>
                    <w:snapToGrid w:val="0"/>
                    <w:jc w:val="center"/>
                    <w:rPr>
                      <w:rFonts w:hint="eastAsia" w:eastAsia="宋体"/>
                      <w:color w:val="auto"/>
                      <w:spacing w:val="16"/>
                      <w:szCs w:val="21"/>
                      <w:lang w:eastAsia="zh-CN"/>
                    </w:rPr>
                  </w:pPr>
                  <w:r>
                    <w:rPr>
                      <w:color w:val="auto"/>
                      <w:spacing w:val="16"/>
                      <w:szCs w:val="21"/>
                    </w:rPr>
                    <w:t>2</w:t>
                  </w:r>
                  <w:r>
                    <w:rPr>
                      <w:rFonts w:hint="eastAsia"/>
                      <w:color w:val="auto"/>
                      <w:spacing w:val="16"/>
                      <w:szCs w:val="21"/>
                      <w:lang w:val="en-US" w:eastAsia="zh-CN"/>
                    </w:rPr>
                    <w:t>7</w:t>
                  </w:r>
                </w:p>
              </w:tc>
              <w:tc>
                <w:tcPr>
                  <w:tcW w:w="585" w:type="pct"/>
                  <w:tcBorders>
                    <w:top w:val="single" w:color="000000" w:sz="4" w:space="0"/>
                    <w:left w:val="single" w:color="000000" w:sz="4" w:space="0"/>
                    <w:bottom w:val="single" w:color="000000" w:sz="4" w:space="0"/>
                    <w:right w:val="single" w:color="000000" w:sz="4" w:space="0"/>
                  </w:tcBorders>
                  <w:noWrap w:val="0"/>
                  <w:vAlign w:val="center"/>
                </w:tcPr>
                <w:p w14:paraId="7B0B8A0A">
                  <w:pPr>
                    <w:adjustRightInd w:val="0"/>
                    <w:snapToGrid w:val="0"/>
                    <w:jc w:val="center"/>
                    <w:rPr>
                      <w:rFonts w:hint="eastAsia" w:eastAsia="宋体"/>
                      <w:color w:val="auto"/>
                      <w:spacing w:val="16"/>
                      <w:szCs w:val="21"/>
                      <w:lang w:eastAsia="zh-CN"/>
                    </w:rPr>
                  </w:pPr>
                  <w:r>
                    <w:rPr>
                      <w:color w:val="auto"/>
                      <w:spacing w:val="16"/>
                      <w:szCs w:val="21"/>
                    </w:rPr>
                    <w:t>3</w:t>
                  </w:r>
                  <w:r>
                    <w:rPr>
                      <w:rFonts w:hint="eastAsia"/>
                      <w:color w:val="auto"/>
                      <w:spacing w:val="16"/>
                      <w:szCs w:val="21"/>
                      <w:lang w:val="en-US" w:eastAsia="zh-CN"/>
                    </w:rPr>
                    <w:t>0</w:t>
                  </w:r>
                </w:p>
              </w:tc>
              <w:tc>
                <w:tcPr>
                  <w:tcW w:w="857" w:type="pct"/>
                  <w:tcBorders>
                    <w:top w:val="single" w:color="000000" w:sz="4" w:space="0"/>
                    <w:left w:val="single" w:color="000000" w:sz="4" w:space="0"/>
                    <w:bottom w:val="single" w:color="000000" w:sz="4" w:space="0"/>
                    <w:right w:val="single" w:color="000000" w:sz="4" w:space="0"/>
                  </w:tcBorders>
                  <w:noWrap w:val="0"/>
                  <w:vAlign w:val="center"/>
                </w:tcPr>
                <w:p w14:paraId="2B7200E6">
                  <w:pPr>
                    <w:adjustRightInd w:val="0"/>
                    <w:snapToGrid w:val="0"/>
                    <w:jc w:val="center"/>
                    <w:rPr>
                      <w:rFonts w:hint="default" w:eastAsia="宋体"/>
                      <w:color w:val="auto"/>
                      <w:spacing w:val="16"/>
                      <w:szCs w:val="21"/>
                      <w:lang w:val="en-US" w:eastAsia="zh-CN"/>
                    </w:rPr>
                  </w:pPr>
                  <w:r>
                    <w:rPr>
                      <w:rFonts w:hint="eastAsia"/>
                      <w:color w:val="auto"/>
                      <w:spacing w:val="16"/>
                      <w:szCs w:val="21"/>
                      <w:lang w:val="en-US" w:eastAsia="zh-CN"/>
                    </w:rPr>
                    <w:t>90.0</w:t>
                  </w:r>
                </w:p>
              </w:tc>
              <w:tc>
                <w:tcPr>
                  <w:tcW w:w="798" w:type="pct"/>
                  <w:tcBorders>
                    <w:top w:val="single" w:color="000000" w:sz="4" w:space="0"/>
                    <w:left w:val="single" w:color="000000" w:sz="4" w:space="0"/>
                    <w:bottom w:val="single" w:color="000000" w:sz="4" w:space="0"/>
                    <w:right w:val="nil"/>
                  </w:tcBorders>
                  <w:noWrap w:val="0"/>
                  <w:vAlign w:val="center"/>
                </w:tcPr>
                <w:p w14:paraId="606A3A91">
                  <w:pPr>
                    <w:adjustRightInd w:val="0"/>
                    <w:snapToGrid w:val="0"/>
                    <w:jc w:val="center"/>
                    <w:rPr>
                      <w:color w:val="auto"/>
                      <w:spacing w:val="16"/>
                      <w:szCs w:val="21"/>
                    </w:rPr>
                  </w:pPr>
                  <w:r>
                    <w:rPr>
                      <w:color w:val="auto"/>
                      <w:spacing w:val="16"/>
                      <w:szCs w:val="21"/>
                    </w:rPr>
                    <w:t>达标</w:t>
                  </w:r>
                </w:p>
              </w:tc>
            </w:tr>
            <w:tr w14:paraId="47E71A43">
              <w:tblPrEx>
                <w:tblCellMar>
                  <w:top w:w="0" w:type="dxa"/>
                  <w:left w:w="0" w:type="dxa"/>
                  <w:bottom w:w="0" w:type="dxa"/>
                  <w:right w:w="0" w:type="dxa"/>
                </w:tblCellMar>
              </w:tblPrEx>
              <w:trPr>
                <w:trHeight w:val="370" w:hRule="exact"/>
                <w:jc w:val="center"/>
              </w:trPr>
              <w:tc>
                <w:tcPr>
                  <w:tcW w:w="701" w:type="pct"/>
                  <w:tcBorders>
                    <w:top w:val="single" w:color="000000" w:sz="4" w:space="0"/>
                    <w:left w:val="nil"/>
                    <w:bottom w:val="single" w:color="000000" w:sz="4" w:space="0"/>
                    <w:right w:val="single" w:color="000000" w:sz="4" w:space="0"/>
                  </w:tcBorders>
                  <w:noWrap w:val="0"/>
                  <w:vAlign w:val="center"/>
                </w:tcPr>
                <w:p w14:paraId="136A6830">
                  <w:pPr>
                    <w:adjustRightInd w:val="0"/>
                    <w:snapToGrid w:val="0"/>
                    <w:jc w:val="center"/>
                    <w:rPr>
                      <w:color w:val="auto"/>
                      <w:spacing w:val="16"/>
                      <w:szCs w:val="21"/>
                    </w:rPr>
                  </w:pPr>
                  <w:r>
                    <w:rPr>
                      <w:color w:val="auto"/>
                      <w:spacing w:val="16"/>
                      <w:szCs w:val="21"/>
                    </w:rPr>
                    <w:t>PM</w:t>
                  </w:r>
                  <w:r>
                    <w:rPr>
                      <w:color w:val="auto"/>
                      <w:spacing w:val="16"/>
                      <w:szCs w:val="21"/>
                      <w:vertAlign w:val="subscript"/>
                    </w:rPr>
                    <w:t>10</w:t>
                  </w:r>
                </w:p>
              </w:tc>
              <w:tc>
                <w:tcPr>
                  <w:tcW w:w="1280" w:type="pct"/>
                  <w:tcBorders>
                    <w:top w:val="single" w:color="000000" w:sz="4" w:space="0"/>
                    <w:left w:val="single" w:color="000000" w:sz="4" w:space="0"/>
                    <w:bottom w:val="single" w:color="000000" w:sz="4" w:space="0"/>
                    <w:right w:val="single" w:color="000000" w:sz="4" w:space="0"/>
                  </w:tcBorders>
                  <w:noWrap w:val="0"/>
                  <w:vAlign w:val="center"/>
                </w:tcPr>
                <w:p w14:paraId="35EFBE7E">
                  <w:pPr>
                    <w:adjustRightInd w:val="0"/>
                    <w:snapToGrid w:val="0"/>
                    <w:jc w:val="center"/>
                    <w:rPr>
                      <w:color w:val="auto"/>
                      <w:spacing w:val="16"/>
                      <w:szCs w:val="21"/>
                    </w:rPr>
                  </w:pPr>
                  <w:r>
                    <w:rPr>
                      <w:color w:val="auto"/>
                      <w:spacing w:val="16"/>
                      <w:szCs w:val="21"/>
                    </w:rPr>
                    <w:t>年平均质量浓度</w:t>
                  </w:r>
                </w:p>
              </w:tc>
              <w:tc>
                <w:tcPr>
                  <w:tcW w:w="777" w:type="pct"/>
                  <w:tcBorders>
                    <w:top w:val="single" w:color="000000" w:sz="4" w:space="0"/>
                    <w:left w:val="single" w:color="000000" w:sz="4" w:space="0"/>
                    <w:bottom w:val="single" w:color="000000" w:sz="4" w:space="0"/>
                    <w:right w:val="single" w:color="000000" w:sz="4" w:space="0"/>
                  </w:tcBorders>
                  <w:noWrap w:val="0"/>
                  <w:vAlign w:val="center"/>
                </w:tcPr>
                <w:p w14:paraId="7549782C">
                  <w:pPr>
                    <w:widowControl/>
                    <w:jc w:val="center"/>
                    <w:rPr>
                      <w:rFonts w:hint="eastAsia" w:eastAsia="宋体"/>
                      <w:color w:val="auto"/>
                      <w:szCs w:val="21"/>
                      <w:lang w:eastAsia="zh-CN"/>
                    </w:rPr>
                  </w:pPr>
                  <w:r>
                    <w:rPr>
                      <w:color w:val="auto"/>
                      <w:szCs w:val="21"/>
                    </w:rPr>
                    <w:t>4</w:t>
                  </w:r>
                  <w:r>
                    <w:rPr>
                      <w:rFonts w:hint="eastAsia"/>
                      <w:color w:val="auto"/>
                      <w:szCs w:val="21"/>
                      <w:lang w:val="en-US" w:eastAsia="zh-CN"/>
                    </w:rPr>
                    <w:t>3</w:t>
                  </w:r>
                </w:p>
              </w:tc>
              <w:tc>
                <w:tcPr>
                  <w:tcW w:w="585" w:type="pct"/>
                  <w:tcBorders>
                    <w:top w:val="single" w:color="000000" w:sz="4" w:space="0"/>
                    <w:left w:val="single" w:color="000000" w:sz="4" w:space="0"/>
                    <w:bottom w:val="single" w:color="000000" w:sz="4" w:space="0"/>
                    <w:right w:val="single" w:color="000000" w:sz="4" w:space="0"/>
                  </w:tcBorders>
                  <w:noWrap w:val="0"/>
                  <w:vAlign w:val="center"/>
                </w:tcPr>
                <w:p w14:paraId="6D8517FA">
                  <w:pPr>
                    <w:widowControl/>
                    <w:jc w:val="center"/>
                    <w:rPr>
                      <w:color w:val="auto"/>
                      <w:szCs w:val="21"/>
                    </w:rPr>
                  </w:pPr>
                  <w:r>
                    <w:rPr>
                      <w:rFonts w:hint="eastAsia"/>
                      <w:color w:val="auto"/>
                      <w:szCs w:val="21"/>
                      <w:lang w:val="en-US" w:eastAsia="zh-CN"/>
                    </w:rPr>
                    <w:t>6</w:t>
                  </w:r>
                  <w:r>
                    <w:rPr>
                      <w:color w:val="auto"/>
                      <w:szCs w:val="21"/>
                    </w:rPr>
                    <w:t>0</w:t>
                  </w:r>
                </w:p>
              </w:tc>
              <w:tc>
                <w:tcPr>
                  <w:tcW w:w="857" w:type="pct"/>
                  <w:tcBorders>
                    <w:top w:val="single" w:color="000000" w:sz="4" w:space="0"/>
                    <w:left w:val="single" w:color="000000" w:sz="4" w:space="0"/>
                    <w:bottom w:val="single" w:color="000000" w:sz="4" w:space="0"/>
                    <w:right w:val="single" w:color="000000" w:sz="4" w:space="0"/>
                  </w:tcBorders>
                  <w:noWrap w:val="0"/>
                  <w:vAlign w:val="center"/>
                </w:tcPr>
                <w:p w14:paraId="2F3E3A2F">
                  <w:pPr>
                    <w:adjustRightInd w:val="0"/>
                    <w:snapToGrid w:val="0"/>
                    <w:jc w:val="center"/>
                    <w:rPr>
                      <w:rFonts w:hint="default" w:eastAsia="宋体"/>
                      <w:color w:val="auto"/>
                      <w:spacing w:val="16"/>
                      <w:szCs w:val="21"/>
                      <w:lang w:val="en-US" w:eastAsia="zh-CN"/>
                    </w:rPr>
                  </w:pPr>
                  <w:r>
                    <w:rPr>
                      <w:rFonts w:hint="eastAsia"/>
                      <w:color w:val="auto"/>
                      <w:spacing w:val="16"/>
                      <w:szCs w:val="21"/>
                      <w:lang w:val="en-US" w:eastAsia="zh-CN"/>
                    </w:rPr>
                    <w:t>72.7</w:t>
                  </w:r>
                </w:p>
              </w:tc>
              <w:tc>
                <w:tcPr>
                  <w:tcW w:w="798" w:type="pct"/>
                  <w:tcBorders>
                    <w:top w:val="single" w:color="000000" w:sz="4" w:space="0"/>
                    <w:left w:val="single" w:color="000000" w:sz="4" w:space="0"/>
                    <w:bottom w:val="single" w:color="000000" w:sz="4" w:space="0"/>
                    <w:right w:val="nil"/>
                  </w:tcBorders>
                  <w:noWrap w:val="0"/>
                  <w:vAlign w:val="center"/>
                </w:tcPr>
                <w:p w14:paraId="5FCAA167">
                  <w:pPr>
                    <w:adjustRightInd w:val="0"/>
                    <w:snapToGrid w:val="0"/>
                    <w:jc w:val="center"/>
                    <w:rPr>
                      <w:color w:val="auto"/>
                      <w:spacing w:val="16"/>
                      <w:szCs w:val="21"/>
                    </w:rPr>
                  </w:pPr>
                  <w:r>
                    <w:rPr>
                      <w:color w:val="auto"/>
                      <w:spacing w:val="16"/>
                      <w:szCs w:val="21"/>
                    </w:rPr>
                    <w:t>达标</w:t>
                  </w:r>
                </w:p>
              </w:tc>
            </w:tr>
            <w:tr w14:paraId="19441C2D">
              <w:tblPrEx>
                <w:tblCellMar>
                  <w:top w:w="0" w:type="dxa"/>
                  <w:left w:w="0" w:type="dxa"/>
                  <w:bottom w:w="0" w:type="dxa"/>
                  <w:right w:w="0" w:type="dxa"/>
                </w:tblCellMar>
              </w:tblPrEx>
              <w:trPr>
                <w:trHeight w:val="370" w:hRule="exact"/>
                <w:jc w:val="center"/>
              </w:trPr>
              <w:tc>
                <w:tcPr>
                  <w:tcW w:w="701" w:type="pct"/>
                  <w:tcBorders>
                    <w:top w:val="single" w:color="000000" w:sz="4" w:space="0"/>
                    <w:left w:val="nil"/>
                    <w:bottom w:val="single" w:color="000000" w:sz="4" w:space="0"/>
                    <w:right w:val="single" w:color="000000" w:sz="4" w:space="0"/>
                  </w:tcBorders>
                  <w:noWrap w:val="0"/>
                  <w:vAlign w:val="center"/>
                </w:tcPr>
                <w:p w14:paraId="0895E723">
                  <w:pPr>
                    <w:adjustRightInd w:val="0"/>
                    <w:snapToGrid w:val="0"/>
                    <w:jc w:val="center"/>
                    <w:rPr>
                      <w:color w:val="auto"/>
                      <w:spacing w:val="16"/>
                      <w:szCs w:val="21"/>
                    </w:rPr>
                  </w:pPr>
                  <w:r>
                    <w:rPr>
                      <w:color w:val="auto"/>
                      <w:spacing w:val="16"/>
                      <w:szCs w:val="21"/>
                    </w:rPr>
                    <w:t>二氧化硫</w:t>
                  </w:r>
                </w:p>
              </w:tc>
              <w:tc>
                <w:tcPr>
                  <w:tcW w:w="1280" w:type="pct"/>
                  <w:tcBorders>
                    <w:top w:val="single" w:color="000000" w:sz="4" w:space="0"/>
                    <w:left w:val="single" w:color="000000" w:sz="4" w:space="0"/>
                    <w:bottom w:val="single" w:color="000000" w:sz="4" w:space="0"/>
                    <w:right w:val="single" w:color="000000" w:sz="4" w:space="0"/>
                  </w:tcBorders>
                  <w:noWrap w:val="0"/>
                  <w:vAlign w:val="center"/>
                </w:tcPr>
                <w:p w14:paraId="6A555369">
                  <w:pPr>
                    <w:adjustRightInd w:val="0"/>
                    <w:snapToGrid w:val="0"/>
                    <w:jc w:val="center"/>
                    <w:rPr>
                      <w:color w:val="auto"/>
                      <w:spacing w:val="16"/>
                      <w:szCs w:val="21"/>
                    </w:rPr>
                  </w:pPr>
                  <w:r>
                    <w:rPr>
                      <w:color w:val="auto"/>
                      <w:spacing w:val="16"/>
                      <w:szCs w:val="21"/>
                    </w:rPr>
                    <w:t>年平均质量浓度</w:t>
                  </w:r>
                  <w:r>
                    <w:rPr>
                      <w:color w:val="auto"/>
                      <w:spacing w:val="16"/>
                      <w:szCs w:val="21"/>
                    </w:rPr>
                    <w:cr/>
                  </w:r>
                </w:p>
              </w:tc>
              <w:tc>
                <w:tcPr>
                  <w:tcW w:w="777" w:type="pct"/>
                  <w:tcBorders>
                    <w:top w:val="single" w:color="000000" w:sz="4" w:space="0"/>
                    <w:left w:val="single" w:color="000000" w:sz="4" w:space="0"/>
                    <w:bottom w:val="single" w:color="000000" w:sz="4" w:space="0"/>
                    <w:right w:val="single" w:color="000000" w:sz="4" w:space="0"/>
                  </w:tcBorders>
                  <w:noWrap w:val="0"/>
                  <w:vAlign w:val="center"/>
                </w:tcPr>
                <w:p w14:paraId="3CCCE420">
                  <w:pPr>
                    <w:adjustRightInd w:val="0"/>
                    <w:snapToGrid w:val="0"/>
                    <w:jc w:val="center"/>
                    <w:rPr>
                      <w:rFonts w:hint="default" w:eastAsia="宋体"/>
                      <w:color w:val="auto"/>
                      <w:spacing w:val="16"/>
                      <w:szCs w:val="21"/>
                      <w:lang w:val="en-US" w:eastAsia="zh-CN"/>
                    </w:rPr>
                  </w:pPr>
                  <w:r>
                    <w:rPr>
                      <w:rFonts w:hint="eastAsia"/>
                      <w:color w:val="auto"/>
                      <w:spacing w:val="16"/>
                      <w:szCs w:val="21"/>
                      <w:lang w:val="en-US" w:eastAsia="zh-CN"/>
                    </w:rPr>
                    <w:t>11</w:t>
                  </w:r>
                </w:p>
              </w:tc>
              <w:tc>
                <w:tcPr>
                  <w:tcW w:w="585" w:type="pct"/>
                  <w:tcBorders>
                    <w:top w:val="single" w:color="000000" w:sz="4" w:space="0"/>
                    <w:left w:val="single" w:color="000000" w:sz="4" w:space="0"/>
                    <w:bottom w:val="single" w:color="000000" w:sz="4" w:space="0"/>
                    <w:right w:val="single" w:color="000000" w:sz="4" w:space="0"/>
                  </w:tcBorders>
                  <w:noWrap w:val="0"/>
                  <w:vAlign w:val="center"/>
                </w:tcPr>
                <w:p w14:paraId="1D383EB9">
                  <w:pPr>
                    <w:adjustRightInd w:val="0"/>
                    <w:snapToGrid w:val="0"/>
                    <w:jc w:val="center"/>
                    <w:rPr>
                      <w:color w:val="auto"/>
                      <w:spacing w:val="16"/>
                      <w:szCs w:val="21"/>
                    </w:rPr>
                  </w:pPr>
                  <w:r>
                    <w:rPr>
                      <w:color w:val="auto"/>
                      <w:spacing w:val="16"/>
                      <w:szCs w:val="21"/>
                    </w:rPr>
                    <w:t>60</w:t>
                  </w:r>
                </w:p>
              </w:tc>
              <w:tc>
                <w:tcPr>
                  <w:tcW w:w="857" w:type="pct"/>
                  <w:tcBorders>
                    <w:top w:val="single" w:color="000000" w:sz="4" w:space="0"/>
                    <w:left w:val="single" w:color="000000" w:sz="4" w:space="0"/>
                    <w:bottom w:val="single" w:color="000000" w:sz="4" w:space="0"/>
                    <w:right w:val="single" w:color="000000" w:sz="4" w:space="0"/>
                  </w:tcBorders>
                  <w:noWrap w:val="0"/>
                  <w:vAlign w:val="center"/>
                </w:tcPr>
                <w:p w14:paraId="7799AD6D">
                  <w:pPr>
                    <w:adjustRightInd w:val="0"/>
                    <w:snapToGrid w:val="0"/>
                    <w:jc w:val="center"/>
                    <w:rPr>
                      <w:rFonts w:hint="default" w:eastAsia="宋体"/>
                      <w:color w:val="auto"/>
                      <w:spacing w:val="16"/>
                      <w:szCs w:val="21"/>
                      <w:lang w:val="en-US" w:eastAsia="zh-CN"/>
                    </w:rPr>
                  </w:pPr>
                  <w:r>
                    <w:rPr>
                      <w:rFonts w:hint="eastAsia"/>
                      <w:color w:val="auto"/>
                      <w:spacing w:val="16"/>
                      <w:szCs w:val="21"/>
                      <w:lang w:val="en-US" w:eastAsia="zh-CN"/>
                    </w:rPr>
                    <w:t>18.3</w:t>
                  </w:r>
                </w:p>
              </w:tc>
              <w:tc>
                <w:tcPr>
                  <w:tcW w:w="798" w:type="pct"/>
                  <w:tcBorders>
                    <w:top w:val="single" w:color="000000" w:sz="4" w:space="0"/>
                    <w:left w:val="single" w:color="000000" w:sz="4" w:space="0"/>
                    <w:bottom w:val="single" w:color="000000" w:sz="4" w:space="0"/>
                    <w:right w:val="nil"/>
                  </w:tcBorders>
                  <w:noWrap w:val="0"/>
                  <w:vAlign w:val="center"/>
                </w:tcPr>
                <w:p w14:paraId="39411D6B">
                  <w:pPr>
                    <w:adjustRightInd w:val="0"/>
                    <w:snapToGrid w:val="0"/>
                    <w:jc w:val="center"/>
                    <w:rPr>
                      <w:color w:val="auto"/>
                      <w:spacing w:val="16"/>
                      <w:szCs w:val="21"/>
                    </w:rPr>
                  </w:pPr>
                  <w:r>
                    <w:rPr>
                      <w:color w:val="auto"/>
                      <w:spacing w:val="16"/>
                      <w:szCs w:val="21"/>
                    </w:rPr>
                    <w:t>达标</w:t>
                  </w:r>
                </w:p>
              </w:tc>
            </w:tr>
            <w:tr w14:paraId="38CBDBF5">
              <w:tblPrEx>
                <w:tblCellMar>
                  <w:top w:w="0" w:type="dxa"/>
                  <w:left w:w="0" w:type="dxa"/>
                  <w:bottom w:w="0" w:type="dxa"/>
                  <w:right w:w="0" w:type="dxa"/>
                </w:tblCellMar>
              </w:tblPrEx>
              <w:trPr>
                <w:trHeight w:val="370" w:hRule="exact"/>
                <w:jc w:val="center"/>
              </w:trPr>
              <w:tc>
                <w:tcPr>
                  <w:tcW w:w="701" w:type="pct"/>
                  <w:tcBorders>
                    <w:top w:val="single" w:color="000000" w:sz="4" w:space="0"/>
                    <w:left w:val="nil"/>
                    <w:bottom w:val="single" w:color="000000" w:sz="4" w:space="0"/>
                    <w:right w:val="single" w:color="000000" w:sz="4" w:space="0"/>
                  </w:tcBorders>
                  <w:noWrap w:val="0"/>
                  <w:vAlign w:val="center"/>
                </w:tcPr>
                <w:p w14:paraId="1732B7B0">
                  <w:pPr>
                    <w:adjustRightInd w:val="0"/>
                    <w:snapToGrid w:val="0"/>
                    <w:jc w:val="center"/>
                    <w:rPr>
                      <w:color w:val="auto"/>
                      <w:spacing w:val="16"/>
                      <w:szCs w:val="21"/>
                    </w:rPr>
                  </w:pPr>
                  <w:r>
                    <w:rPr>
                      <w:color w:val="auto"/>
                      <w:spacing w:val="16"/>
                      <w:szCs w:val="21"/>
                    </w:rPr>
                    <w:t>二氧化氮</w:t>
                  </w:r>
                </w:p>
              </w:tc>
              <w:tc>
                <w:tcPr>
                  <w:tcW w:w="1280" w:type="pct"/>
                  <w:tcBorders>
                    <w:top w:val="single" w:color="000000" w:sz="4" w:space="0"/>
                    <w:left w:val="single" w:color="000000" w:sz="4" w:space="0"/>
                    <w:bottom w:val="single" w:color="000000" w:sz="4" w:space="0"/>
                    <w:right w:val="single" w:color="000000" w:sz="4" w:space="0"/>
                  </w:tcBorders>
                  <w:noWrap w:val="0"/>
                  <w:vAlign w:val="center"/>
                </w:tcPr>
                <w:p w14:paraId="06CAB995">
                  <w:pPr>
                    <w:adjustRightInd w:val="0"/>
                    <w:snapToGrid w:val="0"/>
                    <w:jc w:val="center"/>
                    <w:rPr>
                      <w:color w:val="auto"/>
                      <w:spacing w:val="16"/>
                      <w:szCs w:val="21"/>
                    </w:rPr>
                  </w:pPr>
                  <w:r>
                    <w:rPr>
                      <w:color w:val="auto"/>
                      <w:spacing w:val="16"/>
                      <w:szCs w:val="21"/>
                    </w:rPr>
                    <w:t>年平均质量浓度</w:t>
                  </w:r>
                </w:p>
              </w:tc>
              <w:tc>
                <w:tcPr>
                  <w:tcW w:w="777" w:type="pct"/>
                  <w:tcBorders>
                    <w:top w:val="single" w:color="000000" w:sz="4" w:space="0"/>
                    <w:left w:val="single" w:color="000000" w:sz="4" w:space="0"/>
                    <w:bottom w:val="single" w:color="000000" w:sz="4" w:space="0"/>
                    <w:right w:val="single" w:color="000000" w:sz="4" w:space="0"/>
                  </w:tcBorders>
                  <w:noWrap w:val="0"/>
                  <w:vAlign w:val="center"/>
                </w:tcPr>
                <w:p w14:paraId="4863070C">
                  <w:pPr>
                    <w:adjustRightInd w:val="0"/>
                    <w:snapToGrid w:val="0"/>
                    <w:jc w:val="center"/>
                    <w:rPr>
                      <w:rFonts w:hint="eastAsia" w:eastAsia="宋体"/>
                      <w:color w:val="auto"/>
                      <w:spacing w:val="16"/>
                      <w:szCs w:val="21"/>
                      <w:lang w:eastAsia="zh-CN"/>
                    </w:rPr>
                  </w:pPr>
                  <w:r>
                    <w:rPr>
                      <w:color w:val="auto"/>
                      <w:spacing w:val="16"/>
                      <w:szCs w:val="21"/>
                    </w:rPr>
                    <w:t>1</w:t>
                  </w:r>
                  <w:r>
                    <w:rPr>
                      <w:rFonts w:hint="eastAsia"/>
                      <w:color w:val="auto"/>
                      <w:spacing w:val="16"/>
                      <w:szCs w:val="21"/>
                      <w:lang w:val="en-US" w:eastAsia="zh-CN"/>
                    </w:rPr>
                    <w:t>5</w:t>
                  </w:r>
                </w:p>
              </w:tc>
              <w:tc>
                <w:tcPr>
                  <w:tcW w:w="585" w:type="pct"/>
                  <w:tcBorders>
                    <w:top w:val="single" w:color="000000" w:sz="4" w:space="0"/>
                    <w:left w:val="single" w:color="000000" w:sz="4" w:space="0"/>
                    <w:bottom w:val="single" w:color="000000" w:sz="4" w:space="0"/>
                    <w:right w:val="single" w:color="000000" w:sz="4" w:space="0"/>
                  </w:tcBorders>
                  <w:noWrap w:val="0"/>
                  <w:vAlign w:val="center"/>
                </w:tcPr>
                <w:p w14:paraId="6026CCDF">
                  <w:pPr>
                    <w:adjustRightInd w:val="0"/>
                    <w:snapToGrid w:val="0"/>
                    <w:jc w:val="center"/>
                    <w:rPr>
                      <w:color w:val="auto"/>
                      <w:spacing w:val="16"/>
                      <w:szCs w:val="21"/>
                    </w:rPr>
                  </w:pPr>
                  <w:r>
                    <w:rPr>
                      <w:color w:val="auto"/>
                      <w:spacing w:val="16"/>
                      <w:szCs w:val="21"/>
                    </w:rPr>
                    <w:t>40</w:t>
                  </w:r>
                </w:p>
              </w:tc>
              <w:tc>
                <w:tcPr>
                  <w:tcW w:w="857" w:type="pct"/>
                  <w:tcBorders>
                    <w:top w:val="single" w:color="000000" w:sz="4" w:space="0"/>
                    <w:left w:val="single" w:color="000000" w:sz="4" w:space="0"/>
                    <w:bottom w:val="single" w:color="000000" w:sz="4" w:space="0"/>
                    <w:right w:val="single" w:color="000000" w:sz="4" w:space="0"/>
                  </w:tcBorders>
                  <w:noWrap w:val="0"/>
                  <w:vAlign w:val="center"/>
                </w:tcPr>
                <w:p w14:paraId="064936FB">
                  <w:pPr>
                    <w:adjustRightInd w:val="0"/>
                    <w:snapToGrid w:val="0"/>
                    <w:jc w:val="center"/>
                    <w:rPr>
                      <w:rFonts w:hint="default" w:eastAsia="宋体"/>
                      <w:color w:val="auto"/>
                      <w:spacing w:val="16"/>
                      <w:szCs w:val="21"/>
                      <w:lang w:val="en-US" w:eastAsia="zh-CN"/>
                    </w:rPr>
                  </w:pPr>
                  <w:r>
                    <w:rPr>
                      <w:rFonts w:hint="eastAsia"/>
                      <w:color w:val="auto"/>
                      <w:spacing w:val="16"/>
                      <w:szCs w:val="21"/>
                      <w:lang w:val="en-US" w:eastAsia="zh-CN"/>
                    </w:rPr>
                    <w:t>37.5</w:t>
                  </w:r>
                </w:p>
              </w:tc>
              <w:tc>
                <w:tcPr>
                  <w:tcW w:w="798" w:type="pct"/>
                  <w:tcBorders>
                    <w:top w:val="single" w:color="000000" w:sz="4" w:space="0"/>
                    <w:left w:val="single" w:color="000000" w:sz="4" w:space="0"/>
                    <w:bottom w:val="single" w:color="000000" w:sz="4" w:space="0"/>
                    <w:right w:val="nil"/>
                  </w:tcBorders>
                  <w:noWrap w:val="0"/>
                  <w:vAlign w:val="center"/>
                </w:tcPr>
                <w:p w14:paraId="1DCAE864">
                  <w:pPr>
                    <w:adjustRightInd w:val="0"/>
                    <w:snapToGrid w:val="0"/>
                    <w:jc w:val="center"/>
                    <w:rPr>
                      <w:color w:val="auto"/>
                      <w:spacing w:val="16"/>
                      <w:szCs w:val="21"/>
                    </w:rPr>
                  </w:pPr>
                  <w:r>
                    <w:rPr>
                      <w:color w:val="auto"/>
                      <w:spacing w:val="16"/>
                      <w:szCs w:val="21"/>
                    </w:rPr>
                    <w:t>达标</w:t>
                  </w:r>
                </w:p>
              </w:tc>
            </w:tr>
            <w:tr w14:paraId="465083A8">
              <w:tblPrEx>
                <w:tblCellMar>
                  <w:top w:w="0" w:type="dxa"/>
                  <w:left w:w="0" w:type="dxa"/>
                  <w:bottom w:w="0" w:type="dxa"/>
                  <w:right w:w="0" w:type="dxa"/>
                </w:tblCellMar>
              </w:tblPrEx>
              <w:trPr>
                <w:trHeight w:val="590" w:hRule="exact"/>
                <w:jc w:val="center"/>
              </w:trPr>
              <w:tc>
                <w:tcPr>
                  <w:tcW w:w="701" w:type="pct"/>
                  <w:tcBorders>
                    <w:top w:val="single" w:color="000000" w:sz="4" w:space="0"/>
                    <w:left w:val="nil"/>
                    <w:bottom w:val="single" w:color="000000" w:sz="4" w:space="0"/>
                    <w:right w:val="single" w:color="000000" w:sz="4" w:space="0"/>
                  </w:tcBorders>
                  <w:noWrap w:val="0"/>
                  <w:vAlign w:val="center"/>
                </w:tcPr>
                <w:p w14:paraId="25225A31">
                  <w:pPr>
                    <w:adjustRightInd w:val="0"/>
                    <w:snapToGrid w:val="0"/>
                    <w:jc w:val="center"/>
                    <w:rPr>
                      <w:color w:val="auto"/>
                      <w:spacing w:val="16"/>
                      <w:szCs w:val="21"/>
                    </w:rPr>
                  </w:pPr>
                  <w:r>
                    <w:rPr>
                      <w:color w:val="auto"/>
                      <w:spacing w:val="16"/>
                      <w:szCs w:val="21"/>
                    </w:rPr>
                    <w:t>一氧化碳</w:t>
                  </w:r>
                </w:p>
              </w:tc>
              <w:tc>
                <w:tcPr>
                  <w:tcW w:w="1280" w:type="pct"/>
                  <w:tcBorders>
                    <w:top w:val="single" w:color="000000" w:sz="4" w:space="0"/>
                    <w:left w:val="single" w:color="000000" w:sz="4" w:space="0"/>
                    <w:bottom w:val="single" w:color="000000" w:sz="4" w:space="0"/>
                    <w:right w:val="single" w:color="000000" w:sz="4" w:space="0"/>
                  </w:tcBorders>
                  <w:noWrap w:val="0"/>
                  <w:vAlign w:val="center"/>
                </w:tcPr>
                <w:p w14:paraId="770EB530">
                  <w:pPr>
                    <w:adjustRightInd w:val="0"/>
                    <w:snapToGrid w:val="0"/>
                    <w:jc w:val="center"/>
                    <w:rPr>
                      <w:color w:val="auto"/>
                      <w:spacing w:val="16"/>
                      <w:szCs w:val="21"/>
                    </w:rPr>
                  </w:pPr>
                  <w:r>
                    <w:rPr>
                      <w:color w:val="auto"/>
                      <w:spacing w:val="16"/>
                      <w:szCs w:val="21"/>
                    </w:rPr>
                    <w:t>第95百分位数日平均质量浓度</w:t>
                  </w:r>
                </w:p>
              </w:tc>
              <w:tc>
                <w:tcPr>
                  <w:tcW w:w="777" w:type="pct"/>
                  <w:tcBorders>
                    <w:top w:val="single" w:color="000000" w:sz="4" w:space="0"/>
                    <w:left w:val="single" w:color="000000" w:sz="4" w:space="0"/>
                    <w:bottom w:val="single" w:color="000000" w:sz="4" w:space="0"/>
                    <w:right w:val="single" w:color="000000" w:sz="4" w:space="0"/>
                  </w:tcBorders>
                  <w:noWrap w:val="0"/>
                  <w:vAlign w:val="center"/>
                </w:tcPr>
                <w:p w14:paraId="6E12E1E3">
                  <w:pPr>
                    <w:adjustRightInd w:val="0"/>
                    <w:snapToGrid w:val="0"/>
                    <w:jc w:val="center"/>
                    <w:rPr>
                      <w:color w:val="auto"/>
                      <w:spacing w:val="16"/>
                      <w:szCs w:val="21"/>
                    </w:rPr>
                  </w:pPr>
                  <w:r>
                    <w:rPr>
                      <w:rFonts w:hint="eastAsia"/>
                      <w:color w:val="auto"/>
                      <w:spacing w:val="16"/>
                      <w:szCs w:val="21"/>
                      <w:lang w:val="en-US" w:eastAsia="zh-CN"/>
                    </w:rPr>
                    <w:t>9</w:t>
                  </w:r>
                  <w:r>
                    <w:rPr>
                      <w:color w:val="auto"/>
                      <w:spacing w:val="16"/>
                      <w:szCs w:val="21"/>
                    </w:rPr>
                    <w:t>00</w:t>
                  </w:r>
                </w:p>
              </w:tc>
              <w:tc>
                <w:tcPr>
                  <w:tcW w:w="585" w:type="pct"/>
                  <w:tcBorders>
                    <w:top w:val="single" w:color="000000" w:sz="4" w:space="0"/>
                    <w:left w:val="single" w:color="000000" w:sz="4" w:space="0"/>
                    <w:bottom w:val="single" w:color="000000" w:sz="4" w:space="0"/>
                    <w:right w:val="single" w:color="000000" w:sz="4" w:space="0"/>
                  </w:tcBorders>
                  <w:noWrap w:val="0"/>
                  <w:vAlign w:val="center"/>
                </w:tcPr>
                <w:p w14:paraId="546CDDE0">
                  <w:pPr>
                    <w:adjustRightInd w:val="0"/>
                    <w:snapToGrid w:val="0"/>
                    <w:jc w:val="center"/>
                    <w:rPr>
                      <w:color w:val="auto"/>
                      <w:spacing w:val="16"/>
                      <w:szCs w:val="21"/>
                    </w:rPr>
                  </w:pPr>
                  <w:r>
                    <w:rPr>
                      <w:color w:val="auto"/>
                      <w:spacing w:val="16"/>
                      <w:szCs w:val="21"/>
                    </w:rPr>
                    <w:t>4000</w:t>
                  </w:r>
                </w:p>
              </w:tc>
              <w:tc>
                <w:tcPr>
                  <w:tcW w:w="857" w:type="pct"/>
                  <w:tcBorders>
                    <w:top w:val="single" w:color="000000" w:sz="4" w:space="0"/>
                    <w:left w:val="single" w:color="000000" w:sz="4" w:space="0"/>
                    <w:bottom w:val="single" w:color="000000" w:sz="4" w:space="0"/>
                    <w:right w:val="single" w:color="000000" w:sz="4" w:space="0"/>
                  </w:tcBorders>
                  <w:noWrap w:val="0"/>
                  <w:vAlign w:val="center"/>
                </w:tcPr>
                <w:p w14:paraId="1EEA5487">
                  <w:pPr>
                    <w:adjustRightInd w:val="0"/>
                    <w:snapToGrid w:val="0"/>
                    <w:jc w:val="center"/>
                    <w:rPr>
                      <w:rFonts w:hint="default" w:eastAsia="宋体"/>
                      <w:color w:val="auto"/>
                      <w:spacing w:val="16"/>
                      <w:szCs w:val="21"/>
                      <w:lang w:val="en-US" w:eastAsia="zh-CN"/>
                    </w:rPr>
                  </w:pPr>
                  <w:r>
                    <w:rPr>
                      <w:rFonts w:hint="eastAsia"/>
                      <w:color w:val="auto"/>
                      <w:spacing w:val="16"/>
                      <w:szCs w:val="21"/>
                      <w:lang w:val="en-US" w:eastAsia="zh-CN"/>
                    </w:rPr>
                    <w:t>22.5</w:t>
                  </w:r>
                </w:p>
              </w:tc>
              <w:tc>
                <w:tcPr>
                  <w:tcW w:w="798" w:type="pct"/>
                  <w:tcBorders>
                    <w:top w:val="single" w:color="000000" w:sz="4" w:space="0"/>
                    <w:left w:val="single" w:color="000000" w:sz="4" w:space="0"/>
                    <w:bottom w:val="single" w:color="000000" w:sz="4" w:space="0"/>
                    <w:right w:val="nil"/>
                  </w:tcBorders>
                  <w:noWrap w:val="0"/>
                  <w:vAlign w:val="center"/>
                </w:tcPr>
                <w:p w14:paraId="461C8BFA">
                  <w:pPr>
                    <w:adjustRightInd w:val="0"/>
                    <w:snapToGrid w:val="0"/>
                    <w:jc w:val="center"/>
                    <w:rPr>
                      <w:color w:val="auto"/>
                      <w:spacing w:val="16"/>
                      <w:szCs w:val="21"/>
                    </w:rPr>
                  </w:pPr>
                  <w:r>
                    <w:rPr>
                      <w:color w:val="auto"/>
                      <w:spacing w:val="16"/>
                      <w:szCs w:val="21"/>
                    </w:rPr>
                    <w:t>达标</w:t>
                  </w:r>
                </w:p>
              </w:tc>
            </w:tr>
            <w:tr w14:paraId="2008C5FC">
              <w:tblPrEx>
                <w:tblCellMar>
                  <w:top w:w="0" w:type="dxa"/>
                  <w:left w:w="0" w:type="dxa"/>
                  <w:bottom w:w="0" w:type="dxa"/>
                  <w:right w:w="0" w:type="dxa"/>
                </w:tblCellMar>
              </w:tblPrEx>
              <w:trPr>
                <w:trHeight w:val="621" w:hRule="exact"/>
                <w:jc w:val="center"/>
              </w:trPr>
              <w:tc>
                <w:tcPr>
                  <w:tcW w:w="701" w:type="pct"/>
                  <w:tcBorders>
                    <w:top w:val="single" w:color="000000" w:sz="4" w:space="0"/>
                    <w:left w:val="nil"/>
                    <w:bottom w:val="single" w:color="000000" w:sz="12" w:space="0"/>
                    <w:right w:val="single" w:color="000000" w:sz="4" w:space="0"/>
                  </w:tcBorders>
                  <w:noWrap w:val="0"/>
                  <w:vAlign w:val="center"/>
                </w:tcPr>
                <w:p w14:paraId="7CC689B5">
                  <w:pPr>
                    <w:adjustRightInd w:val="0"/>
                    <w:snapToGrid w:val="0"/>
                    <w:jc w:val="center"/>
                    <w:rPr>
                      <w:color w:val="auto"/>
                      <w:spacing w:val="16"/>
                      <w:szCs w:val="21"/>
                    </w:rPr>
                  </w:pPr>
                  <w:r>
                    <w:rPr>
                      <w:color w:val="auto"/>
                      <w:spacing w:val="16"/>
                      <w:szCs w:val="21"/>
                    </w:rPr>
                    <w:t>臭氧</w:t>
                  </w:r>
                </w:p>
              </w:tc>
              <w:tc>
                <w:tcPr>
                  <w:tcW w:w="1280" w:type="pct"/>
                  <w:tcBorders>
                    <w:top w:val="single" w:color="000000" w:sz="4" w:space="0"/>
                    <w:left w:val="single" w:color="000000" w:sz="4" w:space="0"/>
                    <w:bottom w:val="single" w:color="000000" w:sz="12" w:space="0"/>
                    <w:right w:val="single" w:color="000000" w:sz="4" w:space="0"/>
                  </w:tcBorders>
                  <w:noWrap w:val="0"/>
                  <w:vAlign w:val="center"/>
                </w:tcPr>
                <w:p w14:paraId="5968D343">
                  <w:pPr>
                    <w:adjustRightInd w:val="0"/>
                    <w:snapToGrid w:val="0"/>
                    <w:jc w:val="center"/>
                    <w:rPr>
                      <w:color w:val="auto"/>
                      <w:spacing w:val="16"/>
                      <w:szCs w:val="21"/>
                    </w:rPr>
                  </w:pPr>
                  <w:r>
                    <w:rPr>
                      <w:color w:val="auto"/>
                      <w:spacing w:val="16"/>
                      <w:szCs w:val="21"/>
                    </w:rPr>
                    <w:t>第90百分位数8小时平均质量浓度</w:t>
                  </w:r>
                </w:p>
              </w:tc>
              <w:tc>
                <w:tcPr>
                  <w:tcW w:w="777" w:type="pct"/>
                  <w:tcBorders>
                    <w:top w:val="single" w:color="000000" w:sz="4" w:space="0"/>
                    <w:left w:val="single" w:color="000000" w:sz="4" w:space="0"/>
                    <w:bottom w:val="single" w:color="000000" w:sz="12" w:space="0"/>
                    <w:right w:val="single" w:color="000000" w:sz="4" w:space="0"/>
                  </w:tcBorders>
                  <w:noWrap w:val="0"/>
                  <w:vAlign w:val="center"/>
                </w:tcPr>
                <w:p w14:paraId="4F748CE5">
                  <w:pPr>
                    <w:adjustRightInd w:val="0"/>
                    <w:snapToGrid w:val="0"/>
                    <w:jc w:val="center"/>
                    <w:rPr>
                      <w:rFonts w:hint="default" w:eastAsia="宋体"/>
                      <w:color w:val="auto"/>
                      <w:spacing w:val="16"/>
                      <w:szCs w:val="21"/>
                      <w:lang w:val="en-US" w:eastAsia="zh-CN"/>
                    </w:rPr>
                  </w:pPr>
                  <w:r>
                    <w:rPr>
                      <w:color w:val="auto"/>
                      <w:spacing w:val="16"/>
                      <w:szCs w:val="21"/>
                    </w:rPr>
                    <w:t>1</w:t>
                  </w:r>
                  <w:r>
                    <w:rPr>
                      <w:rFonts w:hint="eastAsia"/>
                      <w:color w:val="auto"/>
                      <w:spacing w:val="16"/>
                      <w:szCs w:val="21"/>
                      <w:lang w:val="en-US" w:eastAsia="zh-CN"/>
                    </w:rPr>
                    <w:t>05</w:t>
                  </w:r>
                </w:p>
              </w:tc>
              <w:tc>
                <w:tcPr>
                  <w:tcW w:w="585" w:type="pct"/>
                  <w:tcBorders>
                    <w:top w:val="single" w:color="000000" w:sz="4" w:space="0"/>
                    <w:left w:val="single" w:color="000000" w:sz="4" w:space="0"/>
                    <w:bottom w:val="single" w:color="000000" w:sz="12" w:space="0"/>
                    <w:right w:val="single" w:color="000000" w:sz="4" w:space="0"/>
                  </w:tcBorders>
                  <w:noWrap w:val="0"/>
                  <w:vAlign w:val="center"/>
                </w:tcPr>
                <w:p w14:paraId="5EC4A3CA">
                  <w:pPr>
                    <w:adjustRightInd w:val="0"/>
                    <w:snapToGrid w:val="0"/>
                    <w:jc w:val="center"/>
                    <w:rPr>
                      <w:color w:val="auto"/>
                      <w:spacing w:val="16"/>
                      <w:szCs w:val="21"/>
                    </w:rPr>
                  </w:pPr>
                  <w:r>
                    <w:rPr>
                      <w:color w:val="auto"/>
                      <w:spacing w:val="16"/>
                      <w:szCs w:val="21"/>
                    </w:rPr>
                    <w:t>16</w:t>
                  </w:r>
                  <w:r>
                    <w:rPr>
                      <w:rFonts w:hint="eastAsia"/>
                      <w:color w:val="auto"/>
                      <w:spacing w:val="16"/>
                      <w:szCs w:val="21"/>
                      <w:lang w:val="en-US" w:eastAsia="zh-CN"/>
                    </w:rPr>
                    <w:t>0</w:t>
                  </w:r>
                  <w:r>
                    <w:rPr>
                      <w:color w:val="auto"/>
                      <w:spacing w:val="16"/>
                      <w:szCs w:val="21"/>
                    </w:rPr>
                    <w:cr/>
                  </w:r>
                </w:p>
              </w:tc>
              <w:tc>
                <w:tcPr>
                  <w:tcW w:w="857" w:type="pct"/>
                  <w:tcBorders>
                    <w:top w:val="single" w:color="000000" w:sz="4" w:space="0"/>
                    <w:left w:val="single" w:color="000000" w:sz="4" w:space="0"/>
                    <w:bottom w:val="single" w:color="000000" w:sz="12" w:space="0"/>
                    <w:right w:val="single" w:color="000000" w:sz="4" w:space="0"/>
                  </w:tcBorders>
                  <w:noWrap w:val="0"/>
                  <w:vAlign w:val="center"/>
                </w:tcPr>
                <w:p w14:paraId="4A6158DF">
                  <w:pPr>
                    <w:adjustRightInd w:val="0"/>
                    <w:snapToGrid w:val="0"/>
                    <w:jc w:val="center"/>
                    <w:rPr>
                      <w:rFonts w:hint="default" w:eastAsia="宋体"/>
                      <w:color w:val="auto"/>
                      <w:spacing w:val="16"/>
                      <w:szCs w:val="21"/>
                      <w:lang w:val="en-US" w:eastAsia="zh-CN"/>
                    </w:rPr>
                  </w:pPr>
                  <w:r>
                    <w:rPr>
                      <w:rFonts w:hint="eastAsia"/>
                      <w:color w:val="auto"/>
                      <w:spacing w:val="16"/>
                      <w:szCs w:val="21"/>
                      <w:lang w:val="en-US" w:eastAsia="zh-CN"/>
                    </w:rPr>
                    <w:t>65.6</w:t>
                  </w:r>
                </w:p>
              </w:tc>
              <w:tc>
                <w:tcPr>
                  <w:tcW w:w="798" w:type="pct"/>
                  <w:tcBorders>
                    <w:top w:val="single" w:color="000000" w:sz="4" w:space="0"/>
                    <w:left w:val="single" w:color="000000" w:sz="4" w:space="0"/>
                    <w:bottom w:val="single" w:color="000000" w:sz="12" w:space="0"/>
                    <w:right w:val="nil"/>
                  </w:tcBorders>
                  <w:noWrap w:val="0"/>
                  <w:vAlign w:val="center"/>
                </w:tcPr>
                <w:p w14:paraId="71AEDD94">
                  <w:pPr>
                    <w:adjustRightInd w:val="0"/>
                    <w:snapToGrid w:val="0"/>
                    <w:jc w:val="center"/>
                    <w:rPr>
                      <w:color w:val="auto"/>
                      <w:spacing w:val="16"/>
                      <w:szCs w:val="21"/>
                    </w:rPr>
                  </w:pPr>
                  <w:r>
                    <w:rPr>
                      <w:color w:val="auto"/>
                      <w:spacing w:val="16"/>
                      <w:szCs w:val="21"/>
                    </w:rPr>
                    <w:t>达标</w:t>
                  </w:r>
                </w:p>
              </w:tc>
            </w:tr>
          </w:tbl>
          <w:p w14:paraId="5E30F40F">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结合上表可知，双鸭山市2024年环境空气质量PM</w:t>
            </w:r>
            <w:r>
              <w:rPr>
                <w:rFonts w:hint="default" w:ascii="Times New Roman" w:hAnsi="Times New Roman" w:eastAsia="宋体" w:cs="Times New Roman"/>
                <w:color w:val="auto"/>
                <w:sz w:val="24"/>
                <w:highlight w:val="none"/>
                <w:vertAlign w:val="subscript"/>
                <w:lang w:val="en-US" w:eastAsia="zh-CN"/>
              </w:rPr>
              <w:t>2.5</w:t>
            </w:r>
            <w:r>
              <w:rPr>
                <w:rFonts w:hint="default" w:ascii="Times New Roman" w:hAnsi="Times New Roman" w:eastAsia="宋体" w:cs="Times New Roman"/>
                <w:color w:val="auto"/>
                <w:sz w:val="24"/>
                <w:highlight w:val="none"/>
                <w:lang w:val="en-US" w:eastAsia="zh-CN"/>
              </w:rPr>
              <w:t>、PM</w:t>
            </w:r>
            <w:r>
              <w:rPr>
                <w:rFonts w:hint="default" w:ascii="Times New Roman" w:hAnsi="Times New Roman" w:eastAsia="宋体" w:cs="Times New Roman"/>
                <w:color w:val="auto"/>
                <w:sz w:val="24"/>
                <w:highlight w:val="none"/>
                <w:vertAlign w:val="subscript"/>
                <w:lang w:val="en-US" w:eastAsia="zh-CN"/>
              </w:rPr>
              <w:t>10</w:t>
            </w:r>
            <w:r>
              <w:rPr>
                <w:rFonts w:hint="default" w:ascii="Times New Roman" w:hAnsi="Times New Roman" w:eastAsia="宋体" w:cs="Times New Roman"/>
                <w:color w:val="auto"/>
                <w:sz w:val="24"/>
                <w:highlight w:val="none"/>
                <w:lang w:val="en-US" w:eastAsia="zh-CN"/>
              </w:rPr>
              <w:t>年平均质量浓度、NO</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年平均质量浓度、SO</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年平均质量浓度、CO日平均第95百分位数、O</w:t>
            </w:r>
            <w:r>
              <w:rPr>
                <w:rFonts w:hint="default" w:ascii="Times New Roman" w:hAnsi="Times New Roman" w:eastAsia="宋体" w:cs="Times New Roman"/>
                <w:color w:val="auto"/>
                <w:sz w:val="24"/>
                <w:highlight w:val="none"/>
                <w:vertAlign w:val="subscript"/>
                <w:lang w:val="en-US" w:eastAsia="zh-CN"/>
              </w:rPr>
              <w:t>3</w:t>
            </w:r>
            <w:r>
              <w:rPr>
                <w:rFonts w:hint="default" w:ascii="Times New Roman" w:hAnsi="Times New Roman" w:eastAsia="宋体" w:cs="Times New Roman"/>
                <w:color w:val="auto"/>
                <w:sz w:val="24"/>
                <w:highlight w:val="none"/>
                <w:lang w:val="en-US" w:eastAsia="zh-CN"/>
              </w:rPr>
              <w:t>日最大8小时平均第90百分位数均满足《环境空气质量标准》（GB3095-2026）过渡值二级标准的要求，因此项目所在区域为达标区。</w:t>
            </w:r>
          </w:p>
          <w:p w14:paraId="6257A03D">
            <w:pPr>
              <w:pStyle w:val="72"/>
              <w:keepNext w:val="0"/>
              <w:keepLines w:val="0"/>
              <w:pageBreakBefore w:val="0"/>
              <w:widowControl w:val="0"/>
              <w:kinsoku/>
              <w:wordWrap/>
              <w:overflowPunct/>
              <w:topLinePunct w:val="0"/>
              <w:bidi w:val="0"/>
              <w:snapToGrid/>
              <w:spacing w:line="500" w:lineRule="exact"/>
              <w:ind w:firstLine="482" w:firstLineChars="200"/>
              <w:outlineLvl w:val="2"/>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其他污染物</w:t>
            </w:r>
          </w:p>
          <w:p w14:paraId="34D618EB">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根据项目特点，项目主要污染物为TSP</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本项目大气环境空气质量特征因子TSP引自黑龙江省华谱监测科技有限公司于202</w:t>
            </w: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年1</w:t>
            </w:r>
            <w:r>
              <w:rPr>
                <w:rFonts w:hint="eastAsia"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月</w:t>
            </w:r>
            <w:r>
              <w:rPr>
                <w:rFonts w:hint="eastAsia" w:cs="Times New Roman"/>
                <w:color w:val="auto"/>
                <w:sz w:val="24"/>
                <w:highlight w:val="none"/>
                <w:lang w:val="en-US" w:eastAsia="zh-CN"/>
              </w:rPr>
              <w:t>12</w:t>
            </w:r>
            <w:r>
              <w:rPr>
                <w:rFonts w:hint="default" w:ascii="Times New Roman" w:hAnsi="Times New Roman" w:eastAsia="宋体" w:cs="Times New Roman"/>
                <w:color w:val="auto"/>
                <w:sz w:val="24"/>
                <w:highlight w:val="none"/>
                <w:lang w:val="en-US" w:eastAsia="zh-CN"/>
              </w:rPr>
              <w:t>日出具的报告编号HFJC-TRG-251106-10的检测报告，详见附件。</w:t>
            </w:r>
          </w:p>
          <w:p w14:paraId="05E679D5">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①监测项目</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TSP。</w:t>
            </w:r>
          </w:p>
          <w:p w14:paraId="0C7DA386">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②监测时间：2025年11月8日-11月10日，连续监测</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天。</w:t>
            </w:r>
          </w:p>
          <w:p w14:paraId="7211ACE1">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③监测点位</w:t>
            </w:r>
          </w:p>
          <w:p w14:paraId="7340C3E7">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环境影响评价报告表编制技术指南（污染影响类）》（试行）中相关要求，排放国家、地方环境空气质量标准中有标准限值要求的特征污染物时，引用建设项目周边5千米范围内近3年的现有监测数据。</w:t>
            </w:r>
          </w:p>
          <w:p w14:paraId="25FBDEE5">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本次评价TSP现状值引用</w:t>
            </w:r>
            <w:r>
              <w:rPr>
                <w:rFonts w:hint="eastAsia" w:cs="Times New Roman"/>
                <w:color w:val="auto"/>
                <w:sz w:val="24"/>
                <w:highlight w:val="none"/>
                <w:lang w:val="en-US" w:eastAsia="zh-CN"/>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黑龙江森柏岚图家具制造有限公司扩建锅炉房项目</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的监测点位，位于本项目厂址</w:t>
            </w:r>
            <w:r>
              <w:rPr>
                <w:rFonts w:hint="eastAsia" w:cs="Times New Roman"/>
                <w:color w:val="auto"/>
                <w:sz w:val="24"/>
                <w:highlight w:val="none"/>
                <w:lang w:val="en-US" w:eastAsia="zh-CN"/>
              </w:rPr>
              <w:t>南</w:t>
            </w:r>
            <w:r>
              <w:rPr>
                <w:rFonts w:hint="default" w:ascii="Times New Roman" w:hAnsi="Times New Roman" w:eastAsia="宋体" w:cs="Times New Roman"/>
                <w:color w:val="auto"/>
                <w:sz w:val="24"/>
                <w:highlight w:val="none"/>
                <w:lang w:val="en-US" w:eastAsia="zh-CN"/>
              </w:rPr>
              <w:t>侧</w:t>
            </w:r>
            <w:r>
              <w:rPr>
                <w:rFonts w:hint="eastAsia" w:cs="Times New Roman"/>
                <w:color w:val="auto"/>
                <w:sz w:val="24"/>
                <w:highlight w:val="none"/>
                <w:lang w:val="en-US" w:eastAsia="zh-CN"/>
              </w:rPr>
              <w:t>偏东约1050</w:t>
            </w:r>
            <w:r>
              <w:rPr>
                <w:rFonts w:hint="default" w:ascii="Times New Roman" w:hAnsi="Times New Roman" w:eastAsia="宋体" w:cs="Times New Roman"/>
                <w:color w:val="auto"/>
                <w:sz w:val="24"/>
                <w:highlight w:val="none"/>
                <w:lang w:val="en-US" w:eastAsia="zh-CN"/>
              </w:rPr>
              <w:t>m，监测时间为202</w:t>
            </w: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年1</w:t>
            </w:r>
            <w:r>
              <w:rPr>
                <w:rFonts w:hint="eastAsia"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月，因此满足《建设项目环境影响评价报告表编制技术指南（污染影响类）》（试行）。</w:t>
            </w:r>
          </w:p>
          <w:p w14:paraId="4B6F1A8D">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监测点位置具体见下表。</w:t>
            </w:r>
          </w:p>
          <w:p w14:paraId="29CCF552">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b/>
                <w:color w:val="auto"/>
                <w:sz w:val="24"/>
                <w:szCs w:val="24"/>
              </w:rPr>
            </w:pPr>
            <w:r>
              <w:rPr>
                <w:b/>
                <w:color w:val="auto"/>
                <w:sz w:val="24"/>
                <w:szCs w:val="24"/>
              </w:rPr>
              <w:t>表3-2 项目环境空气现状监测布点一览表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8"/>
              <w:gridCol w:w="1072"/>
              <w:gridCol w:w="1652"/>
              <w:gridCol w:w="1545"/>
              <w:gridCol w:w="876"/>
              <w:gridCol w:w="1147"/>
              <w:gridCol w:w="1204"/>
            </w:tblGrid>
            <w:tr w14:paraId="1D693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0" w:type="pct"/>
                  <w:vMerge w:val="restart"/>
                  <w:noWrap w:val="0"/>
                  <w:vAlign w:val="center"/>
                </w:tcPr>
                <w:p w14:paraId="1BD34830">
                  <w:pPr>
                    <w:adjustRightInd w:val="0"/>
                    <w:snapToGrid w:val="0"/>
                    <w:jc w:val="center"/>
                    <w:rPr>
                      <w:color w:val="auto"/>
                      <w:szCs w:val="21"/>
                    </w:rPr>
                  </w:pPr>
                  <w:r>
                    <w:rPr>
                      <w:color w:val="auto"/>
                      <w:szCs w:val="21"/>
                    </w:rPr>
                    <w:t>编号</w:t>
                  </w:r>
                </w:p>
              </w:tc>
              <w:tc>
                <w:tcPr>
                  <w:tcW w:w="672" w:type="pct"/>
                  <w:vMerge w:val="restart"/>
                  <w:noWrap w:val="0"/>
                  <w:vAlign w:val="center"/>
                </w:tcPr>
                <w:p w14:paraId="50255505">
                  <w:pPr>
                    <w:adjustRightInd w:val="0"/>
                    <w:snapToGrid w:val="0"/>
                    <w:jc w:val="center"/>
                    <w:rPr>
                      <w:color w:val="auto"/>
                      <w:szCs w:val="21"/>
                    </w:rPr>
                  </w:pPr>
                  <w:r>
                    <w:rPr>
                      <w:color w:val="auto"/>
                      <w:szCs w:val="21"/>
                    </w:rPr>
                    <w:t>监测点名称</w:t>
                  </w:r>
                </w:p>
              </w:tc>
              <w:tc>
                <w:tcPr>
                  <w:tcW w:w="2005" w:type="pct"/>
                  <w:gridSpan w:val="2"/>
                  <w:noWrap w:val="0"/>
                  <w:vAlign w:val="center"/>
                </w:tcPr>
                <w:p w14:paraId="61814B68">
                  <w:pPr>
                    <w:adjustRightInd w:val="0"/>
                    <w:snapToGrid w:val="0"/>
                    <w:jc w:val="center"/>
                    <w:rPr>
                      <w:color w:val="auto"/>
                      <w:szCs w:val="21"/>
                    </w:rPr>
                  </w:pPr>
                  <w:r>
                    <w:rPr>
                      <w:color w:val="auto"/>
                      <w:szCs w:val="21"/>
                    </w:rPr>
                    <w:t>监测点坐标/°</w:t>
                  </w:r>
                </w:p>
              </w:tc>
              <w:tc>
                <w:tcPr>
                  <w:tcW w:w="549" w:type="pct"/>
                  <w:vMerge w:val="restart"/>
                  <w:noWrap w:val="0"/>
                  <w:vAlign w:val="center"/>
                </w:tcPr>
                <w:p w14:paraId="5FDD5698">
                  <w:pPr>
                    <w:adjustRightInd w:val="0"/>
                    <w:snapToGrid w:val="0"/>
                    <w:jc w:val="center"/>
                    <w:rPr>
                      <w:color w:val="auto"/>
                      <w:szCs w:val="21"/>
                    </w:rPr>
                  </w:pPr>
                  <w:r>
                    <w:rPr>
                      <w:color w:val="auto"/>
                      <w:szCs w:val="21"/>
                    </w:rPr>
                    <w:t>监测因子</w:t>
                  </w:r>
                </w:p>
              </w:tc>
              <w:tc>
                <w:tcPr>
                  <w:tcW w:w="719" w:type="pct"/>
                  <w:vMerge w:val="restart"/>
                  <w:noWrap w:val="0"/>
                  <w:vAlign w:val="center"/>
                </w:tcPr>
                <w:p w14:paraId="43BECBE0">
                  <w:pPr>
                    <w:adjustRightInd w:val="0"/>
                    <w:snapToGrid w:val="0"/>
                    <w:jc w:val="center"/>
                    <w:rPr>
                      <w:color w:val="auto"/>
                      <w:szCs w:val="21"/>
                    </w:rPr>
                  </w:pPr>
                  <w:r>
                    <w:rPr>
                      <w:color w:val="auto"/>
                      <w:szCs w:val="21"/>
                    </w:rPr>
                    <w:t>相对厂址方位</w:t>
                  </w:r>
                </w:p>
              </w:tc>
              <w:tc>
                <w:tcPr>
                  <w:tcW w:w="755" w:type="pct"/>
                  <w:vMerge w:val="restart"/>
                  <w:noWrap w:val="0"/>
                  <w:vAlign w:val="center"/>
                </w:tcPr>
                <w:p w14:paraId="75AD75AC">
                  <w:pPr>
                    <w:adjustRightInd w:val="0"/>
                    <w:snapToGrid w:val="0"/>
                    <w:jc w:val="center"/>
                    <w:rPr>
                      <w:color w:val="auto"/>
                      <w:szCs w:val="21"/>
                    </w:rPr>
                  </w:pPr>
                  <w:r>
                    <w:rPr>
                      <w:color w:val="auto"/>
                      <w:szCs w:val="21"/>
                    </w:rPr>
                    <w:t>相对厂界距离/m</w:t>
                  </w:r>
                </w:p>
              </w:tc>
            </w:tr>
            <w:tr w14:paraId="39670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0" w:type="pct"/>
                  <w:vMerge w:val="continue"/>
                  <w:noWrap w:val="0"/>
                  <w:vAlign w:val="center"/>
                </w:tcPr>
                <w:p w14:paraId="4EE13161">
                  <w:pPr>
                    <w:adjustRightInd w:val="0"/>
                    <w:snapToGrid w:val="0"/>
                    <w:jc w:val="center"/>
                    <w:rPr>
                      <w:color w:val="auto"/>
                      <w:szCs w:val="21"/>
                    </w:rPr>
                  </w:pPr>
                </w:p>
              </w:tc>
              <w:tc>
                <w:tcPr>
                  <w:tcW w:w="672" w:type="pct"/>
                  <w:vMerge w:val="continue"/>
                  <w:noWrap w:val="0"/>
                  <w:vAlign w:val="center"/>
                </w:tcPr>
                <w:p w14:paraId="0375B0BF">
                  <w:pPr>
                    <w:adjustRightInd w:val="0"/>
                    <w:snapToGrid w:val="0"/>
                    <w:jc w:val="center"/>
                    <w:rPr>
                      <w:color w:val="auto"/>
                      <w:szCs w:val="21"/>
                    </w:rPr>
                  </w:pPr>
                </w:p>
              </w:tc>
              <w:tc>
                <w:tcPr>
                  <w:tcW w:w="1036" w:type="pct"/>
                  <w:noWrap w:val="0"/>
                  <w:vAlign w:val="center"/>
                </w:tcPr>
                <w:p w14:paraId="20F82AC2">
                  <w:pPr>
                    <w:adjustRightInd w:val="0"/>
                    <w:snapToGrid w:val="0"/>
                    <w:jc w:val="center"/>
                    <w:rPr>
                      <w:color w:val="auto"/>
                      <w:szCs w:val="21"/>
                    </w:rPr>
                  </w:pPr>
                  <w:r>
                    <w:rPr>
                      <w:color w:val="auto"/>
                      <w:szCs w:val="21"/>
                    </w:rPr>
                    <w:t>经度</w:t>
                  </w:r>
                </w:p>
              </w:tc>
              <w:tc>
                <w:tcPr>
                  <w:tcW w:w="969" w:type="pct"/>
                  <w:noWrap w:val="0"/>
                  <w:vAlign w:val="center"/>
                </w:tcPr>
                <w:p w14:paraId="46394A59">
                  <w:pPr>
                    <w:adjustRightInd w:val="0"/>
                    <w:snapToGrid w:val="0"/>
                    <w:jc w:val="center"/>
                    <w:rPr>
                      <w:color w:val="auto"/>
                      <w:szCs w:val="21"/>
                    </w:rPr>
                  </w:pPr>
                  <w:r>
                    <w:rPr>
                      <w:color w:val="auto"/>
                      <w:szCs w:val="21"/>
                    </w:rPr>
                    <w:t>纬度</w:t>
                  </w:r>
                </w:p>
              </w:tc>
              <w:tc>
                <w:tcPr>
                  <w:tcW w:w="549" w:type="pct"/>
                  <w:vMerge w:val="continue"/>
                  <w:noWrap w:val="0"/>
                  <w:vAlign w:val="center"/>
                </w:tcPr>
                <w:p w14:paraId="269871D4">
                  <w:pPr>
                    <w:adjustRightInd w:val="0"/>
                    <w:snapToGrid w:val="0"/>
                    <w:jc w:val="center"/>
                    <w:rPr>
                      <w:color w:val="auto"/>
                      <w:szCs w:val="21"/>
                    </w:rPr>
                  </w:pPr>
                </w:p>
              </w:tc>
              <w:tc>
                <w:tcPr>
                  <w:tcW w:w="719" w:type="pct"/>
                  <w:vMerge w:val="continue"/>
                  <w:noWrap w:val="0"/>
                  <w:vAlign w:val="center"/>
                </w:tcPr>
                <w:p w14:paraId="3AE475B8">
                  <w:pPr>
                    <w:adjustRightInd w:val="0"/>
                    <w:snapToGrid w:val="0"/>
                    <w:jc w:val="center"/>
                    <w:rPr>
                      <w:color w:val="auto"/>
                      <w:szCs w:val="21"/>
                    </w:rPr>
                  </w:pPr>
                </w:p>
              </w:tc>
              <w:tc>
                <w:tcPr>
                  <w:tcW w:w="755" w:type="pct"/>
                  <w:vMerge w:val="continue"/>
                  <w:noWrap w:val="0"/>
                  <w:vAlign w:val="center"/>
                </w:tcPr>
                <w:p w14:paraId="35D071AA">
                  <w:pPr>
                    <w:adjustRightInd w:val="0"/>
                    <w:snapToGrid w:val="0"/>
                    <w:jc w:val="center"/>
                    <w:rPr>
                      <w:color w:val="auto"/>
                      <w:szCs w:val="21"/>
                    </w:rPr>
                  </w:pPr>
                </w:p>
              </w:tc>
            </w:tr>
            <w:tr w14:paraId="386F7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0" w:type="pct"/>
                  <w:noWrap w:val="0"/>
                  <w:vAlign w:val="center"/>
                </w:tcPr>
                <w:p w14:paraId="0DF63FC8">
                  <w:pPr>
                    <w:adjustRightInd w:val="0"/>
                    <w:snapToGrid w:val="0"/>
                    <w:jc w:val="center"/>
                    <w:rPr>
                      <w:color w:val="auto"/>
                      <w:szCs w:val="21"/>
                    </w:rPr>
                  </w:pPr>
                  <w:r>
                    <w:rPr>
                      <w:color w:val="auto"/>
                      <w:szCs w:val="21"/>
                    </w:rPr>
                    <w:t>G1</w:t>
                  </w:r>
                </w:p>
              </w:tc>
              <w:tc>
                <w:tcPr>
                  <w:tcW w:w="672" w:type="pct"/>
                  <w:noWrap w:val="0"/>
                  <w:vAlign w:val="center"/>
                </w:tcPr>
                <w:p w14:paraId="41DE7FF7">
                  <w:pPr>
                    <w:adjustRightInd w:val="0"/>
                    <w:snapToGrid w:val="0"/>
                    <w:jc w:val="center"/>
                    <w:rPr>
                      <w:color w:val="auto"/>
                      <w:szCs w:val="21"/>
                    </w:rPr>
                  </w:pPr>
                  <w:r>
                    <w:rPr>
                      <w:color w:val="auto"/>
                      <w:szCs w:val="21"/>
                    </w:rPr>
                    <w:t>引用监测点位</w:t>
                  </w:r>
                </w:p>
              </w:tc>
              <w:tc>
                <w:tcPr>
                  <w:tcW w:w="1652" w:type="dxa"/>
                  <w:noWrap w:val="0"/>
                  <w:vAlign w:val="center"/>
                </w:tcPr>
                <w:p w14:paraId="1775121C">
                  <w:pPr>
                    <w:autoSpaceDE w:val="0"/>
                    <w:autoSpaceDN w:val="0"/>
                    <w:adjustRightInd w:val="0"/>
                    <w:spacing w:line="240" w:lineRule="auto"/>
                    <w:jc w:val="center"/>
                    <w:rPr>
                      <w:color w:val="auto"/>
                      <w:szCs w:val="21"/>
                    </w:rPr>
                  </w:pPr>
                  <w:r>
                    <w:rPr>
                      <w:rFonts w:hint="default" w:ascii="Times New Roman" w:hAnsi="Times New Roman" w:cs="Times New Roman" w:eastAsiaTheme="minorEastAsia"/>
                      <w:b w:val="0"/>
                      <w:color w:val="000000" w:themeColor="text1"/>
                      <w:szCs w:val="21"/>
                      <w:lang w:val="en-US" w:eastAsia="zh-CN"/>
                      <w14:textFill>
                        <w14:solidFill>
                          <w14:schemeClr w14:val="tx1"/>
                        </w14:solidFill>
                      </w14:textFill>
                    </w:rPr>
                    <w:t>131.172218</w:t>
                  </w:r>
                  <w:r>
                    <w:rPr>
                      <w:rFonts w:hint="default" w:ascii="Times New Roman" w:hAnsi="Times New Roman" w:cs="Times New Roman" w:eastAsiaTheme="minorEastAsia"/>
                      <w:color w:val="000000" w:themeColor="text1"/>
                      <w:highlight w:val="none"/>
                      <w14:textFill>
                        <w14:solidFill>
                          <w14:schemeClr w14:val="tx1"/>
                        </w14:solidFill>
                      </w14:textFill>
                    </w:rPr>
                    <w:t>°</w:t>
                  </w:r>
                </w:p>
              </w:tc>
              <w:tc>
                <w:tcPr>
                  <w:tcW w:w="1545" w:type="dxa"/>
                  <w:noWrap w:val="0"/>
                  <w:vAlign w:val="center"/>
                </w:tcPr>
                <w:p w14:paraId="354207B8">
                  <w:pPr>
                    <w:autoSpaceDE w:val="0"/>
                    <w:autoSpaceDN w:val="0"/>
                    <w:adjustRightInd w:val="0"/>
                    <w:spacing w:line="240" w:lineRule="auto"/>
                    <w:jc w:val="center"/>
                    <w:rPr>
                      <w:color w:val="auto"/>
                      <w:szCs w:val="21"/>
                    </w:rPr>
                  </w:pPr>
                  <w:r>
                    <w:rPr>
                      <w:rFonts w:hint="default" w:ascii="Times New Roman" w:hAnsi="Times New Roman" w:cs="Times New Roman" w:eastAsiaTheme="minorEastAsia"/>
                      <w:b w:val="0"/>
                      <w:color w:val="000000" w:themeColor="text1"/>
                      <w:szCs w:val="21"/>
                      <w:lang w:val="en-US" w:eastAsia="zh-CN"/>
                      <w14:textFill>
                        <w14:solidFill>
                          <w14:schemeClr w14:val="tx1"/>
                        </w14:solidFill>
                      </w14:textFill>
                    </w:rPr>
                    <w:t>46.604312</w:t>
                  </w:r>
                  <w:r>
                    <w:rPr>
                      <w:rFonts w:hint="default" w:ascii="Times New Roman" w:hAnsi="Times New Roman" w:cs="Times New Roman" w:eastAsiaTheme="minorEastAsia"/>
                      <w:color w:val="000000" w:themeColor="text1"/>
                      <w:highlight w:val="none"/>
                      <w14:textFill>
                        <w14:solidFill>
                          <w14:schemeClr w14:val="tx1"/>
                        </w14:solidFill>
                      </w14:textFill>
                    </w:rPr>
                    <w:t>°</w:t>
                  </w:r>
                </w:p>
              </w:tc>
              <w:tc>
                <w:tcPr>
                  <w:tcW w:w="549" w:type="pct"/>
                  <w:noWrap w:val="0"/>
                  <w:vAlign w:val="center"/>
                </w:tcPr>
                <w:p w14:paraId="61E2AE68">
                  <w:pPr>
                    <w:adjustRightInd w:val="0"/>
                    <w:snapToGrid w:val="0"/>
                    <w:jc w:val="center"/>
                    <w:rPr>
                      <w:color w:val="auto"/>
                      <w:szCs w:val="21"/>
                    </w:rPr>
                  </w:pPr>
                  <w:r>
                    <w:rPr>
                      <w:color w:val="auto"/>
                      <w:szCs w:val="21"/>
                    </w:rPr>
                    <w:t>TSP</w:t>
                  </w:r>
                </w:p>
              </w:tc>
              <w:tc>
                <w:tcPr>
                  <w:tcW w:w="719" w:type="pct"/>
                  <w:noWrap w:val="0"/>
                  <w:vAlign w:val="center"/>
                </w:tcPr>
                <w:p w14:paraId="1477FEA6">
                  <w:pPr>
                    <w:adjustRightInd w:val="0"/>
                    <w:snapToGrid w:val="0"/>
                    <w:jc w:val="center"/>
                    <w:rPr>
                      <w:rFonts w:hint="eastAsia" w:eastAsia="宋体"/>
                      <w:color w:val="auto"/>
                      <w:szCs w:val="21"/>
                      <w:lang w:val="en-US" w:eastAsia="zh-CN"/>
                    </w:rPr>
                  </w:pPr>
                  <w:r>
                    <w:rPr>
                      <w:rFonts w:hint="eastAsia"/>
                      <w:color w:val="auto"/>
                      <w:szCs w:val="21"/>
                      <w:lang w:val="en-US" w:eastAsia="zh-CN"/>
                    </w:rPr>
                    <w:t>东南</w:t>
                  </w:r>
                </w:p>
              </w:tc>
              <w:tc>
                <w:tcPr>
                  <w:tcW w:w="755" w:type="pct"/>
                  <w:noWrap w:val="0"/>
                  <w:vAlign w:val="center"/>
                </w:tcPr>
                <w:p w14:paraId="63F59F77">
                  <w:pPr>
                    <w:adjustRightInd w:val="0"/>
                    <w:snapToGrid w:val="0"/>
                    <w:jc w:val="center"/>
                    <w:rPr>
                      <w:rFonts w:hint="default" w:eastAsia="宋体"/>
                      <w:color w:val="auto"/>
                      <w:szCs w:val="21"/>
                      <w:lang w:val="en-US" w:eastAsia="zh-CN"/>
                    </w:rPr>
                  </w:pPr>
                  <w:r>
                    <w:rPr>
                      <w:rFonts w:hint="eastAsia"/>
                      <w:color w:val="auto"/>
                      <w:szCs w:val="21"/>
                      <w:lang w:val="en-US" w:eastAsia="zh-CN"/>
                    </w:rPr>
                    <w:t>1050</w:t>
                  </w:r>
                </w:p>
              </w:tc>
            </w:tr>
          </w:tbl>
          <w:p w14:paraId="492D5685">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4"/>
                <w:highlight w:val="none"/>
                <w:lang w:val="en-US" w:eastAsia="zh-CN"/>
              </w:rPr>
            </w:pPr>
          </w:p>
          <w:p w14:paraId="41A20C0B">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4"/>
                <w:highlight w:val="none"/>
                <w:lang w:val="en-US" w:eastAsia="zh-CN"/>
              </w:rPr>
            </w:pPr>
            <w:r>
              <w:drawing>
                <wp:inline distT="0" distB="0" distL="114300" distR="114300">
                  <wp:extent cx="5062855" cy="3883660"/>
                  <wp:effectExtent l="0" t="0" r="4445" b="254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3"/>
                          <a:stretch>
                            <a:fillRect/>
                          </a:stretch>
                        </pic:blipFill>
                        <pic:spPr>
                          <a:xfrm>
                            <a:off x="0" y="0"/>
                            <a:ext cx="5062855" cy="3883660"/>
                          </a:xfrm>
                          <a:prstGeom prst="rect">
                            <a:avLst/>
                          </a:prstGeom>
                          <a:noFill/>
                          <a:ln>
                            <a:noFill/>
                          </a:ln>
                        </pic:spPr>
                      </pic:pic>
                    </a:graphicData>
                  </a:graphic>
                </wp:inline>
              </w:drawing>
            </w:r>
          </w:p>
          <w:p w14:paraId="5D26AD97">
            <w:pPr>
              <w:adjustRightInd w:val="0"/>
              <w:snapToGrid w:val="0"/>
              <w:spacing w:line="360" w:lineRule="auto"/>
              <w:jc w:val="center"/>
              <w:rPr>
                <w:color w:val="auto"/>
                <w:szCs w:val="21"/>
                <w:lang w:val="zh-CN"/>
              </w:rPr>
            </w:pPr>
            <w:r>
              <w:rPr>
                <w:b/>
                <w:color w:val="auto"/>
                <w:szCs w:val="21"/>
              </w:rPr>
              <w:t>图3-1  本项目与引用环境空气监测点位位置关系图</w:t>
            </w:r>
          </w:p>
          <w:p w14:paraId="637B01C0">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④</w:t>
            </w:r>
            <w:r>
              <w:rPr>
                <w:rFonts w:hint="default" w:ascii="Times New Roman" w:hAnsi="Times New Roman" w:eastAsia="宋体" w:cs="Times New Roman"/>
                <w:color w:val="auto"/>
                <w:sz w:val="24"/>
                <w:highlight w:val="none"/>
                <w:lang w:val="en-US" w:eastAsia="zh-CN"/>
              </w:rPr>
              <w:t>监测结果</w:t>
            </w:r>
          </w:p>
          <w:p w14:paraId="43969881">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本次环境空气质量现状监测结果见下表。</w:t>
            </w:r>
          </w:p>
          <w:p w14:paraId="47E4514D">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b/>
                <w:color w:val="auto"/>
                <w:kern w:val="0"/>
                <w:sz w:val="24"/>
                <w:szCs w:val="24"/>
              </w:rPr>
            </w:pPr>
            <w:r>
              <w:rPr>
                <w:b/>
                <w:color w:val="auto"/>
                <w:kern w:val="0"/>
                <w:sz w:val="24"/>
                <w:szCs w:val="24"/>
              </w:rPr>
              <w:t>表3-3  环境空气质量现状监测结果</w:t>
            </w:r>
          </w:p>
          <w:tbl>
            <w:tblPr>
              <w:tblStyle w:val="31"/>
              <w:tblW w:w="498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317"/>
              <w:gridCol w:w="1213"/>
              <w:gridCol w:w="583"/>
              <w:gridCol w:w="1059"/>
              <w:gridCol w:w="1065"/>
              <w:gridCol w:w="900"/>
              <w:gridCol w:w="717"/>
              <w:gridCol w:w="419"/>
            </w:tblGrid>
            <w:tr w14:paraId="75517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9" w:hRule="atLeast"/>
              </w:trPr>
              <w:tc>
                <w:tcPr>
                  <w:tcW w:w="429" w:type="pct"/>
                  <w:vMerge w:val="restart"/>
                  <w:shd w:val="clear" w:color="auto" w:fill="auto"/>
                  <w:noWrap w:val="0"/>
                  <w:vAlign w:val="center"/>
                </w:tcPr>
                <w:p w14:paraId="6E479DE0">
                  <w:pPr>
                    <w:adjustRightInd w:val="0"/>
                    <w:snapToGrid w:val="0"/>
                    <w:jc w:val="center"/>
                    <w:rPr>
                      <w:color w:val="auto"/>
                      <w:szCs w:val="21"/>
                    </w:rPr>
                  </w:pPr>
                  <w:r>
                    <w:rPr>
                      <w:color w:val="auto"/>
                      <w:szCs w:val="21"/>
                    </w:rPr>
                    <w:t>监测点位</w:t>
                  </w:r>
                </w:p>
              </w:tc>
              <w:tc>
                <w:tcPr>
                  <w:tcW w:w="1589" w:type="pct"/>
                  <w:gridSpan w:val="2"/>
                  <w:shd w:val="clear" w:color="auto" w:fill="auto"/>
                  <w:noWrap w:val="0"/>
                  <w:vAlign w:val="center"/>
                </w:tcPr>
                <w:p w14:paraId="70E3CBD7">
                  <w:pPr>
                    <w:adjustRightInd w:val="0"/>
                    <w:snapToGrid w:val="0"/>
                    <w:jc w:val="center"/>
                    <w:rPr>
                      <w:color w:val="auto"/>
                      <w:kern w:val="0"/>
                      <w:szCs w:val="21"/>
                    </w:rPr>
                  </w:pPr>
                  <w:r>
                    <w:rPr>
                      <w:color w:val="auto"/>
                      <w:szCs w:val="21"/>
                    </w:rPr>
                    <w:t>监测点坐标</w:t>
                  </w:r>
                </w:p>
              </w:tc>
              <w:tc>
                <w:tcPr>
                  <w:tcW w:w="366" w:type="pct"/>
                  <w:vMerge w:val="restart"/>
                  <w:shd w:val="clear" w:color="auto" w:fill="auto"/>
                  <w:noWrap w:val="0"/>
                  <w:vAlign w:val="center"/>
                </w:tcPr>
                <w:p w14:paraId="7AF64FD3">
                  <w:pPr>
                    <w:adjustRightInd w:val="0"/>
                    <w:snapToGrid w:val="0"/>
                    <w:jc w:val="center"/>
                    <w:rPr>
                      <w:color w:val="auto"/>
                      <w:szCs w:val="21"/>
                    </w:rPr>
                  </w:pPr>
                  <w:r>
                    <w:rPr>
                      <w:color w:val="auto"/>
                      <w:szCs w:val="21"/>
                    </w:rPr>
                    <w:t>污染物</w:t>
                  </w:r>
                </w:p>
              </w:tc>
              <w:tc>
                <w:tcPr>
                  <w:tcW w:w="665" w:type="pct"/>
                  <w:vMerge w:val="restart"/>
                  <w:shd w:val="clear" w:color="auto" w:fill="auto"/>
                  <w:noWrap w:val="0"/>
                  <w:vAlign w:val="center"/>
                </w:tcPr>
                <w:p w14:paraId="2589AAD8">
                  <w:pPr>
                    <w:adjustRightInd w:val="0"/>
                    <w:snapToGrid w:val="0"/>
                    <w:jc w:val="center"/>
                    <w:rPr>
                      <w:color w:val="auto"/>
                      <w:szCs w:val="21"/>
                    </w:rPr>
                  </w:pPr>
                  <w:r>
                    <w:rPr>
                      <w:color w:val="auto"/>
                      <w:szCs w:val="21"/>
                    </w:rPr>
                    <w:t>评价</w:t>
                  </w:r>
                </w:p>
                <w:p w14:paraId="1E86C6B9">
                  <w:pPr>
                    <w:adjustRightInd w:val="0"/>
                    <w:snapToGrid w:val="0"/>
                    <w:jc w:val="center"/>
                    <w:rPr>
                      <w:color w:val="auto"/>
                      <w:szCs w:val="21"/>
                    </w:rPr>
                  </w:pPr>
                  <w:r>
                    <w:rPr>
                      <w:color w:val="auto"/>
                      <w:szCs w:val="21"/>
                    </w:rPr>
                    <w:t>标准（μg/m</w:t>
                  </w:r>
                  <w:r>
                    <w:rPr>
                      <w:color w:val="auto"/>
                      <w:szCs w:val="21"/>
                      <w:vertAlign w:val="superscript"/>
                    </w:rPr>
                    <w:t>3</w:t>
                  </w:r>
                  <w:r>
                    <w:rPr>
                      <w:color w:val="auto"/>
                      <w:szCs w:val="21"/>
                    </w:rPr>
                    <w:t>）</w:t>
                  </w:r>
                </w:p>
              </w:tc>
              <w:tc>
                <w:tcPr>
                  <w:tcW w:w="669" w:type="pct"/>
                  <w:vMerge w:val="restart"/>
                  <w:shd w:val="clear" w:color="auto" w:fill="auto"/>
                  <w:noWrap w:val="0"/>
                  <w:vAlign w:val="center"/>
                </w:tcPr>
                <w:p w14:paraId="21BD9473">
                  <w:pPr>
                    <w:adjustRightInd w:val="0"/>
                    <w:snapToGrid w:val="0"/>
                    <w:jc w:val="center"/>
                    <w:rPr>
                      <w:color w:val="auto"/>
                      <w:szCs w:val="21"/>
                    </w:rPr>
                  </w:pPr>
                  <w:r>
                    <w:rPr>
                      <w:color w:val="auto"/>
                      <w:szCs w:val="21"/>
                    </w:rPr>
                    <w:t>监测浓度范围（μg/m</w:t>
                  </w:r>
                  <w:r>
                    <w:rPr>
                      <w:color w:val="auto"/>
                      <w:szCs w:val="21"/>
                      <w:vertAlign w:val="superscript"/>
                    </w:rPr>
                    <w:t>3</w:t>
                  </w:r>
                  <w:r>
                    <w:rPr>
                      <w:color w:val="auto"/>
                      <w:szCs w:val="21"/>
                    </w:rPr>
                    <w:t>）</w:t>
                  </w:r>
                </w:p>
              </w:tc>
              <w:tc>
                <w:tcPr>
                  <w:tcW w:w="565" w:type="pct"/>
                  <w:vMerge w:val="restart"/>
                  <w:shd w:val="clear" w:color="auto" w:fill="auto"/>
                  <w:noWrap w:val="0"/>
                  <w:vAlign w:val="center"/>
                </w:tcPr>
                <w:p w14:paraId="79C54045">
                  <w:pPr>
                    <w:adjustRightInd w:val="0"/>
                    <w:snapToGrid w:val="0"/>
                    <w:jc w:val="center"/>
                    <w:rPr>
                      <w:color w:val="auto"/>
                      <w:szCs w:val="21"/>
                    </w:rPr>
                  </w:pPr>
                  <w:r>
                    <w:rPr>
                      <w:color w:val="auto"/>
                      <w:szCs w:val="21"/>
                    </w:rPr>
                    <w:t>最大浓度占标比（%）</w:t>
                  </w:r>
                </w:p>
              </w:tc>
              <w:tc>
                <w:tcPr>
                  <w:tcW w:w="450" w:type="pct"/>
                  <w:vMerge w:val="restart"/>
                  <w:shd w:val="clear" w:color="auto" w:fill="auto"/>
                  <w:noWrap w:val="0"/>
                  <w:vAlign w:val="center"/>
                </w:tcPr>
                <w:p w14:paraId="7802D8D8">
                  <w:pPr>
                    <w:adjustRightInd w:val="0"/>
                    <w:snapToGrid w:val="0"/>
                    <w:jc w:val="center"/>
                    <w:rPr>
                      <w:color w:val="auto"/>
                      <w:szCs w:val="21"/>
                    </w:rPr>
                  </w:pPr>
                  <w:r>
                    <w:rPr>
                      <w:color w:val="auto"/>
                      <w:szCs w:val="21"/>
                    </w:rPr>
                    <w:t>超标率（%）</w:t>
                  </w:r>
                </w:p>
              </w:tc>
              <w:tc>
                <w:tcPr>
                  <w:tcW w:w="263" w:type="pct"/>
                  <w:vMerge w:val="restart"/>
                  <w:shd w:val="clear" w:color="auto" w:fill="auto"/>
                  <w:noWrap w:val="0"/>
                  <w:vAlign w:val="center"/>
                </w:tcPr>
                <w:p w14:paraId="5FD1C939">
                  <w:pPr>
                    <w:adjustRightInd w:val="0"/>
                    <w:snapToGrid w:val="0"/>
                    <w:jc w:val="center"/>
                    <w:rPr>
                      <w:color w:val="auto"/>
                      <w:szCs w:val="21"/>
                    </w:rPr>
                  </w:pPr>
                  <w:r>
                    <w:rPr>
                      <w:color w:val="auto"/>
                      <w:szCs w:val="21"/>
                    </w:rPr>
                    <w:t>达标情况</w:t>
                  </w:r>
                </w:p>
              </w:tc>
            </w:tr>
            <w:tr w14:paraId="010DB3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01" w:hRule="atLeast"/>
              </w:trPr>
              <w:tc>
                <w:tcPr>
                  <w:tcW w:w="429" w:type="pct"/>
                  <w:vMerge w:val="continue"/>
                  <w:shd w:val="clear" w:color="auto" w:fill="auto"/>
                  <w:noWrap w:val="0"/>
                  <w:vAlign w:val="center"/>
                </w:tcPr>
                <w:p w14:paraId="55D49976">
                  <w:pPr>
                    <w:adjustRightInd w:val="0"/>
                    <w:snapToGrid w:val="0"/>
                    <w:jc w:val="center"/>
                    <w:rPr>
                      <w:color w:val="auto"/>
                      <w:szCs w:val="21"/>
                    </w:rPr>
                  </w:pPr>
                </w:p>
              </w:tc>
              <w:tc>
                <w:tcPr>
                  <w:tcW w:w="827" w:type="pct"/>
                  <w:shd w:val="clear" w:color="auto" w:fill="auto"/>
                  <w:noWrap w:val="0"/>
                  <w:vAlign w:val="center"/>
                </w:tcPr>
                <w:p w14:paraId="0F7E4C5E">
                  <w:pPr>
                    <w:adjustRightInd w:val="0"/>
                    <w:snapToGrid w:val="0"/>
                    <w:jc w:val="center"/>
                    <w:rPr>
                      <w:color w:val="auto"/>
                      <w:szCs w:val="21"/>
                    </w:rPr>
                  </w:pPr>
                  <w:r>
                    <w:rPr>
                      <w:color w:val="auto"/>
                      <w:szCs w:val="21"/>
                    </w:rPr>
                    <w:t>经度</w:t>
                  </w:r>
                </w:p>
              </w:tc>
              <w:tc>
                <w:tcPr>
                  <w:tcW w:w="762" w:type="pct"/>
                  <w:shd w:val="clear" w:color="auto" w:fill="auto"/>
                  <w:noWrap w:val="0"/>
                  <w:vAlign w:val="center"/>
                </w:tcPr>
                <w:p w14:paraId="1C6E47A6">
                  <w:pPr>
                    <w:adjustRightInd w:val="0"/>
                    <w:snapToGrid w:val="0"/>
                    <w:jc w:val="center"/>
                    <w:rPr>
                      <w:color w:val="auto"/>
                      <w:szCs w:val="21"/>
                    </w:rPr>
                  </w:pPr>
                  <w:r>
                    <w:rPr>
                      <w:color w:val="auto"/>
                      <w:szCs w:val="21"/>
                    </w:rPr>
                    <w:t>纬度</w:t>
                  </w:r>
                </w:p>
              </w:tc>
              <w:tc>
                <w:tcPr>
                  <w:tcW w:w="366" w:type="pct"/>
                  <w:vMerge w:val="continue"/>
                  <w:shd w:val="clear" w:color="auto" w:fill="auto"/>
                  <w:noWrap w:val="0"/>
                  <w:vAlign w:val="center"/>
                </w:tcPr>
                <w:p w14:paraId="2E3A2D84">
                  <w:pPr>
                    <w:adjustRightInd w:val="0"/>
                    <w:snapToGrid w:val="0"/>
                    <w:jc w:val="center"/>
                    <w:rPr>
                      <w:color w:val="auto"/>
                      <w:kern w:val="0"/>
                      <w:szCs w:val="21"/>
                    </w:rPr>
                  </w:pPr>
                </w:p>
              </w:tc>
              <w:tc>
                <w:tcPr>
                  <w:tcW w:w="665" w:type="pct"/>
                  <w:vMerge w:val="continue"/>
                  <w:shd w:val="clear" w:color="auto" w:fill="auto"/>
                  <w:noWrap w:val="0"/>
                  <w:vAlign w:val="center"/>
                </w:tcPr>
                <w:p w14:paraId="5E5DCE78">
                  <w:pPr>
                    <w:adjustRightInd w:val="0"/>
                    <w:snapToGrid w:val="0"/>
                    <w:jc w:val="center"/>
                    <w:rPr>
                      <w:color w:val="auto"/>
                      <w:kern w:val="0"/>
                      <w:szCs w:val="21"/>
                    </w:rPr>
                  </w:pPr>
                </w:p>
              </w:tc>
              <w:tc>
                <w:tcPr>
                  <w:tcW w:w="669" w:type="pct"/>
                  <w:vMerge w:val="continue"/>
                  <w:shd w:val="clear" w:color="auto" w:fill="auto"/>
                  <w:noWrap w:val="0"/>
                  <w:vAlign w:val="center"/>
                </w:tcPr>
                <w:p w14:paraId="79DC8D94">
                  <w:pPr>
                    <w:adjustRightInd w:val="0"/>
                    <w:snapToGrid w:val="0"/>
                    <w:jc w:val="center"/>
                    <w:rPr>
                      <w:color w:val="auto"/>
                      <w:kern w:val="0"/>
                      <w:szCs w:val="21"/>
                    </w:rPr>
                  </w:pPr>
                </w:p>
              </w:tc>
              <w:tc>
                <w:tcPr>
                  <w:tcW w:w="565" w:type="pct"/>
                  <w:vMerge w:val="continue"/>
                  <w:shd w:val="clear" w:color="auto" w:fill="auto"/>
                  <w:noWrap w:val="0"/>
                  <w:vAlign w:val="center"/>
                </w:tcPr>
                <w:p w14:paraId="67B6D7D7">
                  <w:pPr>
                    <w:adjustRightInd w:val="0"/>
                    <w:snapToGrid w:val="0"/>
                    <w:jc w:val="center"/>
                    <w:rPr>
                      <w:color w:val="auto"/>
                      <w:kern w:val="0"/>
                      <w:szCs w:val="21"/>
                    </w:rPr>
                  </w:pPr>
                </w:p>
              </w:tc>
              <w:tc>
                <w:tcPr>
                  <w:tcW w:w="450" w:type="pct"/>
                  <w:vMerge w:val="continue"/>
                  <w:shd w:val="clear" w:color="auto" w:fill="auto"/>
                  <w:noWrap w:val="0"/>
                  <w:vAlign w:val="center"/>
                </w:tcPr>
                <w:p w14:paraId="2ABC2DC3">
                  <w:pPr>
                    <w:adjustRightInd w:val="0"/>
                    <w:snapToGrid w:val="0"/>
                    <w:jc w:val="center"/>
                    <w:rPr>
                      <w:color w:val="auto"/>
                      <w:kern w:val="0"/>
                      <w:szCs w:val="21"/>
                    </w:rPr>
                  </w:pPr>
                </w:p>
              </w:tc>
              <w:tc>
                <w:tcPr>
                  <w:tcW w:w="263" w:type="pct"/>
                  <w:vMerge w:val="continue"/>
                  <w:shd w:val="clear" w:color="auto" w:fill="auto"/>
                  <w:noWrap w:val="0"/>
                  <w:vAlign w:val="center"/>
                </w:tcPr>
                <w:p w14:paraId="2AB71CBB">
                  <w:pPr>
                    <w:adjustRightInd w:val="0"/>
                    <w:snapToGrid w:val="0"/>
                    <w:jc w:val="center"/>
                    <w:rPr>
                      <w:color w:val="auto"/>
                      <w:kern w:val="0"/>
                      <w:szCs w:val="21"/>
                    </w:rPr>
                  </w:pPr>
                </w:p>
              </w:tc>
            </w:tr>
            <w:tr w14:paraId="455738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889" w:hRule="atLeast"/>
              </w:trPr>
              <w:tc>
                <w:tcPr>
                  <w:tcW w:w="429" w:type="pct"/>
                  <w:shd w:val="clear" w:color="auto" w:fill="auto"/>
                  <w:noWrap w:val="0"/>
                  <w:vAlign w:val="center"/>
                </w:tcPr>
                <w:p w14:paraId="6DAEB56E">
                  <w:pPr>
                    <w:adjustRightInd w:val="0"/>
                    <w:snapToGrid w:val="0"/>
                    <w:jc w:val="center"/>
                    <w:rPr>
                      <w:color w:val="auto"/>
                      <w:kern w:val="0"/>
                      <w:szCs w:val="21"/>
                    </w:rPr>
                  </w:pPr>
                  <w:r>
                    <w:rPr>
                      <w:color w:val="auto"/>
                      <w:szCs w:val="21"/>
                    </w:rPr>
                    <w:t>引用监测点位</w:t>
                  </w:r>
                </w:p>
              </w:tc>
              <w:tc>
                <w:tcPr>
                  <w:tcW w:w="827" w:type="pct"/>
                  <w:shd w:val="clear" w:color="auto" w:fill="auto"/>
                  <w:noWrap w:val="0"/>
                  <w:vAlign w:val="center"/>
                </w:tcPr>
                <w:p w14:paraId="4141DC5C">
                  <w:pPr>
                    <w:autoSpaceDE w:val="0"/>
                    <w:autoSpaceDN w:val="0"/>
                    <w:adjustRightInd w:val="0"/>
                    <w:spacing w:line="240" w:lineRule="auto"/>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b w:val="0"/>
                      <w:color w:val="000000" w:themeColor="text1"/>
                      <w:szCs w:val="21"/>
                      <w:lang w:val="en-US" w:eastAsia="zh-CN"/>
                      <w14:textFill>
                        <w14:solidFill>
                          <w14:schemeClr w14:val="tx1"/>
                        </w14:solidFill>
                      </w14:textFill>
                    </w:rPr>
                    <w:t>131.172218</w:t>
                  </w:r>
                  <w:r>
                    <w:rPr>
                      <w:rFonts w:hint="default" w:ascii="Times New Roman" w:hAnsi="Times New Roman" w:cs="Times New Roman" w:eastAsiaTheme="minorEastAsia"/>
                      <w:color w:val="000000" w:themeColor="text1"/>
                      <w:highlight w:val="none"/>
                      <w14:textFill>
                        <w14:solidFill>
                          <w14:schemeClr w14:val="tx1"/>
                        </w14:solidFill>
                      </w14:textFill>
                    </w:rPr>
                    <w:t>°</w:t>
                  </w:r>
                </w:p>
              </w:tc>
              <w:tc>
                <w:tcPr>
                  <w:tcW w:w="762" w:type="pct"/>
                  <w:shd w:val="clear" w:color="auto" w:fill="auto"/>
                  <w:noWrap w:val="0"/>
                  <w:vAlign w:val="center"/>
                </w:tcPr>
                <w:p w14:paraId="082D3AF9">
                  <w:pPr>
                    <w:autoSpaceDE w:val="0"/>
                    <w:autoSpaceDN w:val="0"/>
                    <w:adjustRightInd w:val="0"/>
                    <w:spacing w:line="240" w:lineRule="auto"/>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b w:val="0"/>
                      <w:color w:val="000000" w:themeColor="text1"/>
                      <w:szCs w:val="21"/>
                      <w:lang w:val="en-US" w:eastAsia="zh-CN"/>
                      <w14:textFill>
                        <w14:solidFill>
                          <w14:schemeClr w14:val="tx1"/>
                        </w14:solidFill>
                      </w14:textFill>
                    </w:rPr>
                    <w:t>46.604312</w:t>
                  </w:r>
                  <w:r>
                    <w:rPr>
                      <w:rFonts w:hint="default" w:ascii="Times New Roman" w:hAnsi="Times New Roman" w:cs="Times New Roman" w:eastAsiaTheme="minorEastAsia"/>
                      <w:color w:val="000000" w:themeColor="text1"/>
                      <w:highlight w:val="none"/>
                      <w14:textFill>
                        <w14:solidFill>
                          <w14:schemeClr w14:val="tx1"/>
                        </w14:solidFill>
                      </w14:textFill>
                    </w:rPr>
                    <w:t>°</w:t>
                  </w:r>
                </w:p>
              </w:tc>
              <w:tc>
                <w:tcPr>
                  <w:tcW w:w="366" w:type="pct"/>
                  <w:shd w:val="clear" w:color="auto" w:fill="auto"/>
                  <w:noWrap w:val="0"/>
                  <w:vAlign w:val="center"/>
                </w:tcPr>
                <w:p w14:paraId="7E9748CC">
                  <w:pPr>
                    <w:adjustRightInd w:val="0"/>
                    <w:snapToGrid w:val="0"/>
                    <w:jc w:val="center"/>
                    <w:rPr>
                      <w:color w:val="auto"/>
                      <w:kern w:val="0"/>
                      <w:szCs w:val="21"/>
                    </w:rPr>
                  </w:pPr>
                  <w:r>
                    <w:rPr>
                      <w:color w:val="auto"/>
                      <w:kern w:val="0"/>
                      <w:szCs w:val="21"/>
                    </w:rPr>
                    <w:t>TSP</w:t>
                  </w:r>
                </w:p>
              </w:tc>
              <w:tc>
                <w:tcPr>
                  <w:tcW w:w="665" w:type="pct"/>
                  <w:shd w:val="clear" w:color="auto" w:fill="auto"/>
                  <w:noWrap w:val="0"/>
                  <w:vAlign w:val="center"/>
                </w:tcPr>
                <w:p w14:paraId="364B096A">
                  <w:pPr>
                    <w:adjustRightInd w:val="0"/>
                    <w:snapToGrid w:val="0"/>
                    <w:jc w:val="center"/>
                    <w:rPr>
                      <w:color w:val="auto"/>
                      <w:kern w:val="0"/>
                      <w:szCs w:val="21"/>
                    </w:rPr>
                  </w:pPr>
                  <w:r>
                    <w:rPr>
                      <w:color w:val="auto"/>
                      <w:kern w:val="0"/>
                      <w:szCs w:val="21"/>
                    </w:rPr>
                    <w:t>300</w:t>
                  </w:r>
                </w:p>
              </w:tc>
              <w:tc>
                <w:tcPr>
                  <w:tcW w:w="669" w:type="pct"/>
                  <w:shd w:val="clear" w:color="auto" w:fill="auto"/>
                  <w:noWrap w:val="0"/>
                  <w:vAlign w:val="center"/>
                </w:tcPr>
                <w:p w14:paraId="35204075">
                  <w:pPr>
                    <w:autoSpaceDE w:val="0"/>
                    <w:autoSpaceDN w:val="0"/>
                    <w:adjustRightInd w:val="0"/>
                    <w:spacing w:line="240" w:lineRule="auto"/>
                    <w:jc w:val="center"/>
                    <w:rPr>
                      <w:color w:val="auto"/>
                      <w:kern w:val="0"/>
                      <w:szCs w:val="21"/>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92-109</w:t>
                  </w:r>
                </w:p>
              </w:tc>
              <w:tc>
                <w:tcPr>
                  <w:tcW w:w="565" w:type="pct"/>
                  <w:shd w:val="clear" w:color="auto" w:fill="auto"/>
                  <w:noWrap w:val="0"/>
                  <w:vAlign w:val="center"/>
                </w:tcPr>
                <w:p w14:paraId="1EFC2BFC">
                  <w:pPr>
                    <w:autoSpaceDE w:val="0"/>
                    <w:autoSpaceDN w:val="0"/>
                    <w:adjustRightInd w:val="0"/>
                    <w:spacing w:line="240" w:lineRule="auto"/>
                    <w:jc w:val="center"/>
                    <w:rPr>
                      <w:color w:val="auto"/>
                      <w:kern w:val="0"/>
                      <w:szCs w:val="21"/>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36.3</w:t>
                  </w:r>
                </w:p>
              </w:tc>
              <w:tc>
                <w:tcPr>
                  <w:tcW w:w="450" w:type="pct"/>
                  <w:shd w:val="clear" w:color="auto" w:fill="auto"/>
                  <w:noWrap w:val="0"/>
                  <w:vAlign w:val="center"/>
                </w:tcPr>
                <w:p w14:paraId="006B85EA">
                  <w:pPr>
                    <w:adjustRightInd w:val="0"/>
                    <w:snapToGrid w:val="0"/>
                    <w:jc w:val="center"/>
                    <w:rPr>
                      <w:color w:val="auto"/>
                      <w:kern w:val="0"/>
                      <w:szCs w:val="21"/>
                    </w:rPr>
                  </w:pPr>
                  <w:r>
                    <w:rPr>
                      <w:color w:val="auto"/>
                      <w:kern w:val="0"/>
                      <w:szCs w:val="21"/>
                    </w:rPr>
                    <w:t>0</w:t>
                  </w:r>
                </w:p>
              </w:tc>
              <w:tc>
                <w:tcPr>
                  <w:tcW w:w="263" w:type="pct"/>
                  <w:shd w:val="clear" w:color="auto" w:fill="auto"/>
                  <w:noWrap w:val="0"/>
                  <w:vAlign w:val="center"/>
                </w:tcPr>
                <w:p w14:paraId="536CC239">
                  <w:pPr>
                    <w:adjustRightInd w:val="0"/>
                    <w:snapToGrid w:val="0"/>
                    <w:jc w:val="center"/>
                    <w:rPr>
                      <w:color w:val="auto"/>
                      <w:kern w:val="0"/>
                      <w:szCs w:val="21"/>
                    </w:rPr>
                  </w:pPr>
                  <w:r>
                    <w:rPr>
                      <w:color w:val="auto"/>
                      <w:kern w:val="0"/>
                      <w:szCs w:val="21"/>
                    </w:rPr>
                    <w:t>达标</w:t>
                  </w:r>
                </w:p>
              </w:tc>
            </w:tr>
          </w:tbl>
          <w:p w14:paraId="7F610512">
            <w:pPr>
              <w:adjustRightInd w:val="0"/>
              <w:snapToGrid w:val="0"/>
              <w:spacing w:line="360" w:lineRule="auto"/>
              <w:ind w:firstLine="480" w:firstLineChars="200"/>
              <w:jc w:val="left"/>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由上表可知，本项目所在区域TSP的24小时浓度满足《环境空气质量标准》（GB3095-20</w:t>
            </w:r>
            <w:r>
              <w:rPr>
                <w:rFonts w:hint="eastAsia" w:cs="Times New Roman"/>
                <w:color w:val="auto"/>
                <w:kern w:val="2"/>
                <w:sz w:val="24"/>
                <w:szCs w:val="24"/>
                <w:highlight w:val="none"/>
                <w:lang w:val="en-US" w:eastAsia="zh-CN" w:bidi="ar-SA"/>
              </w:rPr>
              <w:t>26</w:t>
            </w:r>
            <w:r>
              <w:rPr>
                <w:rFonts w:hint="default" w:ascii="Times New Roman" w:hAnsi="Times New Roman" w:eastAsia="宋体" w:cs="Times New Roman"/>
                <w:color w:val="auto"/>
                <w:kern w:val="2"/>
                <w:sz w:val="24"/>
                <w:szCs w:val="24"/>
                <w:highlight w:val="none"/>
                <w:lang w:val="en-US" w:eastAsia="zh-CN" w:bidi="ar-SA"/>
              </w:rPr>
              <w:t>）中的二级标准限值要求。</w:t>
            </w:r>
          </w:p>
          <w:p w14:paraId="5F745BC1">
            <w:pPr>
              <w:pStyle w:val="72"/>
              <w:keepNext w:val="0"/>
              <w:keepLines w:val="0"/>
              <w:pageBreakBefore w:val="0"/>
              <w:widowControl w:val="0"/>
              <w:kinsoku/>
              <w:wordWrap/>
              <w:overflowPunct/>
              <w:topLinePunct w:val="0"/>
              <w:bidi w:val="0"/>
              <w:snapToGrid/>
              <w:spacing w:line="500" w:lineRule="exact"/>
              <w:ind w:firstLine="482" w:firstLineChars="200"/>
              <w:outlineLvl w:val="2"/>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二、地表水环境</w:t>
            </w:r>
          </w:p>
          <w:p w14:paraId="64AEBE16">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本项目厂址位于</w:t>
            </w:r>
            <w:r>
              <w:rPr>
                <w:rFonts w:hint="eastAsia" w:cs="Times New Roman"/>
                <w:color w:val="auto"/>
                <w:sz w:val="24"/>
                <w:highlight w:val="none"/>
                <w:lang w:val="en-US" w:eastAsia="zh-CN"/>
              </w:rPr>
              <w:t>尖山区窑地路</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本项目西侧1430km</w:t>
            </w:r>
            <w:r>
              <w:rPr>
                <w:rFonts w:hint="eastAsia" w:ascii="Times New Roman" w:hAnsi="Times New Roman" w:eastAsia="宋体" w:cs="Times New Roman"/>
                <w:color w:val="auto"/>
                <w:sz w:val="24"/>
                <w:highlight w:val="none"/>
                <w:lang w:val="en-US" w:eastAsia="zh-CN"/>
              </w:rPr>
              <w:t>为</w:t>
            </w:r>
            <w:r>
              <w:rPr>
                <w:rFonts w:hint="eastAsia" w:cs="Times New Roman"/>
                <w:color w:val="auto"/>
                <w:sz w:val="24"/>
                <w:highlight w:val="none"/>
                <w:lang w:val="en-US" w:eastAsia="zh-CN"/>
              </w:rPr>
              <w:t>安邦河</w:t>
            </w:r>
            <w:r>
              <w:rPr>
                <w:rFonts w:hint="eastAsia" w:ascii="Times New Roman" w:hAnsi="Times New Roman" w:eastAsia="宋体" w:cs="Times New Roman"/>
                <w:color w:val="auto"/>
                <w:sz w:val="24"/>
                <w:highlight w:val="none"/>
                <w:lang w:val="en-US" w:eastAsia="zh-CN"/>
              </w:rPr>
              <w:t>。</w:t>
            </w:r>
          </w:p>
          <w:p w14:paraId="4FDB00EE">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根据《全国重要江河湖泊水功能区划（2011-2030年）》，本项目所在区域安邦河为</w:t>
            </w:r>
            <w:r>
              <w:rPr>
                <w:rFonts w:hint="eastAsia" w:cs="Times New Roman"/>
                <w:color w:val="auto"/>
                <w:sz w:val="24"/>
                <w:highlight w:val="none"/>
                <w:lang w:val="en-US" w:eastAsia="zh-CN"/>
              </w:rPr>
              <w:t>窑地村至福富大桥段</w:t>
            </w:r>
            <w:r>
              <w:rPr>
                <w:rFonts w:hint="eastAsia" w:ascii="Times New Roman" w:hAnsi="Times New Roman" w:eastAsia="宋体" w:cs="Times New Roman"/>
                <w:color w:val="auto"/>
                <w:sz w:val="24"/>
                <w:highlight w:val="none"/>
                <w:lang w:val="en-US" w:eastAsia="zh-CN"/>
              </w:rPr>
              <w:t>，规划水体类别为</w:t>
            </w:r>
            <w:r>
              <w:rPr>
                <w:rFonts w:hint="default" w:ascii="Times New Roman" w:hAnsi="Times New Roman" w:eastAsia="宋体" w:cs="Times New Roman"/>
                <w:color w:val="auto"/>
                <w:sz w:val="24"/>
                <w:highlight w:val="none"/>
                <w:lang w:val="en-US" w:eastAsia="zh-CN"/>
              </w:rPr>
              <w:t>Ⅲ</w:t>
            </w:r>
            <w:r>
              <w:rPr>
                <w:rFonts w:hint="eastAsia" w:ascii="Times New Roman" w:hAnsi="Times New Roman" w:eastAsia="宋体" w:cs="Times New Roman"/>
                <w:color w:val="auto"/>
                <w:sz w:val="24"/>
                <w:highlight w:val="none"/>
                <w:lang w:val="en-US" w:eastAsia="zh-CN"/>
              </w:rPr>
              <w:t>类水体，执行《地表水环境质量标准》（GB3838-2002）</w:t>
            </w:r>
            <w:r>
              <w:rPr>
                <w:rFonts w:hint="default" w:ascii="Times New Roman" w:hAnsi="Times New Roman" w:eastAsia="宋体" w:cs="Times New Roman"/>
                <w:color w:val="auto"/>
                <w:sz w:val="24"/>
                <w:highlight w:val="none"/>
                <w:lang w:val="en-US" w:eastAsia="zh-CN"/>
              </w:rPr>
              <w:t>Ⅲ</w:t>
            </w:r>
            <w:r>
              <w:rPr>
                <w:rFonts w:hint="eastAsia" w:ascii="Times New Roman" w:hAnsi="Times New Roman" w:eastAsia="宋体" w:cs="Times New Roman"/>
                <w:color w:val="auto"/>
                <w:sz w:val="24"/>
                <w:highlight w:val="none"/>
                <w:lang w:val="en-US" w:eastAsia="zh-CN"/>
              </w:rPr>
              <w:t>类标准。</w:t>
            </w:r>
          </w:p>
          <w:p w14:paraId="5B073968">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根据《202</w:t>
            </w:r>
            <w:r>
              <w:rPr>
                <w:rFonts w:hint="eastAsia" w:cs="Times New Roman"/>
                <w:color w:val="auto"/>
                <w:sz w:val="24"/>
                <w:highlight w:val="none"/>
                <w:lang w:val="en-US" w:eastAsia="zh-CN"/>
              </w:rPr>
              <w:t>4</w:t>
            </w:r>
            <w:r>
              <w:rPr>
                <w:rFonts w:hint="eastAsia" w:ascii="Times New Roman" w:hAnsi="Times New Roman" w:eastAsia="宋体" w:cs="Times New Roman"/>
                <w:color w:val="auto"/>
                <w:sz w:val="24"/>
                <w:highlight w:val="none"/>
                <w:lang w:val="en-US" w:eastAsia="zh-CN"/>
              </w:rPr>
              <w:t>年黑龙江省生态环境质量状况》可知：双鸭山地表水国家考核断面共6个，</w:t>
            </w:r>
            <w:r>
              <w:rPr>
                <w:rFonts w:hint="default" w:ascii="Times New Roman" w:hAnsi="Times New Roman" w:eastAsia="宋体" w:cs="Times New Roman"/>
                <w:color w:val="auto"/>
                <w:sz w:val="24"/>
                <w:highlight w:val="none"/>
                <w:lang w:val="en-US" w:eastAsia="zh-CN"/>
              </w:rPr>
              <w:t>Ⅰ-Ⅲ</w:t>
            </w:r>
            <w:r>
              <w:rPr>
                <w:rFonts w:hint="eastAsia" w:ascii="Times New Roman" w:hAnsi="Times New Roman" w:eastAsia="宋体" w:cs="Times New Roman"/>
                <w:color w:val="auto"/>
                <w:sz w:val="24"/>
                <w:highlight w:val="none"/>
                <w:lang w:val="en-US" w:eastAsia="zh-CN"/>
              </w:rPr>
              <w:t>类水质比例上升66.7%，无劣</w:t>
            </w:r>
            <w:r>
              <w:rPr>
                <w:rFonts w:hint="default" w:ascii="Times New Roman" w:hAnsi="Times New Roman" w:eastAsia="宋体" w:cs="Times New Roman"/>
                <w:color w:val="auto"/>
                <w:sz w:val="24"/>
                <w:highlight w:val="none"/>
                <w:lang w:val="en-US" w:eastAsia="zh-CN"/>
              </w:rPr>
              <w:t>Ⅴ</w:t>
            </w:r>
            <w:r>
              <w:rPr>
                <w:rFonts w:hint="eastAsia" w:ascii="Times New Roman" w:hAnsi="Times New Roman" w:eastAsia="宋体" w:cs="Times New Roman"/>
                <w:color w:val="auto"/>
                <w:sz w:val="24"/>
                <w:highlight w:val="none"/>
                <w:lang w:val="en-US" w:eastAsia="zh-CN"/>
              </w:rPr>
              <w:t>类水质断面。与上年同期相比，</w:t>
            </w:r>
            <w:r>
              <w:rPr>
                <w:rFonts w:hint="default" w:ascii="Times New Roman" w:hAnsi="Times New Roman" w:eastAsia="宋体" w:cs="Times New Roman"/>
                <w:color w:val="auto"/>
                <w:sz w:val="24"/>
                <w:highlight w:val="none"/>
                <w:lang w:val="en-US" w:eastAsia="zh-CN"/>
              </w:rPr>
              <w:t>Ⅰ-Ⅲ</w:t>
            </w:r>
            <w:r>
              <w:rPr>
                <w:rFonts w:hint="eastAsia" w:ascii="Times New Roman" w:hAnsi="Times New Roman" w:eastAsia="宋体" w:cs="Times New Roman"/>
                <w:color w:val="auto"/>
                <w:sz w:val="24"/>
                <w:highlight w:val="none"/>
                <w:lang w:val="en-US" w:eastAsia="zh-CN"/>
              </w:rPr>
              <w:t>类水质</w:t>
            </w:r>
            <w:r>
              <w:rPr>
                <w:rFonts w:hint="eastAsia" w:cs="Times New Roman"/>
                <w:color w:val="auto"/>
                <w:sz w:val="24"/>
                <w:highlight w:val="none"/>
                <w:lang w:val="en-US" w:eastAsia="zh-CN"/>
              </w:rPr>
              <w:t>比例</w:t>
            </w:r>
            <w:r>
              <w:rPr>
                <w:rFonts w:hint="eastAsia" w:ascii="Times New Roman" w:hAnsi="Times New Roman" w:eastAsia="宋体" w:cs="Times New Roman"/>
                <w:color w:val="auto"/>
                <w:sz w:val="24"/>
                <w:highlight w:val="none"/>
                <w:lang w:val="en-US" w:eastAsia="zh-CN"/>
              </w:rPr>
              <w:t>保持不变，均无劣</w:t>
            </w:r>
            <w:r>
              <w:rPr>
                <w:rFonts w:hint="default" w:ascii="Times New Roman" w:hAnsi="Times New Roman" w:eastAsia="宋体" w:cs="Times New Roman"/>
                <w:color w:val="auto"/>
                <w:sz w:val="24"/>
                <w:highlight w:val="none"/>
                <w:lang w:val="en-US" w:eastAsia="zh-CN"/>
              </w:rPr>
              <w:t>Ⅴ</w:t>
            </w:r>
            <w:r>
              <w:rPr>
                <w:rFonts w:hint="eastAsia" w:ascii="Times New Roman" w:hAnsi="Times New Roman" w:eastAsia="宋体" w:cs="Times New Roman"/>
                <w:color w:val="auto"/>
                <w:sz w:val="24"/>
                <w:highlight w:val="none"/>
                <w:lang w:val="en-US" w:eastAsia="zh-CN"/>
              </w:rPr>
              <w:t>类水质断面。双鸭山市饮用水水源地水量达标率为100%。</w:t>
            </w:r>
          </w:p>
          <w:p w14:paraId="7CF501A2">
            <w:pPr>
              <w:pStyle w:val="72"/>
              <w:keepNext w:val="0"/>
              <w:keepLines w:val="0"/>
              <w:pageBreakBefore w:val="0"/>
              <w:widowControl w:val="0"/>
              <w:kinsoku/>
              <w:wordWrap/>
              <w:overflowPunct/>
              <w:topLinePunct w:val="0"/>
              <w:bidi w:val="0"/>
              <w:snapToGrid/>
              <w:spacing w:line="500" w:lineRule="exact"/>
              <w:ind w:firstLine="482" w:firstLineChars="200"/>
              <w:outlineLvl w:val="2"/>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三、声环境现状</w:t>
            </w:r>
          </w:p>
          <w:p w14:paraId="4722D00D">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本项目位于黑龙江省双鸭山市尖山区，根据</w:t>
            </w:r>
            <w:r>
              <w:rPr>
                <w:rFonts w:hint="eastAsia" w:cs="Times New Roman"/>
                <w:color w:val="auto"/>
                <w:sz w:val="24"/>
                <w:highlight w:val="none"/>
                <w:lang w:val="en-US" w:eastAsia="zh-CN"/>
              </w:rPr>
              <w:t>双鸭山市中心城区声环境功能区划分示意图（见附图5）</w:t>
            </w:r>
            <w:r>
              <w:rPr>
                <w:rFonts w:hint="eastAsia" w:ascii="Times New Roman" w:hAnsi="Times New Roman" w:eastAsia="宋体" w:cs="Times New Roman"/>
                <w:color w:val="auto"/>
                <w:sz w:val="24"/>
                <w:highlight w:val="none"/>
                <w:lang w:val="en-US" w:eastAsia="zh-CN"/>
              </w:rPr>
              <w:t>，项目所在区执行2类声环境功能区要求。</w:t>
            </w:r>
          </w:p>
          <w:p w14:paraId="4EB697E9">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根据《建设项目环境影响报告表编制技术指南》（污染影响类），本项目厂界外周边50米范围内不存在声环境保护目标的，无需进行监测。</w:t>
            </w:r>
          </w:p>
          <w:p w14:paraId="048A13B1">
            <w:pPr>
              <w:pStyle w:val="72"/>
              <w:keepNext w:val="0"/>
              <w:keepLines w:val="0"/>
              <w:pageBreakBefore w:val="0"/>
              <w:widowControl w:val="0"/>
              <w:kinsoku/>
              <w:wordWrap/>
              <w:overflowPunct/>
              <w:topLinePunct w:val="0"/>
              <w:bidi w:val="0"/>
              <w:snapToGrid/>
              <w:spacing w:line="500" w:lineRule="exact"/>
              <w:ind w:firstLine="482" w:firstLineChars="200"/>
              <w:outlineLvl w:val="2"/>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四、生态环境</w:t>
            </w:r>
          </w:p>
          <w:p w14:paraId="2A80F11A">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 w:val="0"/>
                <w:bCs w:val="0"/>
                <w:color w:val="auto"/>
                <w:sz w:val="24"/>
                <w:highlight w:val="none"/>
                <w:lang w:val="en-US" w:eastAsia="zh-CN"/>
              </w:rPr>
              <w:t>本项目位于</w:t>
            </w:r>
            <w:r>
              <w:rPr>
                <w:rFonts w:hint="eastAsia" w:ascii="Times New Roman" w:hAnsi="Times New Roman" w:cs="Times New Roman"/>
                <w:b w:val="0"/>
                <w:bCs w:val="0"/>
                <w:color w:val="auto"/>
                <w:sz w:val="24"/>
                <w:highlight w:val="none"/>
                <w:lang w:val="en-US" w:eastAsia="zh-CN"/>
              </w:rPr>
              <w:t>双鸭山市松森木材加工厂</w:t>
            </w:r>
            <w:r>
              <w:rPr>
                <w:rFonts w:hint="eastAsia" w:ascii="Times New Roman" w:hAnsi="Times New Roman" w:eastAsia="宋体" w:cs="Times New Roman"/>
                <w:b w:val="0"/>
                <w:bCs w:val="0"/>
                <w:color w:val="auto"/>
                <w:sz w:val="24"/>
                <w:highlight w:val="none"/>
                <w:lang w:val="en-US" w:eastAsia="zh-CN"/>
              </w:rPr>
              <w:t>院内。评价区域范围内无风景名胜区、自然保护区及未发现文化遗产等特殊保护目标，生态环境不属于敏感区。项目周边500m内无划定的自然生态保护区和重点保护的野生动植物，不属于生态环境敏感区。</w:t>
            </w:r>
          </w:p>
        </w:tc>
      </w:tr>
      <w:tr w14:paraId="0B64D4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7605ADF9">
            <w:pPr>
              <w:adjustRightInd w:val="0"/>
              <w:snapToGrid w:val="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4FAC8802">
            <w:pPr>
              <w:adjustRightInd w:val="0"/>
              <w:snapToGrid w:val="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保护</w:t>
            </w:r>
          </w:p>
          <w:p w14:paraId="0A5F7BFD">
            <w:pPr>
              <w:adjustRightInd w:val="0"/>
              <w:snapToGrid w:val="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目标</w:t>
            </w:r>
          </w:p>
        </w:tc>
        <w:tc>
          <w:tcPr>
            <w:tcW w:w="8190" w:type="dxa"/>
            <w:noWrap w:val="0"/>
            <w:vAlign w:val="top"/>
          </w:tcPr>
          <w:p w14:paraId="29E4D786">
            <w:pPr>
              <w:adjustRightInd w:val="0"/>
              <w:snapToGrid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据现场踏勘可知，本项目厂界外500米范围内无地下水集中式饮用水水源和热水、矿泉水、温泉等特殊地下水资源，周边居民用水采用市政管网提供；无自然保护区、风景名胜区、地下水集中式饮用水水源地等</w:t>
            </w:r>
            <w:r>
              <w:rPr>
                <w:rFonts w:hint="eastAsia" w:cs="Times New Roman"/>
                <w:color w:val="auto"/>
                <w:sz w:val="24"/>
                <w:highlight w:val="none"/>
                <w:lang w:val="en-US" w:eastAsia="zh-CN"/>
              </w:rPr>
              <w:t>，</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存在</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居住区、</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医院</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等人群较集中的区域环境保护目标</w:t>
            </w:r>
            <w:r>
              <w:rPr>
                <w:rFonts w:hint="eastAsia"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eastAsia" w:cs="Times New Roman"/>
                <w:color w:val="000000" w:themeColor="text1"/>
                <w:kern w:val="0"/>
                <w:sz w:val="24"/>
                <w:szCs w:val="24"/>
                <w:highlight w:val="none"/>
                <w:lang w:val="en-US" w:eastAsia="zh-CN"/>
                <w14:textFill>
                  <w14:solidFill>
                    <w14:schemeClr w14:val="tx1"/>
                  </w14:solidFill>
                </w14:textFill>
              </w:rPr>
              <w:t>50m范围内无声环境保护目标，</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本项目环境空气保护目标见表3-</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和附图</w:t>
            </w:r>
            <w:r>
              <w:rPr>
                <w:rFonts w:hint="eastAsia" w:cs="Times New Roman"/>
                <w:color w:val="000000" w:themeColor="text1"/>
                <w:kern w:val="0"/>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w:t>
            </w:r>
          </w:p>
          <w:p w14:paraId="6BCD499A">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b/>
                <w:color w:val="auto"/>
                <w:kern w:val="0"/>
                <w:sz w:val="24"/>
              </w:rPr>
            </w:pPr>
            <w:r>
              <w:rPr>
                <w:b/>
                <w:color w:val="auto"/>
                <w:kern w:val="0"/>
                <w:sz w:val="24"/>
                <w:szCs w:val="24"/>
              </w:rPr>
              <w:t>表3-</w:t>
            </w:r>
            <w:r>
              <w:rPr>
                <w:rFonts w:hint="eastAsia"/>
                <w:b/>
                <w:color w:val="auto"/>
                <w:kern w:val="0"/>
                <w:sz w:val="24"/>
                <w:szCs w:val="24"/>
                <w:lang w:val="en-US" w:eastAsia="zh-CN"/>
              </w:rPr>
              <w:t xml:space="preserve">4  </w:t>
            </w:r>
            <w:r>
              <w:rPr>
                <w:b/>
                <w:color w:val="auto"/>
                <w:kern w:val="0"/>
                <w:sz w:val="24"/>
                <w:szCs w:val="24"/>
              </w:rPr>
              <w:t>大气环境保护目标</w:t>
            </w:r>
          </w:p>
          <w:tbl>
            <w:tblPr>
              <w:tblStyle w:val="31"/>
              <w:tblW w:w="493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987"/>
              <w:gridCol w:w="1233"/>
              <w:gridCol w:w="1167"/>
              <w:gridCol w:w="716"/>
              <w:gridCol w:w="933"/>
              <w:gridCol w:w="722"/>
              <w:gridCol w:w="722"/>
              <w:gridCol w:w="969"/>
            </w:tblGrid>
            <w:tr w14:paraId="0D35F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71" w:type="pct"/>
                  <w:vMerge w:val="restart"/>
                  <w:noWrap w:val="0"/>
                  <w:vAlign w:val="center"/>
                </w:tcPr>
                <w:p w14:paraId="639335D1">
                  <w:pPr>
                    <w:keepNext w:val="0"/>
                    <w:keepLines w:val="0"/>
                    <w:pageBreakBefore w:val="0"/>
                    <w:widowControl w:val="0"/>
                    <w:kinsoku/>
                    <w:wordWrap/>
                    <w:overflowPunct/>
                    <w:topLinePunct w:val="0"/>
                    <w:autoSpaceDE/>
                    <w:autoSpaceDN/>
                    <w:bidi w:val="0"/>
                    <w:adjustRightInd/>
                    <w:snapToGrid/>
                    <w:textAlignment w:val="auto"/>
                    <w:rPr>
                      <w:rFonts w:ascii="Calibri" w:hAnsi="宋体"/>
                      <w:color w:val="auto"/>
                      <w:szCs w:val="21"/>
                    </w:rPr>
                  </w:pPr>
                  <w:r>
                    <w:rPr>
                      <w:rFonts w:hint="eastAsia" w:ascii="宋体" w:hAnsi="宋体"/>
                      <w:color w:val="auto"/>
                    </w:rPr>
                    <w:t>序</w:t>
                  </w:r>
                </w:p>
                <w:p w14:paraId="40A7B761">
                  <w:pPr>
                    <w:keepNext w:val="0"/>
                    <w:keepLines w:val="0"/>
                    <w:pageBreakBefore w:val="0"/>
                    <w:widowControl w:val="0"/>
                    <w:kinsoku/>
                    <w:wordWrap/>
                    <w:overflowPunct/>
                    <w:topLinePunct w:val="0"/>
                    <w:autoSpaceDE/>
                    <w:autoSpaceDN/>
                    <w:bidi w:val="0"/>
                    <w:adjustRightInd/>
                    <w:snapToGrid/>
                    <w:jc w:val="center"/>
                    <w:textAlignment w:val="auto"/>
                    <w:rPr>
                      <w:rFonts w:ascii="Calibri" w:hAnsi="宋体"/>
                      <w:color w:val="auto"/>
                      <w:szCs w:val="21"/>
                    </w:rPr>
                  </w:pPr>
                  <w:r>
                    <w:rPr>
                      <w:rFonts w:hint="eastAsia" w:ascii="宋体" w:hAnsi="宋体"/>
                      <w:color w:val="auto"/>
                    </w:rPr>
                    <w:t>号</w:t>
                  </w:r>
                </w:p>
              </w:tc>
              <w:tc>
                <w:tcPr>
                  <w:tcW w:w="626" w:type="pct"/>
                  <w:vMerge w:val="restart"/>
                  <w:noWrap w:val="0"/>
                  <w:vAlign w:val="center"/>
                </w:tcPr>
                <w:p w14:paraId="4E63240E">
                  <w:pPr>
                    <w:keepNext w:val="0"/>
                    <w:keepLines w:val="0"/>
                    <w:pageBreakBefore w:val="0"/>
                    <w:widowControl w:val="0"/>
                    <w:kinsoku/>
                    <w:wordWrap/>
                    <w:overflowPunct/>
                    <w:topLinePunct w:val="0"/>
                    <w:autoSpaceDE/>
                    <w:autoSpaceDN/>
                    <w:bidi w:val="0"/>
                    <w:adjustRightInd/>
                    <w:snapToGrid/>
                    <w:jc w:val="center"/>
                    <w:textAlignment w:val="auto"/>
                    <w:rPr>
                      <w:rFonts w:ascii="Calibri" w:hAnsi="宋体"/>
                      <w:color w:val="auto"/>
                      <w:szCs w:val="21"/>
                    </w:rPr>
                  </w:pPr>
                  <w:r>
                    <w:rPr>
                      <w:rFonts w:hint="eastAsia" w:ascii="宋体" w:hAnsi="宋体"/>
                      <w:color w:val="auto"/>
                    </w:rPr>
                    <w:t>名称</w:t>
                  </w:r>
                </w:p>
              </w:tc>
              <w:tc>
                <w:tcPr>
                  <w:tcW w:w="1523" w:type="pct"/>
                  <w:gridSpan w:val="2"/>
                  <w:noWrap w:val="0"/>
                  <w:vAlign w:val="center"/>
                </w:tcPr>
                <w:p w14:paraId="08592360">
                  <w:pPr>
                    <w:keepNext w:val="0"/>
                    <w:keepLines w:val="0"/>
                    <w:pageBreakBefore w:val="0"/>
                    <w:widowControl w:val="0"/>
                    <w:kinsoku/>
                    <w:wordWrap/>
                    <w:overflowPunct/>
                    <w:topLinePunct w:val="0"/>
                    <w:autoSpaceDE/>
                    <w:autoSpaceDN/>
                    <w:bidi w:val="0"/>
                    <w:adjustRightInd/>
                    <w:snapToGrid/>
                    <w:jc w:val="center"/>
                    <w:textAlignment w:val="auto"/>
                    <w:rPr>
                      <w:rFonts w:hint="eastAsia" w:ascii="Calibri" w:hAnsi="宋体" w:eastAsia="宋体"/>
                      <w:color w:val="auto"/>
                      <w:szCs w:val="21"/>
                      <w:lang w:eastAsia="zh-CN"/>
                    </w:rPr>
                  </w:pPr>
                  <w:r>
                    <w:rPr>
                      <w:rFonts w:hint="eastAsia" w:ascii="宋体" w:hAnsi="宋体"/>
                      <w:color w:val="auto"/>
                    </w:rPr>
                    <w:t>坐标</w:t>
                  </w:r>
                  <w:r>
                    <w:rPr>
                      <w:rFonts w:hAnsi="宋体"/>
                      <w:color w:val="auto"/>
                    </w:rPr>
                    <w:t>/</w:t>
                  </w:r>
                  <w:r>
                    <w:rPr>
                      <w:rFonts w:hint="eastAsia" w:hAnsi="宋体"/>
                      <w:color w:val="auto"/>
                      <w:lang w:val="en-US" w:eastAsia="zh-CN"/>
                    </w:rPr>
                    <w:t>°</w:t>
                  </w:r>
                </w:p>
              </w:tc>
              <w:tc>
                <w:tcPr>
                  <w:tcW w:w="454" w:type="pct"/>
                  <w:vMerge w:val="restart"/>
                  <w:noWrap w:val="0"/>
                  <w:vAlign w:val="center"/>
                </w:tcPr>
                <w:p w14:paraId="4323F514">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color w:val="auto"/>
                    </w:rPr>
                  </w:pPr>
                  <w:r>
                    <w:rPr>
                      <w:rFonts w:hint="eastAsia" w:ascii="宋体" w:hAnsi="宋体"/>
                      <w:color w:val="auto"/>
                    </w:rPr>
                    <w:t>保护对象</w:t>
                  </w:r>
                </w:p>
              </w:tc>
              <w:tc>
                <w:tcPr>
                  <w:tcW w:w="592" w:type="pct"/>
                  <w:vMerge w:val="restart"/>
                  <w:noWrap w:val="0"/>
                  <w:vAlign w:val="center"/>
                </w:tcPr>
                <w:p w14:paraId="243349C6">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color w:val="auto"/>
                    </w:rPr>
                  </w:pPr>
                  <w:r>
                    <w:rPr>
                      <w:rFonts w:hint="eastAsia" w:ascii="宋体" w:hAnsi="宋体"/>
                      <w:color w:val="auto"/>
                    </w:rPr>
                    <w:t>保护内容</w:t>
                  </w:r>
                </w:p>
              </w:tc>
              <w:tc>
                <w:tcPr>
                  <w:tcW w:w="458" w:type="pct"/>
                  <w:vMerge w:val="restart"/>
                  <w:noWrap w:val="0"/>
                  <w:vAlign w:val="center"/>
                </w:tcPr>
                <w:p w14:paraId="7D89E73F">
                  <w:pPr>
                    <w:keepNext w:val="0"/>
                    <w:keepLines w:val="0"/>
                    <w:pageBreakBefore w:val="0"/>
                    <w:widowControl w:val="0"/>
                    <w:kinsoku/>
                    <w:wordWrap/>
                    <w:overflowPunct/>
                    <w:topLinePunct w:val="0"/>
                    <w:autoSpaceDE/>
                    <w:autoSpaceDN/>
                    <w:bidi w:val="0"/>
                    <w:adjustRightInd/>
                    <w:snapToGrid/>
                    <w:jc w:val="center"/>
                    <w:textAlignment w:val="auto"/>
                    <w:rPr>
                      <w:rFonts w:ascii="Calibri" w:hAnsi="宋体"/>
                      <w:color w:val="auto"/>
                      <w:szCs w:val="21"/>
                    </w:rPr>
                  </w:pPr>
                  <w:r>
                    <w:rPr>
                      <w:rFonts w:hint="eastAsia" w:ascii="宋体" w:hAnsi="宋体"/>
                      <w:color w:val="auto"/>
                    </w:rPr>
                    <w:t>环境功能区</w:t>
                  </w:r>
                </w:p>
              </w:tc>
              <w:tc>
                <w:tcPr>
                  <w:tcW w:w="458" w:type="pct"/>
                  <w:vMerge w:val="restart"/>
                  <w:noWrap w:val="0"/>
                  <w:vAlign w:val="center"/>
                </w:tcPr>
                <w:p w14:paraId="35F54AB3">
                  <w:pPr>
                    <w:keepNext w:val="0"/>
                    <w:keepLines w:val="0"/>
                    <w:pageBreakBefore w:val="0"/>
                    <w:widowControl w:val="0"/>
                    <w:kinsoku/>
                    <w:wordWrap/>
                    <w:overflowPunct/>
                    <w:topLinePunct w:val="0"/>
                    <w:autoSpaceDE/>
                    <w:autoSpaceDN/>
                    <w:bidi w:val="0"/>
                    <w:adjustRightInd/>
                    <w:snapToGrid/>
                    <w:jc w:val="center"/>
                    <w:textAlignment w:val="auto"/>
                    <w:rPr>
                      <w:rFonts w:ascii="Calibri" w:hAnsi="宋体"/>
                      <w:color w:val="auto"/>
                      <w:szCs w:val="21"/>
                    </w:rPr>
                  </w:pPr>
                  <w:r>
                    <w:rPr>
                      <w:rFonts w:hint="eastAsia" w:ascii="宋体" w:hAnsi="宋体"/>
                      <w:color w:val="auto"/>
                    </w:rPr>
                    <w:t>相对厂址方位</w:t>
                  </w:r>
                </w:p>
              </w:tc>
              <w:tc>
                <w:tcPr>
                  <w:tcW w:w="615" w:type="pct"/>
                  <w:vMerge w:val="restart"/>
                  <w:noWrap w:val="0"/>
                  <w:vAlign w:val="center"/>
                </w:tcPr>
                <w:p w14:paraId="274EE7C8">
                  <w:pPr>
                    <w:keepNext w:val="0"/>
                    <w:keepLines w:val="0"/>
                    <w:pageBreakBefore w:val="0"/>
                    <w:widowControl w:val="0"/>
                    <w:kinsoku/>
                    <w:wordWrap/>
                    <w:overflowPunct/>
                    <w:topLinePunct w:val="0"/>
                    <w:autoSpaceDE/>
                    <w:autoSpaceDN/>
                    <w:bidi w:val="0"/>
                    <w:adjustRightInd/>
                    <w:snapToGrid/>
                    <w:jc w:val="center"/>
                    <w:textAlignment w:val="auto"/>
                    <w:rPr>
                      <w:rFonts w:ascii="Calibri" w:hAnsi="宋体"/>
                      <w:color w:val="auto"/>
                      <w:szCs w:val="21"/>
                    </w:rPr>
                  </w:pPr>
                  <w:r>
                    <w:rPr>
                      <w:rFonts w:hint="eastAsia" w:ascii="宋体" w:hAnsi="宋体"/>
                      <w:color w:val="auto"/>
                    </w:rPr>
                    <w:t>相对厂界距离</w:t>
                  </w:r>
                  <w:r>
                    <w:rPr>
                      <w:rFonts w:hAnsi="宋体"/>
                      <w:color w:val="auto"/>
                    </w:rPr>
                    <w:t>/m</w:t>
                  </w:r>
                </w:p>
              </w:tc>
            </w:tr>
            <w:tr w14:paraId="03169E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271" w:type="pct"/>
                  <w:vMerge w:val="continue"/>
                  <w:noWrap w:val="0"/>
                  <w:vAlign w:val="center"/>
                </w:tcPr>
                <w:p w14:paraId="4372A622">
                  <w:pPr>
                    <w:keepNext w:val="0"/>
                    <w:keepLines w:val="0"/>
                    <w:pageBreakBefore w:val="0"/>
                    <w:widowControl w:val="0"/>
                    <w:kinsoku/>
                    <w:wordWrap/>
                    <w:overflowPunct/>
                    <w:topLinePunct w:val="0"/>
                    <w:autoSpaceDE/>
                    <w:autoSpaceDN/>
                    <w:bidi w:val="0"/>
                    <w:adjustRightInd/>
                    <w:snapToGrid/>
                    <w:jc w:val="left"/>
                    <w:textAlignment w:val="auto"/>
                    <w:rPr>
                      <w:rFonts w:ascii="Calibri" w:hAnsi="宋体"/>
                      <w:color w:val="auto"/>
                      <w:szCs w:val="21"/>
                    </w:rPr>
                  </w:pPr>
                </w:p>
              </w:tc>
              <w:tc>
                <w:tcPr>
                  <w:tcW w:w="626" w:type="pct"/>
                  <w:vMerge w:val="continue"/>
                  <w:noWrap w:val="0"/>
                  <w:vAlign w:val="center"/>
                </w:tcPr>
                <w:p w14:paraId="20EB156A">
                  <w:pPr>
                    <w:keepNext w:val="0"/>
                    <w:keepLines w:val="0"/>
                    <w:pageBreakBefore w:val="0"/>
                    <w:widowControl w:val="0"/>
                    <w:kinsoku/>
                    <w:wordWrap/>
                    <w:overflowPunct/>
                    <w:topLinePunct w:val="0"/>
                    <w:autoSpaceDE/>
                    <w:autoSpaceDN/>
                    <w:bidi w:val="0"/>
                    <w:adjustRightInd/>
                    <w:snapToGrid/>
                    <w:jc w:val="left"/>
                    <w:textAlignment w:val="auto"/>
                    <w:rPr>
                      <w:rFonts w:ascii="Calibri" w:hAnsi="宋体"/>
                      <w:color w:val="auto"/>
                      <w:szCs w:val="21"/>
                    </w:rPr>
                  </w:pPr>
                </w:p>
              </w:tc>
              <w:tc>
                <w:tcPr>
                  <w:tcW w:w="782" w:type="pct"/>
                  <w:noWrap w:val="0"/>
                  <w:vAlign w:val="center"/>
                </w:tcPr>
                <w:p w14:paraId="3FB1DEA6">
                  <w:pPr>
                    <w:keepNext w:val="0"/>
                    <w:keepLines w:val="0"/>
                    <w:pageBreakBefore w:val="0"/>
                    <w:widowControl w:val="0"/>
                    <w:kinsoku/>
                    <w:wordWrap/>
                    <w:overflowPunct/>
                    <w:topLinePunct w:val="0"/>
                    <w:autoSpaceDE/>
                    <w:autoSpaceDN/>
                    <w:bidi w:val="0"/>
                    <w:adjustRightInd/>
                    <w:snapToGrid/>
                    <w:jc w:val="center"/>
                    <w:textAlignment w:val="auto"/>
                    <w:rPr>
                      <w:rFonts w:ascii="Calibri" w:hAnsi="宋体"/>
                      <w:color w:val="auto"/>
                      <w:szCs w:val="21"/>
                    </w:rPr>
                  </w:pPr>
                  <w:r>
                    <w:rPr>
                      <w:rFonts w:hint="eastAsia" w:hAnsi="宋体"/>
                      <w:color w:val="auto"/>
                    </w:rPr>
                    <w:t>东经</w:t>
                  </w:r>
                </w:p>
              </w:tc>
              <w:tc>
                <w:tcPr>
                  <w:tcW w:w="740" w:type="pct"/>
                  <w:noWrap w:val="0"/>
                  <w:vAlign w:val="center"/>
                </w:tcPr>
                <w:p w14:paraId="1203E414">
                  <w:pPr>
                    <w:keepNext w:val="0"/>
                    <w:keepLines w:val="0"/>
                    <w:pageBreakBefore w:val="0"/>
                    <w:widowControl w:val="0"/>
                    <w:kinsoku/>
                    <w:wordWrap/>
                    <w:overflowPunct/>
                    <w:topLinePunct w:val="0"/>
                    <w:autoSpaceDE/>
                    <w:autoSpaceDN/>
                    <w:bidi w:val="0"/>
                    <w:adjustRightInd/>
                    <w:snapToGrid/>
                    <w:jc w:val="center"/>
                    <w:textAlignment w:val="auto"/>
                    <w:rPr>
                      <w:rFonts w:ascii="Calibri" w:hAnsi="宋体"/>
                      <w:color w:val="auto"/>
                      <w:szCs w:val="21"/>
                    </w:rPr>
                  </w:pPr>
                  <w:r>
                    <w:rPr>
                      <w:rFonts w:hint="eastAsia" w:hAnsi="宋体"/>
                      <w:color w:val="auto"/>
                    </w:rPr>
                    <w:t>北纬</w:t>
                  </w:r>
                </w:p>
              </w:tc>
              <w:tc>
                <w:tcPr>
                  <w:tcW w:w="454" w:type="pct"/>
                  <w:vMerge w:val="continue"/>
                  <w:noWrap w:val="0"/>
                  <w:vAlign w:val="center"/>
                </w:tcPr>
                <w:p w14:paraId="68B29A4A">
                  <w:pPr>
                    <w:keepNext w:val="0"/>
                    <w:keepLines w:val="0"/>
                    <w:pageBreakBefore w:val="0"/>
                    <w:widowControl w:val="0"/>
                    <w:kinsoku/>
                    <w:wordWrap/>
                    <w:overflowPunct/>
                    <w:topLinePunct w:val="0"/>
                    <w:autoSpaceDE/>
                    <w:autoSpaceDN/>
                    <w:bidi w:val="0"/>
                    <w:adjustRightInd/>
                    <w:snapToGrid/>
                    <w:jc w:val="left"/>
                    <w:textAlignment w:val="auto"/>
                    <w:rPr>
                      <w:rFonts w:ascii="Calibri" w:hAnsi="宋体"/>
                      <w:color w:val="auto"/>
                      <w:szCs w:val="21"/>
                    </w:rPr>
                  </w:pPr>
                </w:p>
              </w:tc>
              <w:tc>
                <w:tcPr>
                  <w:tcW w:w="592" w:type="pct"/>
                  <w:vMerge w:val="continue"/>
                  <w:noWrap w:val="0"/>
                  <w:vAlign w:val="center"/>
                </w:tcPr>
                <w:p w14:paraId="67A7C457">
                  <w:pPr>
                    <w:keepNext w:val="0"/>
                    <w:keepLines w:val="0"/>
                    <w:pageBreakBefore w:val="0"/>
                    <w:widowControl w:val="0"/>
                    <w:kinsoku/>
                    <w:wordWrap/>
                    <w:overflowPunct/>
                    <w:topLinePunct w:val="0"/>
                    <w:autoSpaceDE/>
                    <w:autoSpaceDN/>
                    <w:bidi w:val="0"/>
                    <w:adjustRightInd/>
                    <w:snapToGrid/>
                    <w:jc w:val="left"/>
                    <w:textAlignment w:val="auto"/>
                    <w:rPr>
                      <w:rFonts w:ascii="Calibri" w:hAnsi="宋体"/>
                      <w:color w:val="auto"/>
                      <w:szCs w:val="21"/>
                    </w:rPr>
                  </w:pPr>
                </w:p>
              </w:tc>
              <w:tc>
                <w:tcPr>
                  <w:tcW w:w="458" w:type="pct"/>
                  <w:vMerge w:val="continue"/>
                  <w:noWrap w:val="0"/>
                  <w:vAlign w:val="center"/>
                </w:tcPr>
                <w:p w14:paraId="049F643D">
                  <w:pPr>
                    <w:keepNext w:val="0"/>
                    <w:keepLines w:val="0"/>
                    <w:pageBreakBefore w:val="0"/>
                    <w:widowControl w:val="0"/>
                    <w:kinsoku/>
                    <w:wordWrap/>
                    <w:overflowPunct/>
                    <w:topLinePunct w:val="0"/>
                    <w:autoSpaceDE/>
                    <w:autoSpaceDN/>
                    <w:bidi w:val="0"/>
                    <w:adjustRightInd/>
                    <w:snapToGrid/>
                    <w:jc w:val="left"/>
                    <w:textAlignment w:val="auto"/>
                    <w:rPr>
                      <w:rFonts w:ascii="Calibri" w:hAnsi="宋体"/>
                      <w:color w:val="auto"/>
                      <w:szCs w:val="21"/>
                    </w:rPr>
                  </w:pPr>
                </w:p>
              </w:tc>
              <w:tc>
                <w:tcPr>
                  <w:tcW w:w="458" w:type="pct"/>
                  <w:vMerge w:val="continue"/>
                  <w:noWrap w:val="0"/>
                  <w:vAlign w:val="center"/>
                </w:tcPr>
                <w:p w14:paraId="627BBA00">
                  <w:pPr>
                    <w:keepNext w:val="0"/>
                    <w:keepLines w:val="0"/>
                    <w:pageBreakBefore w:val="0"/>
                    <w:widowControl w:val="0"/>
                    <w:kinsoku/>
                    <w:wordWrap/>
                    <w:overflowPunct/>
                    <w:topLinePunct w:val="0"/>
                    <w:autoSpaceDE/>
                    <w:autoSpaceDN/>
                    <w:bidi w:val="0"/>
                    <w:adjustRightInd/>
                    <w:snapToGrid/>
                    <w:jc w:val="left"/>
                    <w:textAlignment w:val="auto"/>
                    <w:rPr>
                      <w:rFonts w:ascii="Calibri" w:hAnsi="宋体"/>
                      <w:color w:val="auto"/>
                      <w:szCs w:val="21"/>
                    </w:rPr>
                  </w:pPr>
                </w:p>
              </w:tc>
              <w:tc>
                <w:tcPr>
                  <w:tcW w:w="615" w:type="pct"/>
                  <w:vMerge w:val="continue"/>
                  <w:noWrap w:val="0"/>
                  <w:vAlign w:val="center"/>
                </w:tcPr>
                <w:p w14:paraId="231D2C5C">
                  <w:pPr>
                    <w:keepNext w:val="0"/>
                    <w:keepLines w:val="0"/>
                    <w:pageBreakBefore w:val="0"/>
                    <w:widowControl w:val="0"/>
                    <w:kinsoku/>
                    <w:wordWrap/>
                    <w:overflowPunct/>
                    <w:topLinePunct w:val="0"/>
                    <w:autoSpaceDE/>
                    <w:autoSpaceDN/>
                    <w:bidi w:val="0"/>
                    <w:adjustRightInd/>
                    <w:snapToGrid/>
                    <w:jc w:val="left"/>
                    <w:textAlignment w:val="auto"/>
                    <w:rPr>
                      <w:rFonts w:ascii="Calibri" w:hAnsi="宋体"/>
                      <w:color w:val="auto"/>
                      <w:szCs w:val="21"/>
                    </w:rPr>
                  </w:pPr>
                </w:p>
              </w:tc>
            </w:tr>
            <w:tr w14:paraId="6D0AD4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71" w:type="pct"/>
                  <w:shd w:val="clear" w:color="auto" w:fill="auto"/>
                  <w:noWrap w:val="0"/>
                  <w:vAlign w:val="center"/>
                </w:tcPr>
                <w:p w14:paraId="584CB484">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lang w:val="en-US" w:eastAsia="zh-CN"/>
                    </w:rPr>
                    <w:t>1</w:t>
                  </w:r>
                </w:p>
              </w:tc>
              <w:tc>
                <w:tcPr>
                  <w:tcW w:w="626" w:type="pct"/>
                  <w:shd w:val="clear" w:color="auto" w:fill="auto"/>
                  <w:noWrap w:val="0"/>
                  <w:vAlign w:val="center"/>
                </w:tcPr>
                <w:p w14:paraId="5BCC331C">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Times New Roman"/>
                      <w:color w:val="auto"/>
                      <w:lang w:val="en-US" w:eastAsia="zh-CN"/>
                    </w:rPr>
                  </w:pPr>
                  <w:r>
                    <w:rPr>
                      <w:rFonts w:hint="eastAsia" w:ascii="宋体" w:hAnsi="宋体" w:cs="Times New Roman"/>
                      <w:color w:val="auto"/>
                      <w:lang w:val="en-US" w:eastAsia="zh-CN"/>
                    </w:rPr>
                    <w:t>双鸭山市第三医院</w:t>
                  </w:r>
                </w:p>
              </w:tc>
              <w:tc>
                <w:tcPr>
                  <w:tcW w:w="782" w:type="pct"/>
                  <w:noWrap w:val="0"/>
                  <w:vAlign w:val="center"/>
                </w:tcPr>
                <w:p w14:paraId="47626304">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lang w:val="en-US" w:eastAsia="zh-CN"/>
                    </w:rPr>
                  </w:pPr>
                  <w:r>
                    <w:rPr>
                      <w:rFonts w:hint="eastAsia"/>
                    </w:rPr>
                    <w:t>131.16814</w:t>
                  </w:r>
                  <w:r>
                    <w:rPr>
                      <w:rFonts w:hint="eastAsia"/>
                      <w:lang w:val="en-US" w:eastAsia="zh-CN"/>
                    </w:rPr>
                    <w:t>2</w:t>
                  </w:r>
                </w:p>
              </w:tc>
              <w:tc>
                <w:tcPr>
                  <w:tcW w:w="740" w:type="pct"/>
                  <w:noWrap w:val="0"/>
                  <w:vAlign w:val="center"/>
                </w:tcPr>
                <w:p w14:paraId="09F84DAB">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lang w:eastAsia="zh-CN"/>
                    </w:rPr>
                  </w:pPr>
                  <w:r>
                    <w:rPr>
                      <w:rFonts w:hint="eastAsia"/>
                    </w:rPr>
                    <w:t>46.61561</w:t>
                  </w:r>
                  <w:r>
                    <w:rPr>
                      <w:rFonts w:hint="eastAsia"/>
                      <w:lang w:val="en-US" w:eastAsia="zh-CN"/>
                    </w:rPr>
                    <w:t>1</w:t>
                  </w:r>
                </w:p>
              </w:tc>
              <w:tc>
                <w:tcPr>
                  <w:tcW w:w="454" w:type="pct"/>
                  <w:noWrap w:val="0"/>
                  <w:vAlign w:val="center"/>
                </w:tcPr>
                <w:p w14:paraId="0907256E">
                  <w:pPr>
                    <w:keepNext w:val="0"/>
                    <w:keepLines w:val="0"/>
                    <w:pageBreakBefore w:val="0"/>
                    <w:widowControl w:val="0"/>
                    <w:kinsoku/>
                    <w:wordWrap/>
                    <w:overflowPunct/>
                    <w:topLinePunct w:val="0"/>
                    <w:autoSpaceDE/>
                    <w:autoSpaceDN/>
                    <w:bidi w:val="0"/>
                    <w:adjustRightInd/>
                    <w:snapToGrid/>
                    <w:jc w:val="center"/>
                    <w:textAlignment w:val="auto"/>
                    <w:rPr>
                      <w:rFonts w:hint="eastAsia" w:ascii="Calibri" w:hAnsi="宋体" w:eastAsia="宋体"/>
                      <w:color w:val="auto"/>
                      <w:szCs w:val="21"/>
                      <w:lang w:eastAsia="zh-CN"/>
                    </w:rPr>
                  </w:pPr>
                  <w:r>
                    <w:rPr>
                      <w:rFonts w:hint="eastAsia" w:ascii="宋体" w:hAnsi="宋体"/>
                      <w:color w:val="auto"/>
                      <w:lang w:val="en-US" w:eastAsia="zh-CN"/>
                    </w:rPr>
                    <w:t>医院</w:t>
                  </w:r>
                </w:p>
              </w:tc>
              <w:tc>
                <w:tcPr>
                  <w:tcW w:w="592" w:type="pct"/>
                  <w:noWrap w:val="0"/>
                  <w:vAlign w:val="center"/>
                </w:tcPr>
                <w:p w14:paraId="2E69E7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人群约1500人</w:t>
                  </w:r>
                </w:p>
              </w:tc>
              <w:tc>
                <w:tcPr>
                  <w:tcW w:w="458" w:type="pct"/>
                  <w:noWrap w:val="0"/>
                  <w:vAlign w:val="center"/>
                </w:tcPr>
                <w:p w14:paraId="0338DDBD">
                  <w:pPr>
                    <w:keepNext w:val="0"/>
                    <w:keepLines w:val="0"/>
                    <w:pageBreakBefore w:val="0"/>
                    <w:widowControl w:val="0"/>
                    <w:kinsoku/>
                    <w:wordWrap/>
                    <w:overflowPunct/>
                    <w:topLinePunct w:val="0"/>
                    <w:autoSpaceDE/>
                    <w:autoSpaceDN/>
                    <w:bidi w:val="0"/>
                    <w:adjustRightInd/>
                    <w:snapToGrid/>
                    <w:jc w:val="center"/>
                    <w:textAlignment w:val="auto"/>
                    <w:rPr>
                      <w:rFonts w:ascii="Calibri" w:hAnsi="宋体"/>
                      <w:color w:val="auto"/>
                      <w:szCs w:val="21"/>
                    </w:rPr>
                  </w:pPr>
                  <w:r>
                    <w:rPr>
                      <w:rFonts w:hint="eastAsia" w:ascii="宋体" w:hAnsi="宋体"/>
                      <w:color w:val="auto"/>
                    </w:rPr>
                    <w:t>二类</w:t>
                  </w:r>
                </w:p>
              </w:tc>
              <w:tc>
                <w:tcPr>
                  <w:tcW w:w="458" w:type="pct"/>
                  <w:shd w:val="clear" w:color="auto" w:fill="auto"/>
                  <w:noWrap w:val="0"/>
                  <w:vAlign w:val="center"/>
                </w:tcPr>
                <w:p w14:paraId="69FF249E">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NW</w:t>
                  </w:r>
                </w:p>
              </w:tc>
              <w:tc>
                <w:tcPr>
                  <w:tcW w:w="615" w:type="pct"/>
                  <w:shd w:val="clear" w:color="auto" w:fill="auto"/>
                  <w:noWrap w:val="0"/>
                  <w:vAlign w:val="center"/>
                </w:tcPr>
                <w:p w14:paraId="717CE67B">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约200</w:t>
                  </w:r>
                </w:p>
              </w:tc>
            </w:tr>
            <w:tr w14:paraId="17E516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71" w:type="pct"/>
                  <w:shd w:val="clear" w:color="auto" w:fill="auto"/>
                  <w:noWrap w:val="0"/>
                  <w:vAlign w:val="center"/>
                </w:tcPr>
                <w:p w14:paraId="694B9AD7">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2</w:t>
                  </w:r>
                </w:p>
              </w:tc>
              <w:tc>
                <w:tcPr>
                  <w:tcW w:w="626" w:type="pct"/>
                  <w:shd w:val="clear" w:color="auto" w:fill="auto"/>
                  <w:noWrap w:val="0"/>
                  <w:vAlign w:val="center"/>
                </w:tcPr>
                <w:p w14:paraId="5578E4C5">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Times New Roman"/>
                      <w:color w:val="auto"/>
                      <w:lang w:val="en-US" w:eastAsia="zh-CN"/>
                    </w:rPr>
                  </w:pPr>
                  <w:r>
                    <w:rPr>
                      <w:rFonts w:hint="eastAsia" w:ascii="宋体" w:hAnsi="宋体" w:cs="Times New Roman"/>
                      <w:color w:val="auto"/>
                      <w:lang w:val="en-US" w:eastAsia="zh-CN"/>
                    </w:rPr>
                    <w:t>双鸭山市第四医院</w:t>
                  </w:r>
                </w:p>
              </w:tc>
              <w:tc>
                <w:tcPr>
                  <w:tcW w:w="782" w:type="pct"/>
                  <w:noWrap w:val="0"/>
                  <w:vAlign w:val="center"/>
                </w:tcPr>
                <w:p w14:paraId="0F48FB20">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rPr>
                  </w:pPr>
                  <w:r>
                    <w:rPr>
                      <w:rFonts w:hint="eastAsia"/>
                      <w:color w:val="auto"/>
                    </w:rPr>
                    <w:t>131.16630</w:t>
                  </w:r>
                  <w:r>
                    <w:rPr>
                      <w:rFonts w:hint="eastAsia"/>
                      <w:color w:val="auto"/>
                      <w:lang w:val="en-US" w:eastAsia="zh-CN"/>
                    </w:rPr>
                    <w:t>1</w:t>
                  </w:r>
                </w:p>
              </w:tc>
              <w:tc>
                <w:tcPr>
                  <w:tcW w:w="740" w:type="pct"/>
                  <w:noWrap w:val="0"/>
                  <w:vAlign w:val="center"/>
                </w:tcPr>
                <w:p w14:paraId="346FF556">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rPr>
                  </w:pPr>
                  <w:r>
                    <w:rPr>
                      <w:rFonts w:hint="eastAsia"/>
                      <w:color w:val="auto"/>
                    </w:rPr>
                    <w:t>46.61614</w:t>
                  </w:r>
                  <w:r>
                    <w:rPr>
                      <w:rFonts w:hint="eastAsia"/>
                      <w:color w:val="auto"/>
                      <w:lang w:val="en-US" w:eastAsia="zh-CN"/>
                    </w:rPr>
                    <w:t>5</w:t>
                  </w:r>
                </w:p>
              </w:tc>
              <w:tc>
                <w:tcPr>
                  <w:tcW w:w="454" w:type="pct"/>
                  <w:shd w:val="clear" w:color="auto" w:fill="auto"/>
                  <w:noWrap w:val="0"/>
                  <w:vAlign w:val="center"/>
                </w:tcPr>
                <w:p w14:paraId="2D8107CA">
                  <w:pPr>
                    <w:keepNext w:val="0"/>
                    <w:keepLines w:val="0"/>
                    <w:pageBreakBefore w:val="0"/>
                    <w:widowControl w:val="0"/>
                    <w:kinsoku/>
                    <w:wordWrap/>
                    <w:overflowPunct/>
                    <w:topLinePunct w:val="0"/>
                    <w:autoSpaceDE/>
                    <w:autoSpaceDN/>
                    <w:bidi w:val="0"/>
                    <w:adjustRightInd/>
                    <w:snapToGrid/>
                    <w:jc w:val="center"/>
                    <w:textAlignment w:val="auto"/>
                    <w:rPr>
                      <w:rFonts w:hint="eastAsia" w:ascii="Calibri" w:hAnsi="宋体" w:eastAsia="宋体" w:cs="Times New Roman"/>
                      <w:color w:val="auto"/>
                      <w:kern w:val="2"/>
                      <w:sz w:val="21"/>
                      <w:szCs w:val="21"/>
                      <w:lang w:val="en-US" w:eastAsia="zh-CN" w:bidi="ar-SA"/>
                    </w:rPr>
                  </w:pPr>
                  <w:r>
                    <w:rPr>
                      <w:rFonts w:hint="eastAsia" w:ascii="宋体" w:hAnsi="宋体"/>
                      <w:color w:val="auto"/>
                      <w:lang w:val="en-US" w:eastAsia="zh-CN"/>
                    </w:rPr>
                    <w:t>医院</w:t>
                  </w:r>
                </w:p>
              </w:tc>
              <w:tc>
                <w:tcPr>
                  <w:tcW w:w="592" w:type="pct"/>
                  <w:shd w:val="clear" w:color="auto" w:fill="auto"/>
                  <w:noWrap w:val="0"/>
                  <w:vAlign w:val="center"/>
                </w:tcPr>
                <w:p w14:paraId="7810C3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人群约1000人</w:t>
                  </w:r>
                </w:p>
              </w:tc>
              <w:tc>
                <w:tcPr>
                  <w:tcW w:w="458" w:type="pct"/>
                  <w:noWrap w:val="0"/>
                  <w:vAlign w:val="center"/>
                </w:tcPr>
                <w:p w14:paraId="47C1C3FF">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color w:val="auto"/>
                    </w:rPr>
                  </w:pPr>
                  <w:r>
                    <w:rPr>
                      <w:rFonts w:hint="eastAsia" w:ascii="宋体" w:hAnsi="宋体"/>
                      <w:color w:val="auto"/>
                    </w:rPr>
                    <w:t>二类</w:t>
                  </w:r>
                </w:p>
              </w:tc>
              <w:tc>
                <w:tcPr>
                  <w:tcW w:w="458" w:type="pct"/>
                  <w:shd w:val="clear" w:color="auto" w:fill="auto"/>
                  <w:noWrap w:val="0"/>
                  <w:vAlign w:val="center"/>
                </w:tcPr>
                <w:p w14:paraId="258F32FE">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NW</w:t>
                  </w:r>
                </w:p>
              </w:tc>
              <w:tc>
                <w:tcPr>
                  <w:tcW w:w="615" w:type="pct"/>
                  <w:shd w:val="clear" w:color="auto" w:fill="auto"/>
                  <w:noWrap w:val="0"/>
                  <w:vAlign w:val="center"/>
                </w:tcPr>
                <w:p w14:paraId="3B4A98F6">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约320</w:t>
                  </w:r>
                </w:p>
              </w:tc>
            </w:tr>
            <w:tr w14:paraId="25CF2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71" w:type="pct"/>
                  <w:shd w:val="clear" w:color="auto" w:fill="auto"/>
                  <w:noWrap w:val="0"/>
                  <w:vAlign w:val="center"/>
                </w:tcPr>
                <w:p w14:paraId="1871D024">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3</w:t>
                  </w:r>
                </w:p>
              </w:tc>
              <w:tc>
                <w:tcPr>
                  <w:tcW w:w="626" w:type="pct"/>
                  <w:shd w:val="clear" w:color="auto" w:fill="auto"/>
                  <w:noWrap w:val="0"/>
                  <w:vAlign w:val="center"/>
                </w:tcPr>
                <w:p w14:paraId="690A6CCD">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Times New Roman"/>
                      <w:color w:val="auto"/>
                      <w:lang w:val="en-US" w:eastAsia="zh-CN"/>
                    </w:rPr>
                  </w:pPr>
                  <w:r>
                    <w:rPr>
                      <w:rFonts w:hint="eastAsia" w:ascii="宋体" w:hAnsi="宋体" w:cs="Times New Roman"/>
                      <w:color w:val="auto"/>
                      <w:lang w:val="en-US" w:eastAsia="zh-CN"/>
                    </w:rPr>
                    <w:t>富兴村</w:t>
                  </w:r>
                </w:p>
              </w:tc>
              <w:tc>
                <w:tcPr>
                  <w:tcW w:w="782" w:type="pct"/>
                  <w:noWrap w:val="0"/>
                  <w:vAlign w:val="center"/>
                </w:tcPr>
                <w:p w14:paraId="7651C603">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lang w:eastAsia="zh-CN"/>
                    </w:rPr>
                  </w:pPr>
                  <w:r>
                    <w:rPr>
                      <w:rFonts w:hint="eastAsia"/>
                    </w:rPr>
                    <w:t>131.17824</w:t>
                  </w:r>
                  <w:r>
                    <w:rPr>
                      <w:rFonts w:hint="eastAsia"/>
                      <w:lang w:val="en-US" w:eastAsia="zh-CN"/>
                    </w:rPr>
                    <w:t>6</w:t>
                  </w:r>
                </w:p>
              </w:tc>
              <w:tc>
                <w:tcPr>
                  <w:tcW w:w="740" w:type="pct"/>
                  <w:noWrap w:val="0"/>
                  <w:vAlign w:val="center"/>
                </w:tcPr>
                <w:p w14:paraId="11F2A876">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rPr>
                  </w:pPr>
                  <w:r>
                    <w:rPr>
                      <w:rFonts w:hint="eastAsia"/>
                    </w:rPr>
                    <w:t>46.613026</w:t>
                  </w:r>
                </w:p>
              </w:tc>
              <w:tc>
                <w:tcPr>
                  <w:tcW w:w="454" w:type="pct"/>
                  <w:noWrap w:val="0"/>
                  <w:vAlign w:val="center"/>
                </w:tcPr>
                <w:p w14:paraId="652B8419">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olor w:val="auto"/>
                      <w:lang w:val="en-US" w:eastAsia="zh-CN"/>
                    </w:rPr>
                  </w:pPr>
                  <w:r>
                    <w:rPr>
                      <w:rFonts w:hint="eastAsia" w:ascii="宋体" w:hAnsi="宋体"/>
                      <w:color w:val="auto"/>
                      <w:lang w:val="en-US" w:eastAsia="zh-CN"/>
                    </w:rPr>
                    <w:t>村屯</w:t>
                  </w:r>
                </w:p>
              </w:tc>
              <w:tc>
                <w:tcPr>
                  <w:tcW w:w="592" w:type="pct"/>
                  <w:noWrap w:val="0"/>
                  <w:vAlign w:val="center"/>
                </w:tcPr>
                <w:p w14:paraId="758A3DB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居民</w:t>
                  </w:r>
                  <w:r>
                    <w:rPr>
                      <w:rFonts w:hint="eastAsia" w:cs="Times New Roman"/>
                      <w:color w:val="auto"/>
                      <w:kern w:val="2"/>
                      <w:sz w:val="21"/>
                      <w:szCs w:val="21"/>
                      <w:highlight w:val="none"/>
                      <w:lang w:val="en-US" w:eastAsia="zh-CN" w:bidi="ar-SA"/>
                    </w:rPr>
                    <w:t>约120人</w:t>
                  </w:r>
                </w:p>
              </w:tc>
              <w:tc>
                <w:tcPr>
                  <w:tcW w:w="458" w:type="pct"/>
                  <w:noWrap w:val="0"/>
                  <w:vAlign w:val="center"/>
                </w:tcPr>
                <w:p w14:paraId="4BBD38A6">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color w:val="auto"/>
                    </w:rPr>
                  </w:pPr>
                  <w:r>
                    <w:rPr>
                      <w:rFonts w:hint="eastAsia" w:ascii="宋体" w:hAnsi="宋体"/>
                      <w:color w:val="auto"/>
                    </w:rPr>
                    <w:t>二类</w:t>
                  </w:r>
                </w:p>
              </w:tc>
              <w:tc>
                <w:tcPr>
                  <w:tcW w:w="458" w:type="pct"/>
                  <w:shd w:val="clear" w:color="auto" w:fill="auto"/>
                  <w:noWrap w:val="0"/>
                  <w:vAlign w:val="center"/>
                </w:tcPr>
                <w:p w14:paraId="2AD7F720">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E</w:t>
                  </w:r>
                </w:p>
              </w:tc>
              <w:tc>
                <w:tcPr>
                  <w:tcW w:w="615" w:type="pct"/>
                  <w:shd w:val="clear" w:color="auto" w:fill="auto"/>
                  <w:noWrap w:val="0"/>
                  <w:vAlign w:val="center"/>
                </w:tcPr>
                <w:p w14:paraId="2588AC49">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约370</w:t>
                  </w:r>
                </w:p>
              </w:tc>
            </w:tr>
            <w:tr w14:paraId="7CCB7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71" w:type="pct"/>
                  <w:shd w:val="clear" w:color="auto" w:fill="auto"/>
                  <w:noWrap w:val="0"/>
                  <w:vAlign w:val="center"/>
                </w:tcPr>
                <w:p w14:paraId="5132ADCB">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4</w:t>
                  </w:r>
                </w:p>
              </w:tc>
              <w:tc>
                <w:tcPr>
                  <w:tcW w:w="626" w:type="pct"/>
                  <w:shd w:val="clear" w:color="auto" w:fill="auto"/>
                  <w:noWrap w:val="0"/>
                  <w:vAlign w:val="center"/>
                </w:tcPr>
                <w:p w14:paraId="5D719187">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Times New Roman"/>
                      <w:color w:val="auto"/>
                      <w:lang w:val="en-US" w:eastAsia="zh-CN"/>
                    </w:rPr>
                  </w:pPr>
                  <w:r>
                    <w:rPr>
                      <w:rFonts w:hint="eastAsia" w:ascii="宋体" w:hAnsi="宋体" w:cs="Times New Roman"/>
                      <w:color w:val="auto"/>
                      <w:lang w:val="en-US" w:eastAsia="zh-CN"/>
                    </w:rPr>
                    <w:t>窑地村</w:t>
                  </w:r>
                </w:p>
              </w:tc>
              <w:tc>
                <w:tcPr>
                  <w:tcW w:w="782" w:type="pct"/>
                  <w:noWrap w:val="0"/>
                  <w:vAlign w:val="center"/>
                </w:tcPr>
                <w:p w14:paraId="56FCB807">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rPr>
                  </w:pPr>
                  <w:r>
                    <w:rPr>
                      <w:rFonts w:hint="eastAsia"/>
                    </w:rPr>
                    <w:t>131.164737</w:t>
                  </w:r>
                </w:p>
              </w:tc>
              <w:tc>
                <w:tcPr>
                  <w:tcW w:w="740" w:type="pct"/>
                  <w:noWrap w:val="0"/>
                  <w:vAlign w:val="center"/>
                </w:tcPr>
                <w:p w14:paraId="47B32C44">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lang w:eastAsia="zh-CN"/>
                    </w:rPr>
                  </w:pPr>
                  <w:r>
                    <w:rPr>
                      <w:rFonts w:hint="eastAsia"/>
                    </w:rPr>
                    <w:t>46.61215</w:t>
                  </w:r>
                  <w:r>
                    <w:rPr>
                      <w:rFonts w:hint="eastAsia"/>
                      <w:lang w:val="en-US" w:eastAsia="zh-CN"/>
                    </w:rPr>
                    <w:t>2</w:t>
                  </w:r>
                </w:p>
              </w:tc>
              <w:tc>
                <w:tcPr>
                  <w:tcW w:w="454" w:type="pct"/>
                  <w:noWrap w:val="0"/>
                  <w:vAlign w:val="center"/>
                </w:tcPr>
                <w:p w14:paraId="5ED68E14">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olor w:val="auto"/>
                      <w:lang w:val="en-US" w:eastAsia="zh-CN"/>
                    </w:rPr>
                  </w:pPr>
                  <w:r>
                    <w:rPr>
                      <w:rFonts w:hint="eastAsia" w:ascii="宋体" w:hAnsi="宋体"/>
                      <w:color w:val="auto"/>
                      <w:lang w:val="en-US" w:eastAsia="zh-CN"/>
                    </w:rPr>
                    <w:t>村屯</w:t>
                  </w:r>
                </w:p>
              </w:tc>
              <w:tc>
                <w:tcPr>
                  <w:tcW w:w="592" w:type="pct"/>
                  <w:noWrap w:val="0"/>
                  <w:vAlign w:val="center"/>
                </w:tcPr>
                <w:p w14:paraId="37B693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居民</w:t>
                  </w:r>
                  <w:r>
                    <w:rPr>
                      <w:rFonts w:hint="eastAsia" w:cs="Times New Roman"/>
                      <w:color w:val="auto"/>
                      <w:kern w:val="2"/>
                      <w:sz w:val="21"/>
                      <w:szCs w:val="21"/>
                      <w:highlight w:val="none"/>
                      <w:lang w:val="en-US" w:eastAsia="zh-CN" w:bidi="ar-SA"/>
                    </w:rPr>
                    <w:t>约20人</w:t>
                  </w:r>
                </w:p>
              </w:tc>
              <w:tc>
                <w:tcPr>
                  <w:tcW w:w="458" w:type="pct"/>
                  <w:noWrap w:val="0"/>
                  <w:vAlign w:val="center"/>
                </w:tcPr>
                <w:p w14:paraId="2746FD9A">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color w:val="auto"/>
                    </w:rPr>
                  </w:pPr>
                  <w:r>
                    <w:rPr>
                      <w:rFonts w:hint="eastAsia" w:ascii="宋体" w:hAnsi="宋体"/>
                      <w:color w:val="auto"/>
                    </w:rPr>
                    <w:t>二类</w:t>
                  </w:r>
                </w:p>
              </w:tc>
              <w:tc>
                <w:tcPr>
                  <w:tcW w:w="458" w:type="pct"/>
                  <w:shd w:val="clear" w:color="auto" w:fill="auto"/>
                  <w:noWrap w:val="0"/>
                  <w:vAlign w:val="center"/>
                </w:tcPr>
                <w:p w14:paraId="2B43E032">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SW</w:t>
                  </w:r>
                </w:p>
              </w:tc>
              <w:tc>
                <w:tcPr>
                  <w:tcW w:w="615" w:type="pct"/>
                  <w:shd w:val="clear" w:color="auto" w:fill="auto"/>
                  <w:noWrap w:val="0"/>
                  <w:vAlign w:val="center"/>
                </w:tcPr>
                <w:p w14:paraId="1C0C6153">
                  <w:pPr>
                    <w:pStyle w:val="144"/>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约300</w:t>
                  </w:r>
                </w:p>
              </w:tc>
            </w:tr>
          </w:tbl>
          <w:p w14:paraId="52B4525E">
            <w:pPr>
              <w:pStyle w:val="83"/>
              <w:spacing w:line="360" w:lineRule="auto"/>
              <w:ind w:left="0" w:leftChars="0" w:firstLine="0" w:firstLineChars="0"/>
              <w:jc w:val="both"/>
              <w:rPr>
                <w:rFonts w:hint="eastAsia" w:ascii="Times New Roman" w:hAnsi="Times New Roman" w:eastAsia="宋体" w:cs="Times New Roman"/>
                <w:b/>
                <w:bCs/>
                <w:color w:val="auto"/>
                <w:kern w:val="2"/>
                <w:sz w:val="24"/>
                <w:szCs w:val="24"/>
                <w:highlight w:val="none"/>
                <w:lang w:val="en-US" w:eastAsia="zh-CN" w:bidi="ar-SA"/>
              </w:rPr>
            </w:pPr>
          </w:p>
          <w:p w14:paraId="504D5B7B">
            <w:pPr>
              <w:pStyle w:val="83"/>
              <w:spacing w:line="360" w:lineRule="auto"/>
              <w:ind w:left="0" w:leftChars="0" w:firstLine="0" w:firstLineChars="0"/>
              <w:jc w:val="both"/>
              <w:rPr>
                <w:rFonts w:hint="eastAsia" w:ascii="Times New Roman" w:hAnsi="Times New Roman" w:eastAsia="宋体" w:cs="Times New Roman"/>
                <w:b/>
                <w:bCs/>
                <w:color w:val="auto"/>
                <w:kern w:val="2"/>
                <w:sz w:val="24"/>
                <w:szCs w:val="24"/>
                <w:highlight w:val="none"/>
                <w:lang w:val="en-US" w:eastAsia="zh-CN" w:bidi="ar-SA"/>
              </w:rPr>
            </w:pPr>
          </w:p>
          <w:p w14:paraId="666A409E">
            <w:pPr>
              <w:pStyle w:val="83"/>
              <w:spacing w:line="360" w:lineRule="auto"/>
              <w:ind w:left="0" w:leftChars="0" w:firstLine="0" w:firstLineChars="0"/>
              <w:jc w:val="both"/>
              <w:rPr>
                <w:rFonts w:hint="default" w:ascii="Times New Roman" w:hAnsi="Times New Roman" w:eastAsia="宋体" w:cs="Times New Roman"/>
                <w:b/>
                <w:bCs/>
                <w:color w:val="auto"/>
                <w:kern w:val="2"/>
                <w:sz w:val="24"/>
                <w:szCs w:val="24"/>
                <w:highlight w:val="none"/>
                <w:lang w:val="en-US" w:eastAsia="zh-CN" w:bidi="ar-SA"/>
              </w:rPr>
            </w:pPr>
          </w:p>
          <w:p w14:paraId="2EBA0DE8">
            <w:pPr>
              <w:jc w:val="both"/>
              <w:rPr>
                <w:rFonts w:hint="default"/>
                <w:color w:val="auto"/>
                <w:highlight w:val="none"/>
              </w:rPr>
            </w:pPr>
          </w:p>
        </w:tc>
      </w:tr>
      <w:tr w14:paraId="00010F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800" w:type="dxa"/>
            <w:noWrap w:val="0"/>
            <w:tcMar>
              <w:left w:w="28" w:type="dxa"/>
              <w:right w:w="28" w:type="dxa"/>
            </w:tcMar>
            <w:vAlign w:val="center"/>
          </w:tcPr>
          <w:p w14:paraId="72B0E8F8">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污染</w:t>
            </w:r>
          </w:p>
          <w:p w14:paraId="34386835">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物排</w:t>
            </w:r>
          </w:p>
          <w:p w14:paraId="331C7F9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放控</w:t>
            </w:r>
          </w:p>
          <w:p w14:paraId="64A52FD7">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制标</w:t>
            </w:r>
          </w:p>
          <w:p w14:paraId="3F80B453">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准</w:t>
            </w:r>
          </w:p>
        </w:tc>
        <w:tc>
          <w:tcPr>
            <w:tcW w:w="8190" w:type="dxa"/>
            <w:noWrap w:val="0"/>
            <w:vAlign w:val="center"/>
          </w:tcPr>
          <w:p w14:paraId="3A580FF4">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b/>
                <w:bCs/>
                <w:snapToGrid w:val="0"/>
                <w:color w:val="auto"/>
                <w:kern w:val="0"/>
                <w:sz w:val="24"/>
                <w:szCs w:val="24"/>
              </w:rPr>
            </w:pPr>
            <w:r>
              <w:rPr>
                <w:b/>
                <w:bCs/>
                <w:snapToGrid w:val="0"/>
                <w:color w:val="auto"/>
                <w:kern w:val="0"/>
                <w:sz w:val="24"/>
                <w:szCs w:val="24"/>
              </w:rPr>
              <w:t>一、大气污染物排放标准</w:t>
            </w:r>
          </w:p>
          <w:p w14:paraId="79F65F60">
            <w:pPr>
              <w:adjustRightInd w:val="0"/>
              <w:snapToGrid w:val="0"/>
              <w:spacing w:line="360" w:lineRule="auto"/>
              <w:ind w:firstLine="480" w:firstLineChars="200"/>
              <w:jc w:val="left"/>
              <w:rPr>
                <w:snapToGrid w:val="0"/>
                <w:color w:val="auto"/>
                <w:kern w:val="0"/>
                <w:sz w:val="24"/>
                <w:szCs w:val="24"/>
              </w:rPr>
            </w:pPr>
            <w:r>
              <w:rPr>
                <w:rFonts w:hint="eastAsia"/>
                <w:snapToGrid w:val="0"/>
                <w:color w:val="auto"/>
                <w:kern w:val="0"/>
                <w:sz w:val="24"/>
                <w:szCs w:val="24"/>
                <w:lang w:val="en-US" w:eastAsia="zh-CN"/>
              </w:rPr>
              <w:t>本项目燃</w:t>
            </w:r>
            <w:r>
              <w:rPr>
                <w:snapToGrid w:val="0"/>
                <w:color w:val="auto"/>
                <w:kern w:val="0"/>
                <w:sz w:val="24"/>
                <w:szCs w:val="24"/>
              </w:rPr>
              <w:t>生物质</w:t>
            </w:r>
            <w:r>
              <w:rPr>
                <w:rFonts w:hint="eastAsia"/>
                <w:snapToGrid w:val="0"/>
                <w:color w:val="auto"/>
                <w:kern w:val="0"/>
                <w:sz w:val="24"/>
                <w:szCs w:val="24"/>
                <w:lang w:val="en-US" w:eastAsia="zh-CN"/>
              </w:rPr>
              <w:t>导热油</w:t>
            </w:r>
            <w:r>
              <w:rPr>
                <w:snapToGrid w:val="0"/>
                <w:color w:val="auto"/>
                <w:kern w:val="0"/>
                <w:sz w:val="24"/>
                <w:szCs w:val="24"/>
              </w:rPr>
              <w:t>锅炉大气污染物排放标准执行《锅炉大气污染物排放标准》（GB13271-2014）表2新建锅炉大气污染物排放浓度限值。</w:t>
            </w:r>
            <w:r>
              <w:rPr>
                <w:rFonts w:hint="eastAsia"/>
                <w:snapToGrid w:val="0"/>
                <w:color w:val="auto"/>
                <w:kern w:val="0"/>
                <w:sz w:val="24"/>
                <w:szCs w:val="24"/>
                <w:lang w:val="en-US" w:eastAsia="zh-CN"/>
              </w:rPr>
              <w:t>本项目烟囱设置30m，</w:t>
            </w:r>
            <w:r>
              <w:rPr>
                <w:rFonts w:hint="eastAsia"/>
                <w:snapToGrid w:val="0"/>
                <w:color w:val="auto"/>
                <w:kern w:val="0"/>
                <w:sz w:val="24"/>
                <w:szCs w:val="24"/>
              </w:rPr>
              <w:t>项目200m范围内的最高建筑物高度约为</w:t>
            </w:r>
            <w:r>
              <w:rPr>
                <w:rFonts w:hint="eastAsia"/>
                <w:snapToGrid w:val="0"/>
                <w:color w:val="auto"/>
                <w:kern w:val="0"/>
                <w:sz w:val="24"/>
                <w:szCs w:val="24"/>
                <w:lang w:val="en-US" w:eastAsia="zh-CN"/>
              </w:rPr>
              <w:t>7</w:t>
            </w:r>
            <w:r>
              <w:rPr>
                <w:rFonts w:hint="eastAsia"/>
                <w:snapToGrid w:val="0"/>
                <w:color w:val="auto"/>
                <w:kern w:val="0"/>
                <w:sz w:val="24"/>
                <w:szCs w:val="24"/>
              </w:rPr>
              <w:t>m，本项目排气筒高度为3</w:t>
            </w:r>
            <w:r>
              <w:rPr>
                <w:rFonts w:hint="eastAsia"/>
                <w:snapToGrid w:val="0"/>
                <w:color w:val="auto"/>
                <w:kern w:val="0"/>
                <w:sz w:val="24"/>
                <w:szCs w:val="24"/>
                <w:lang w:val="en-US" w:eastAsia="zh-CN"/>
              </w:rPr>
              <w:t>0</w:t>
            </w:r>
            <w:r>
              <w:rPr>
                <w:rFonts w:hint="eastAsia"/>
                <w:snapToGrid w:val="0"/>
                <w:color w:val="auto"/>
                <w:kern w:val="0"/>
                <w:sz w:val="24"/>
                <w:szCs w:val="24"/>
              </w:rPr>
              <w:t>m，高出周围最高建筑物2</w:t>
            </w:r>
            <w:r>
              <w:rPr>
                <w:rFonts w:hint="eastAsia"/>
                <w:snapToGrid w:val="0"/>
                <w:color w:val="auto"/>
                <w:kern w:val="0"/>
                <w:sz w:val="24"/>
                <w:szCs w:val="24"/>
                <w:lang w:val="en-US" w:eastAsia="zh-CN"/>
              </w:rPr>
              <w:t>3</w:t>
            </w:r>
            <w:r>
              <w:rPr>
                <w:rFonts w:hint="eastAsia"/>
                <w:snapToGrid w:val="0"/>
                <w:color w:val="auto"/>
                <w:kern w:val="0"/>
                <w:sz w:val="24"/>
                <w:szCs w:val="24"/>
              </w:rPr>
              <w:t>m。符合要求。</w:t>
            </w:r>
          </w:p>
          <w:p w14:paraId="43D95495">
            <w:pPr>
              <w:pStyle w:val="1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b/>
                <w:snapToGrid w:val="0"/>
                <w:color w:val="auto"/>
                <w:kern w:val="0"/>
                <w:sz w:val="24"/>
                <w:szCs w:val="24"/>
              </w:rPr>
            </w:pPr>
            <w:r>
              <w:rPr>
                <w:rFonts w:ascii="Times New Roman" w:hAnsi="Times New Roman" w:cs="Times New Roman"/>
                <w:b/>
                <w:snapToGrid w:val="0"/>
                <w:color w:val="auto"/>
                <w:kern w:val="0"/>
                <w:sz w:val="24"/>
                <w:szCs w:val="24"/>
              </w:rPr>
              <w:t>表3-</w:t>
            </w:r>
            <w:r>
              <w:rPr>
                <w:rFonts w:hint="eastAsia" w:ascii="Times New Roman" w:hAnsi="Times New Roman" w:cs="Times New Roman"/>
                <w:b/>
                <w:snapToGrid w:val="0"/>
                <w:color w:val="auto"/>
                <w:kern w:val="0"/>
                <w:sz w:val="24"/>
                <w:szCs w:val="24"/>
                <w:lang w:val="en-US" w:eastAsia="zh-CN"/>
              </w:rPr>
              <w:t>5</w:t>
            </w:r>
            <w:r>
              <w:rPr>
                <w:rFonts w:ascii="Times New Roman" w:hAnsi="Times New Roman" w:cs="Times New Roman"/>
                <w:b/>
                <w:snapToGrid w:val="0"/>
                <w:color w:val="auto"/>
                <w:kern w:val="0"/>
                <w:sz w:val="24"/>
                <w:szCs w:val="24"/>
              </w:rPr>
              <w:t xml:space="preserve">  锅炉大气污染物排放标准</w:t>
            </w:r>
          </w:p>
          <w:tbl>
            <w:tblPr>
              <w:tblStyle w:val="31"/>
              <w:tblW w:w="49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46"/>
              <w:gridCol w:w="980"/>
              <w:gridCol w:w="1316"/>
              <w:gridCol w:w="1334"/>
              <w:gridCol w:w="1666"/>
              <w:gridCol w:w="1457"/>
            </w:tblGrid>
            <w:tr w14:paraId="43C54D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45" w:hRule="atLeast"/>
                <w:jc w:val="center"/>
              </w:trPr>
              <w:tc>
                <w:tcPr>
                  <w:tcW w:w="725" w:type="pct"/>
                  <w:tcBorders>
                    <w:tl2br w:val="nil"/>
                    <w:tr2bl w:val="nil"/>
                  </w:tcBorders>
                  <w:noWrap w:val="0"/>
                  <w:vAlign w:val="center"/>
                </w:tcPr>
                <w:p w14:paraId="486E609F">
                  <w:pPr>
                    <w:jc w:val="center"/>
                    <w:rPr>
                      <w:rFonts w:hint="eastAsia" w:eastAsia="宋体"/>
                      <w:snapToGrid w:val="0"/>
                      <w:color w:val="auto"/>
                      <w:kern w:val="0"/>
                      <w:szCs w:val="21"/>
                      <w:lang w:eastAsia="zh-CN"/>
                    </w:rPr>
                  </w:pPr>
                  <w:r>
                    <w:rPr>
                      <w:rFonts w:hint="eastAsia"/>
                      <w:snapToGrid w:val="0"/>
                      <w:color w:val="auto"/>
                      <w:kern w:val="0"/>
                      <w:szCs w:val="21"/>
                      <w:lang w:val="en-US" w:eastAsia="zh-CN"/>
                    </w:rPr>
                    <w:t>污染物名称</w:t>
                  </w:r>
                </w:p>
              </w:tc>
              <w:tc>
                <w:tcPr>
                  <w:tcW w:w="620" w:type="pct"/>
                  <w:tcBorders>
                    <w:tl2br w:val="nil"/>
                    <w:tr2bl w:val="nil"/>
                  </w:tcBorders>
                  <w:noWrap w:val="0"/>
                  <w:vAlign w:val="center"/>
                </w:tcPr>
                <w:p w14:paraId="7D0CC453">
                  <w:pPr>
                    <w:adjustRightInd w:val="0"/>
                    <w:snapToGrid w:val="0"/>
                    <w:jc w:val="center"/>
                    <w:rPr>
                      <w:snapToGrid w:val="0"/>
                      <w:color w:val="auto"/>
                      <w:kern w:val="0"/>
                      <w:szCs w:val="21"/>
                    </w:rPr>
                  </w:pPr>
                  <w:r>
                    <w:rPr>
                      <w:bCs/>
                      <w:snapToGrid w:val="0"/>
                      <w:color w:val="auto"/>
                      <w:kern w:val="0"/>
                      <w:szCs w:val="21"/>
                    </w:rPr>
                    <w:t>SO</w:t>
                  </w:r>
                  <w:r>
                    <w:rPr>
                      <w:bCs/>
                      <w:snapToGrid w:val="0"/>
                      <w:color w:val="auto"/>
                      <w:kern w:val="0"/>
                      <w:szCs w:val="21"/>
                      <w:vertAlign w:val="subscript"/>
                    </w:rPr>
                    <w:t>2</w:t>
                  </w:r>
                </w:p>
              </w:tc>
              <w:tc>
                <w:tcPr>
                  <w:tcW w:w="833" w:type="pct"/>
                  <w:tcBorders>
                    <w:tl2br w:val="nil"/>
                    <w:tr2bl w:val="nil"/>
                  </w:tcBorders>
                  <w:noWrap w:val="0"/>
                  <w:vAlign w:val="center"/>
                </w:tcPr>
                <w:p w14:paraId="67134739">
                  <w:pPr>
                    <w:adjustRightInd w:val="0"/>
                    <w:snapToGrid w:val="0"/>
                    <w:jc w:val="center"/>
                    <w:rPr>
                      <w:snapToGrid w:val="0"/>
                      <w:color w:val="auto"/>
                      <w:kern w:val="0"/>
                      <w:szCs w:val="21"/>
                    </w:rPr>
                  </w:pPr>
                  <w:r>
                    <w:rPr>
                      <w:bCs/>
                      <w:snapToGrid w:val="0"/>
                      <w:color w:val="auto"/>
                      <w:kern w:val="0"/>
                      <w:szCs w:val="21"/>
                    </w:rPr>
                    <w:t>烟尘</w:t>
                  </w:r>
                </w:p>
              </w:tc>
              <w:tc>
                <w:tcPr>
                  <w:tcW w:w="844" w:type="pct"/>
                  <w:tcBorders>
                    <w:tl2br w:val="nil"/>
                    <w:tr2bl w:val="nil"/>
                  </w:tcBorders>
                  <w:noWrap w:val="0"/>
                  <w:vAlign w:val="center"/>
                </w:tcPr>
                <w:p w14:paraId="790F06A5">
                  <w:pPr>
                    <w:pStyle w:val="142"/>
                    <w:adjustRightInd w:val="0"/>
                    <w:snapToGrid w:val="0"/>
                    <w:rPr>
                      <w:snapToGrid w:val="0"/>
                      <w:color w:val="auto"/>
                      <w:kern w:val="0"/>
                      <w:szCs w:val="21"/>
                    </w:rPr>
                  </w:pPr>
                  <w:r>
                    <w:rPr>
                      <w:bCs/>
                      <w:snapToGrid w:val="0"/>
                      <w:color w:val="auto"/>
                      <w:kern w:val="0"/>
                      <w:szCs w:val="21"/>
                    </w:rPr>
                    <w:t>NO</w:t>
                  </w:r>
                  <w:r>
                    <w:rPr>
                      <w:bCs/>
                      <w:snapToGrid w:val="0"/>
                      <w:color w:val="auto"/>
                      <w:kern w:val="0"/>
                      <w:szCs w:val="21"/>
                      <w:vertAlign w:val="subscript"/>
                    </w:rPr>
                    <w:t>X</w:t>
                  </w:r>
                </w:p>
              </w:tc>
              <w:tc>
                <w:tcPr>
                  <w:tcW w:w="1054" w:type="pct"/>
                  <w:tcBorders>
                    <w:tl2br w:val="nil"/>
                    <w:tr2bl w:val="nil"/>
                  </w:tcBorders>
                  <w:noWrap w:val="0"/>
                  <w:vAlign w:val="center"/>
                </w:tcPr>
                <w:p w14:paraId="76B07EF9">
                  <w:pPr>
                    <w:pStyle w:val="142"/>
                    <w:adjustRightInd w:val="0"/>
                    <w:snapToGrid w:val="0"/>
                    <w:rPr>
                      <w:snapToGrid w:val="0"/>
                      <w:color w:val="auto"/>
                      <w:kern w:val="0"/>
                      <w:szCs w:val="21"/>
                    </w:rPr>
                  </w:pPr>
                  <w:r>
                    <w:rPr>
                      <w:bCs/>
                      <w:snapToGrid w:val="0"/>
                      <w:color w:val="auto"/>
                      <w:kern w:val="0"/>
                      <w:szCs w:val="21"/>
                    </w:rPr>
                    <w:t>汞及其化合物</w:t>
                  </w:r>
                </w:p>
              </w:tc>
              <w:tc>
                <w:tcPr>
                  <w:tcW w:w="922" w:type="pct"/>
                  <w:tcBorders>
                    <w:tl2br w:val="nil"/>
                    <w:tr2bl w:val="nil"/>
                  </w:tcBorders>
                  <w:shd w:val="clear" w:color="auto" w:fill="auto"/>
                  <w:noWrap w:val="0"/>
                  <w:vAlign w:val="center"/>
                </w:tcPr>
                <w:p w14:paraId="2D7FD369">
                  <w:pPr>
                    <w:pStyle w:val="142"/>
                    <w:adjustRightInd w:val="0"/>
                    <w:snapToGrid w:val="0"/>
                    <w:rPr>
                      <w:rFonts w:hint="default" w:ascii="Times New Roman" w:hAnsi="Times New Roman" w:eastAsia="宋体" w:cs="Times New Roman"/>
                      <w:bCs/>
                      <w:snapToGrid w:val="0"/>
                      <w:color w:val="auto"/>
                      <w:kern w:val="0"/>
                      <w:sz w:val="21"/>
                      <w:szCs w:val="21"/>
                      <w:lang w:val="en-US" w:eastAsia="zh-CN" w:bidi="ar-SA"/>
                    </w:rPr>
                  </w:pPr>
                  <w:r>
                    <w:rPr>
                      <w:rFonts w:hint="eastAsia"/>
                      <w:bCs/>
                      <w:snapToGrid w:val="0"/>
                      <w:color w:val="auto"/>
                      <w:kern w:val="0"/>
                      <w:szCs w:val="21"/>
                      <w:lang w:val="en-US" w:eastAsia="zh-CN"/>
                    </w:rPr>
                    <w:t>林格曼黑度</w:t>
                  </w:r>
                </w:p>
              </w:tc>
            </w:tr>
            <w:tr w14:paraId="199C8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42" w:hRule="atLeast"/>
                <w:jc w:val="center"/>
              </w:trPr>
              <w:tc>
                <w:tcPr>
                  <w:tcW w:w="725" w:type="pct"/>
                  <w:tcBorders>
                    <w:tl2br w:val="nil"/>
                    <w:tr2bl w:val="nil"/>
                  </w:tcBorders>
                  <w:noWrap w:val="0"/>
                  <w:vAlign w:val="center"/>
                </w:tcPr>
                <w:p w14:paraId="28687FC5">
                  <w:pPr>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限值</w:t>
                  </w:r>
                </w:p>
              </w:tc>
              <w:tc>
                <w:tcPr>
                  <w:tcW w:w="620" w:type="pct"/>
                  <w:tcBorders>
                    <w:tl2br w:val="nil"/>
                    <w:tr2bl w:val="nil"/>
                  </w:tcBorders>
                  <w:noWrap w:val="0"/>
                  <w:vAlign w:val="center"/>
                </w:tcPr>
                <w:p w14:paraId="7DEA3BD3">
                  <w:pPr>
                    <w:adjustRightInd w:val="0"/>
                    <w:snapToGrid w:val="0"/>
                    <w:jc w:val="center"/>
                    <w:rPr>
                      <w:snapToGrid w:val="0"/>
                      <w:color w:val="auto"/>
                      <w:kern w:val="0"/>
                      <w:szCs w:val="21"/>
                    </w:rPr>
                  </w:pPr>
                  <w:r>
                    <w:rPr>
                      <w:bCs/>
                      <w:snapToGrid w:val="0"/>
                      <w:color w:val="auto"/>
                      <w:kern w:val="0"/>
                      <w:szCs w:val="21"/>
                    </w:rPr>
                    <w:t>300</w:t>
                  </w:r>
                </w:p>
              </w:tc>
              <w:tc>
                <w:tcPr>
                  <w:tcW w:w="833" w:type="pct"/>
                  <w:tcBorders>
                    <w:tl2br w:val="nil"/>
                    <w:tr2bl w:val="nil"/>
                  </w:tcBorders>
                  <w:noWrap w:val="0"/>
                  <w:vAlign w:val="center"/>
                </w:tcPr>
                <w:p w14:paraId="7B72E448">
                  <w:pPr>
                    <w:adjustRightInd w:val="0"/>
                    <w:snapToGrid w:val="0"/>
                    <w:jc w:val="center"/>
                    <w:rPr>
                      <w:snapToGrid w:val="0"/>
                      <w:color w:val="auto"/>
                      <w:kern w:val="0"/>
                      <w:szCs w:val="21"/>
                    </w:rPr>
                  </w:pPr>
                  <w:r>
                    <w:rPr>
                      <w:bCs/>
                      <w:snapToGrid w:val="0"/>
                      <w:color w:val="auto"/>
                      <w:kern w:val="0"/>
                      <w:szCs w:val="21"/>
                    </w:rPr>
                    <w:t>50</w:t>
                  </w:r>
                </w:p>
              </w:tc>
              <w:tc>
                <w:tcPr>
                  <w:tcW w:w="844" w:type="pct"/>
                  <w:tcBorders>
                    <w:tl2br w:val="nil"/>
                    <w:tr2bl w:val="nil"/>
                  </w:tcBorders>
                  <w:noWrap w:val="0"/>
                  <w:vAlign w:val="center"/>
                </w:tcPr>
                <w:p w14:paraId="3D742BCD">
                  <w:pPr>
                    <w:pStyle w:val="142"/>
                    <w:adjustRightInd w:val="0"/>
                    <w:snapToGrid w:val="0"/>
                    <w:rPr>
                      <w:snapToGrid w:val="0"/>
                      <w:color w:val="auto"/>
                      <w:kern w:val="0"/>
                      <w:szCs w:val="21"/>
                    </w:rPr>
                  </w:pPr>
                  <w:r>
                    <w:rPr>
                      <w:bCs/>
                      <w:snapToGrid w:val="0"/>
                      <w:color w:val="auto"/>
                      <w:kern w:val="0"/>
                      <w:szCs w:val="21"/>
                    </w:rPr>
                    <w:t>300</w:t>
                  </w:r>
                </w:p>
              </w:tc>
              <w:tc>
                <w:tcPr>
                  <w:tcW w:w="1054" w:type="pct"/>
                  <w:tcBorders>
                    <w:tl2br w:val="nil"/>
                    <w:tr2bl w:val="nil"/>
                  </w:tcBorders>
                  <w:noWrap w:val="0"/>
                  <w:vAlign w:val="center"/>
                </w:tcPr>
                <w:p w14:paraId="0C1D771F">
                  <w:pPr>
                    <w:pStyle w:val="142"/>
                    <w:adjustRightInd w:val="0"/>
                    <w:snapToGrid w:val="0"/>
                    <w:rPr>
                      <w:snapToGrid w:val="0"/>
                      <w:color w:val="auto"/>
                      <w:kern w:val="0"/>
                      <w:szCs w:val="21"/>
                    </w:rPr>
                  </w:pPr>
                  <w:r>
                    <w:rPr>
                      <w:bCs/>
                      <w:snapToGrid w:val="0"/>
                      <w:color w:val="auto"/>
                      <w:kern w:val="0"/>
                      <w:szCs w:val="21"/>
                    </w:rPr>
                    <w:t>0.05</w:t>
                  </w:r>
                </w:p>
              </w:tc>
              <w:tc>
                <w:tcPr>
                  <w:tcW w:w="922" w:type="pct"/>
                  <w:tcBorders>
                    <w:tl2br w:val="nil"/>
                    <w:tr2bl w:val="nil"/>
                  </w:tcBorders>
                  <w:shd w:val="clear" w:color="auto" w:fill="auto"/>
                  <w:noWrap w:val="0"/>
                  <w:vAlign w:val="center"/>
                </w:tcPr>
                <w:p w14:paraId="1B6AA8CC">
                  <w:pPr>
                    <w:pStyle w:val="142"/>
                    <w:adjustRightInd w:val="0"/>
                    <w:snapToGrid w:val="0"/>
                    <w:rPr>
                      <w:rFonts w:hint="default" w:ascii="Times New Roman" w:hAnsi="Times New Roman" w:eastAsia="宋体" w:cs="Times New Roman"/>
                      <w:bCs/>
                      <w:snapToGrid w:val="0"/>
                      <w:color w:val="auto"/>
                      <w:kern w:val="0"/>
                      <w:sz w:val="21"/>
                      <w:szCs w:val="21"/>
                      <w:lang w:val="en-US" w:eastAsia="zh-CN" w:bidi="ar-SA"/>
                    </w:rPr>
                  </w:pPr>
                  <w:r>
                    <w:rPr>
                      <w:rFonts w:hint="default" w:ascii="Times New Roman" w:hAnsi="Times New Roman" w:cs="Times New Roman"/>
                      <w:bCs/>
                      <w:snapToGrid w:val="0"/>
                      <w:color w:val="auto"/>
                      <w:kern w:val="0"/>
                      <w:szCs w:val="21"/>
                      <w:lang w:val="en-US" w:eastAsia="zh-CN"/>
                    </w:rPr>
                    <w:t>≤</w:t>
                  </w:r>
                  <w:r>
                    <w:rPr>
                      <w:rFonts w:hint="eastAsia"/>
                      <w:bCs/>
                      <w:snapToGrid w:val="0"/>
                      <w:color w:val="auto"/>
                      <w:kern w:val="0"/>
                      <w:szCs w:val="21"/>
                      <w:lang w:val="en-US" w:eastAsia="zh-CN"/>
                    </w:rPr>
                    <w:t>1（级）</w:t>
                  </w:r>
                </w:p>
              </w:tc>
            </w:tr>
          </w:tbl>
          <w:p w14:paraId="43B297BE">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bCs/>
                <w:snapToGrid w:val="0"/>
                <w:color w:val="auto"/>
                <w:kern w:val="0"/>
                <w:sz w:val="24"/>
                <w:szCs w:val="24"/>
              </w:rPr>
            </w:pPr>
            <w:r>
              <w:rPr>
                <w:rFonts w:hint="eastAsia"/>
                <w:snapToGrid w:val="0"/>
                <w:color w:val="auto"/>
                <w:kern w:val="0"/>
                <w:sz w:val="24"/>
                <w:szCs w:val="24"/>
                <w:lang w:val="en-US" w:eastAsia="zh-CN"/>
              </w:rPr>
              <w:t>本项目生产车间产生的有组织非甲烷总烃排放执行</w:t>
            </w:r>
            <w:r>
              <w:rPr>
                <w:snapToGrid w:val="0"/>
                <w:color w:val="auto"/>
                <w:kern w:val="0"/>
                <w:sz w:val="24"/>
                <w:szCs w:val="24"/>
              </w:rPr>
              <w:t>《大气污染物综合排放标准》（GB16297-1996）</w:t>
            </w:r>
            <w:r>
              <w:rPr>
                <w:rFonts w:hint="eastAsia"/>
                <w:snapToGrid w:val="0"/>
                <w:color w:val="auto"/>
                <w:kern w:val="0"/>
                <w:sz w:val="24"/>
                <w:szCs w:val="24"/>
                <w:lang w:val="en-US" w:eastAsia="zh-CN"/>
              </w:rPr>
              <w:t>表2中排放浓度限值，厂区内非甲烷总烃无组织排放限值执行《挥发性有机物无组织排放控制标准》（GB37822-2019）；</w:t>
            </w:r>
            <w:r>
              <w:rPr>
                <w:snapToGrid w:val="0"/>
                <w:color w:val="auto"/>
                <w:kern w:val="0"/>
                <w:sz w:val="24"/>
                <w:szCs w:val="24"/>
              </w:rPr>
              <w:t>无组织颗粒物执行《大气污染物综合排放标准》（GB16297-1996）规定的颗粒物无组织排放监控浓度限值1mg/m</w:t>
            </w:r>
            <w:r>
              <w:rPr>
                <w:snapToGrid w:val="0"/>
                <w:color w:val="auto"/>
                <w:kern w:val="0"/>
                <w:sz w:val="24"/>
                <w:szCs w:val="24"/>
                <w:vertAlign w:val="superscript"/>
              </w:rPr>
              <w:t>3</w:t>
            </w:r>
            <w:r>
              <w:rPr>
                <w:bCs/>
                <w:snapToGrid w:val="0"/>
                <w:color w:val="auto"/>
                <w:kern w:val="0"/>
                <w:sz w:val="24"/>
                <w:szCs w:val="24"/>
              </w:rPr>
              <w:t>（周界外浓度最高点）。</w:t>
            </w:r>
          </w:p>
          <w:p w14:paraId="4EA2EFF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snapToGrid w:val="0"/>
                <w:color w:val="auto"/>
                <w:kern w:val="0"/>
                <w:sz w:val="24"/>
                <w:szCs w:val="24"/>
                <w:vertAlign w:val="superscript"/>
              </w:rPr>
            </w:pPr>
            <w:r>
              <w:rPr>
                <w:b/>
                <w:snapToGrid w:val="0"/>
                <w:color w:val="auto"/>
                <w:kern w:val="0"/>
                <w:sz w:val="24"/>
                <w:szCs w:val="24"/>
              </w:rPr>
              <w:t>表3-</w:t>
            </w:r>
            <w:r>
              <w:rPr>
                <w:rFonts w:hint="eastAsia"/>
                <w:b/>
                <w:snapToGrid w:val="0"/>
                <w:color w:val="auto"/>
                <w:kern w:val="0"/>
                <w:sz w:val="24"/>
                <w:szCs w:val="24"/>
                <w:lang w:val="en-US" w:eastAsia="zh-CN"/>
              </w:rPr>
              <w:t>6</w:t>
            </w:r>
            <w:r>
              <w:rPr>
                <w:b/>
                <w:snapToGrid w:val="0"/>
                <w:color w:val="auto"/>
                <w:kern w:val="0"/>
                <w:sz w:val="24"/>
                <w:szCs w:val="24"/>
              </w:rPr>
              <w:t xml:space="preserve">  大气污染物</w:t>
            </w:r>
            <w:r>
              <w:rPr>
                <w:rFonts w:hint="eastAsia"/>
                <w:b/>
                <w:snapToGrid w:val="0"/>
                <w:color w:val="auto"/>
                <w:kern w:val="0"/>
                <w:sz w:val="24"/>
                <w:szCs w:val="24"/>
                <w:lang w:val="en-US" w:eastAsia="zh-CN"/>
              </w:rPr>
              <w:t>综合</w:t>
            </w:r>
            <w:r>
              <w:rPr>
                <w:b/>
                <w:snapToGrid w:val="0"/>
                <w:color w:val="auto"/>
                <w:kern w:val="0"/>
                <w:sz w:val="24"/>
                <w:szCs w:val="24"/>
              </w:rPr>
              <w:t>排放标准</w:t>
            </w:r>
          </w:p>
          <w:tbl>
            <w:tblPr>
              <w:tblStyle w:val="31"/>
              <w:tblW w:w="498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04"/>
              <w:gridCol w:w="1300"/>
              <w:gridCol w:w="1800"/>
              <w:gridCol w:w="1800"/>
              <w:gridCol w:w="1952"/>
            </w:tblGrid>
            <w:tr w14:paraId="592BF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4" w:hRule="atLeast"/>
                <w:jc w:val="center"/>
              </w:trPr>
              <w:tc>
                <w:tcPr>
                  <w:tcW w:w="693" w:type="pct"/>
                  <w:noWrap w:val="0"/>
                  <w:vAlign w:val="center"/>
                </w:tcPr>
                <w:p w14:paraId="47E58A76">
                  <w:pPr>
                    <w:jc w:val="center"/>
                    <w:rPr>
                      <w:rFonts w:hint="eastAsia" w:eastAsia="宋体"/>
                      <w:snapToGrid w:val="0"/>
                      <w:color w:val="auto"/>
                      <w:kern w:val="0"/>
                      <w:szCs w:val="21"/>
                      <w:lang w:eastAsia="zh-CN"/>
                    </w:rPr>
                  </w:pPr>
                  <w:r>
                    <w:rPr>
                      <w:rFonts w:hint="eastAsia"/>
                      <w:snapToGrid w:val="0"/>
                      <w:color w:val="auto"/>
                      <w:kern w:val="0"/>
                      <w:szCs w:val="21"/>
                      <w:lang w:val="en-US" w:eastAsia="zh-CN"/>
                    </w:rPr>
                    <w:t>污染源</w:t>
                  </w:r>
                </w:p>
              </w:tc>
              <w:tc>
                <w:tcPr>
                  <w:tcW w:w="816" w:type="pct"/>
                  <w:noWrap w:val="0"/>
                  <w:vAlign w:val="center"/>
                </w:tcPr>
                <w:p w14:paraId="47E596FD">
                  <w:pPr>
                    <w:jc w:val="center"/>
                    <w:rPr>
                      <w:snapToGrid w:val="0"/>
                      <w:color w:val="auto"/>
                      <w:kern w:val="0"/>
                      <w:szCs w:val="21"/>
                    </w:rPr>
                  </w:pPr>
                  <w:r>
                    <w:rPr>
                      <w:snapToGrid w:val="0"/>
                      <w:color w:val="auto"/>
                      <w:kern w:val="0"/>
                      <w:szCs w:val="21"/>
                    </w:rPr>
                    <w:t>项目</w:t>
                  </w:r>
                </w:p>
              </w:tc>
              <w:tc>
                <w:tcPr>
                  <w:tcW w:w="1131" w:type="pct"/>
                  <w:tcBorders>
                    <w:right w:val="single" w:color="auto" w:sz="4" w:space="0"/>
                  </w:tcBorders>
                  <w:noWrap w:val="0"/>
                  <w:vAlign w:val="center"/>
                </w:tcPr>
                <w:p w14:paraId="1E6AEDF2">
                  <w:pPr>
                    <w:jc w:val="center"/>
                    <w:rPr>
                      <w:snapToGrid w:val="0"/>
                      <w:color w:val="auto"/>
                      <w:kern w:val="0"/>
                      <w:szCs w:val="21"/>
                    </w:rPr>
                  </w:pPr>
                  <w:r>
                    <w:rPr>
                      <w:rFonts w:hint="eastAsia"/>
                      <w:snapToGrid w:val="0"/>
                      <w:color w:val="auto"/>
                      <w:kern w:val="0"/>
                      <w:szCs w:val="21"/>
                      <w:lang w:val="en-US" w:eastAsia="zh-CN"/>
                    </w:rPr>
                    <w:t>最高允许</w:t>
                  </w:r>
                  <w:r>
                    <w:rPr>
                      <w:snapToGrid w:val="0"/>
                      <w:color w:val="auto"/>
                      <w:kern w:val="0"/>
                      <w:szCs w:val="21"/>
                    </w:rPr>
                    <w:t>排放浓度（mg/m</w:t>
                  </w:r>
                  <w:r>
                    <w:rPr>
                      <w:snapToGrid w:val="0"/>
                      <w:color w:val="auto"/>
                      <w:kern w:val="0"/>
                      <w:szCs w:val="21"/>
                      <w:vertAlign w:val="superscript"/>
                    </w:rPr>
                    <w:t>3</w:t>
                  </w:r>
                  <w:r>
                    <w:rPr>
                      <w:snapToGrid w:val="0"/>
                      <w:color w:val="auto"/>
                      <w:kern w:val="0"/>
                      <w:szCs w:val="21"/>
                    </w:rPr>
                    <w:t>）</w:t>
                  </w:r>
                </w:p>
              </w:tc>
              <w:tc>
                <w:tcPr>
                  <w:tcW w:w="1131" w:type="pct"/>
                  <w:tcBorders>
                    <w:left w:val="single" w:color="auto" w:sz="4" w:space="0"/>
                  </w:tcBorders>
                  <w:noWrap w:val="0"/>
                  <w:vAlign w:val="center"/>
                </w:tcPr>
                <w:p w14:paraId="2BCD78E7">
                  <w:pPr>
                    <w:jc w:val="center"/>
                    <w:rPr>
                      <w:snapToGrid w:val="0"/>
                      <w:color w:val="auto"/>
                      <w:kern w:val="0"/>
                      <w:szCs w:val="21"/>
                    </w:rPr>
                  </w:pPr>
                  <w:r>
                    <w:rPr>
                      <w:rFonts w:hint="eastAsia"/>
                      <w:snapToGrid w:val="0"/>
                      <w:color w:val="auto"/>
                      <w:kern w:val="0"/>
                      <w:szCs w:val="21"/>
                      <w:lang w:val="en-US" w:eastAsia="zh-CN"/>
                    </w:rPr>
                    <w:t>最高允许</w:t>
                  </w:r>
                  <w:r>
                    <w:rPr>
                      <w:snapToGrid w:val="0"/>
                      <w:color w:val="auto"/>
                      <w:kern w:val="0"/>
                      <w:szCs w:val="21"/>
                    </w:rPr>
                    <w:t>排放</w:t>
                  </w:r>
                  <w:r>
                    <w:rPr>
                      <w:rFonts w:hint="eastAsia"/>
                      <w:snapToGrid w:val="0"/>
                      <w:color w:val="auto"/>
                      <w:kern w:val="0"/>
                      <w:szCs w:val="21"/>
                      <w:lang w:val="en-US" w:eastAsia="zh-CN"/>
                    </w:rPr>
                    <w:t>速率</w:t>
                  </w:r>
                  <w:r>
                    <w:rPr>
                      <w:snapToGrid w:val="0"/>
                      <w:color w:val="auto"/>
                      <w:kern w:val="0"/>
                      <w:szCs w:val="21"/>
                    </w:rPr>
                    <w:t>（</w:t>
                  </w:r>
                  <w:r>
                    <w:rPr>
                      <w:rFonts w:hint="eastAsia"/>
                      <w:snapToGrid w:val="0"/>
                      <w:color w:val="auto"/>
                      <w:kern w:val="0"/>
                      <w:szCs w:val="21"/>
                      <w:lang w:val="en-US" w:eastAsia="zh-CN"/>
                    </w:rPr>
                    <w:t>k</w:t>
                  </w:r>
                  <w:r>
                    <w:rPr>
                      <w:snapToGrid w:val="0"/>
                      <w:color w:val="auto"/>
                      <w:kern w:val="0"/>
                      <w:szCs w:val="21"/>
                    </w:rPr>
                    <w:t>g/</w:t>
                  </w:r>
                  <w:r>
                    <w:rPr>
                      <w:rFonts w:hint="eastAsia"/>
                      <w:snapToGrid w:val="0"/>
                      <w:color w:val="auto"/>
                      <w:kern w:val="0"/>
                      <w:szCs w:val="21"/>
                      <w:lang w:val="en-US" w:eastAsia="zh-CN"/>
                    </w:rPr>
                    <w:t>h</w:t>
                  </w:r>
                  <w:r>
                    <w:rPr>
                      <w:snapToGrid w:val="0"/>
                      <w:color w:val="auto"/>
                      <w:kern w:val="0"/>
                      <w:szCs w:val="21"/>
                    </w:rPr>
                    <w:t>）</w:t>
                  </w:r>
                </w:p>
              </w:tc>
              <w:tc>
                <w:tcPr>
                  <w:tcW w:w="1226" w:type="pct"/>
                  <w:noWrap w:val="0"/>
                  <w:vAlign w:val="center"/>
                </w:tcPr>
                <w:p w14:paraId="10413810">
                  <w:pPr>
                    <w:jc w:val="center"/>
                    <w:rPr>
                      <w:snapToGrid w:val="0"/>
                      <w:color w:val="auto"/>
                      <w:kern w:val="0"/>
                      <w:szCs w:val="21"/>
                    </w:rPr>
                  </w:pPr>
                  <w:r>
                    <w:rPr>
                      <w:snapToGrid w:val="0"/>
                      <w:color w:val="auto"/>
                      <w:kern w:val="0"/>
                      <w:szCs w:val="21"/>
                    </w:rPr>
                    <w:t>无组织排放监控浓度点（mg/m</w:t>
                  </w:r>
                  <w:r>
                    <w:rPr>
                      <w:snapToGrid w:val="0"/>
                      <w:color w:val="auto"/>
                      <w:kern w:val="0"/>
                      <w:szCs w:val="21"/>
                      <w:vertAlign w:val="superscript"/>
                    </w:rPr>
                    <w:t>3</w:t>
                  </w:r>
                  <w:r>
                    <w:rPr>
                      <w:snapToGrid w:val="0"/>
                      <w:color w:val="auto"/>
                      <w:kern w:val="0"/>
                      <w:szCs w:val="21"/>
                    </w:rPr>
                    <w:t>）</w:t>
                  </w:r>
                </w:p>
              </w:tc>
            </w:tr>
            <w:tr w14:paraId="219654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982" w:hRule="atLeast"/>
                <w:jc w:val="center"/>
              </w:trPr>
              <w:tc>
                <w:tcPr>
                  <w:tcW w:w="693" w:type="pct"/>
                  <w:noWrap w:val="0"/>
                  <w:vAlign w:val="center"/>
                </w:tcPr>
                <w:p w14:paraId="5E593C65">
                  <w:pPr>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热压、涂胶工序</w:t>
                  </w:r>
                </w:p>
              </w:tc>
              <w:tc>
                <w:tcPr>
                  <w:tcW w:w="816" w:type="pct"/>
                  <w:noWrap w:val="0"/>
                  <w:vAlign w:val="center"/>
                </w:tcPr>
                <w:p w14:paraId="732D1D6C">
                  <w:pPr>
                    <w:jc w:val="center"/>
                    <w:rPr>
                      <w:rFonts w:hint="eastAsia" w:eastAsia="宋体"/>
                      <w:snapToGrid w:val="0"/>
                      <w:color w:val="auto"/>
                      <w:kern w:val="0"/>
                      <w:szCs w:val="21"/>
                      <w:lang w:eastAsia="zh-CN"/>
                    </w:rPr>
                  </w:pPr>
                  <w:r>
                    <w:rPr>
                      <w:rFonts w:hint="eastAsia"/>
                      <w:snapToGrid w:val="0"/>
                      <w:color w:val="auto"/>
                      <w:kern w:val="0"/>
                      <w:szCs w:val="21"/>
                      <w:lang w:val="en-US" w:eastAsia="zh-CN"/>
                    </w:rPr>
                    <w:t>非甲烷总烃</w:t>
                  </w:r>
                </w:p>
              </w:tc>
              <w:tc>
                <w:tcPr>
                  <w:tcW w:w="1131" w:type="pct"/>
                  <w:tcBorders>
                    <w:right w:val="single" w:color="auto" w:sz="4" w:space="0"/>
                  </w:tcBorders>
                  <w:noWrap w:val="0"/>
                  <w:vAlign w:val="center"/>
                </w:tcPr>
                <w:p w14:paraId="21CECEC4">
                  <w:pPr>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120</w:t>
                  </w:r>
                </w:p>
              </w:tc>
              <w:tc>
                <w:tcPr>
                  <w:tcW w:w="1131" w:type="pct"/>
                  <w:tcBorders>
                    <w:left w:val="single" w:color="auto" w:sz="4" w:space="0"/>
                  </w:tcBorders>
                  <w:noWrap w:val="0"/>
                  <w:vAlign w:val="center"/>
                </w:tcPr>
                <w:p w14:paraId="48832EBB">
                  <w:pPr>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10（15m高排气筒）</w:t>
                  </w:r>
                </w:p>
              </w:tc>
              <w:tc>
                <w:tcPr>
                  <w:tcW w:w="1226" w:type="pct"/>
                  <w:noWrap w:val="0"/>
                  <w:vAlign w:val="center"/>
                </w:tcPr>
                <w:p w14:paraId="581945CC">
                  <w:pPr>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4.0</w:t>
                  </w:r>
                </w:p>
              </w:tc>
            </w:tr>
            <w:tr w14:paraId="7A8FCB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982" w:hRule="atLeast"/>
                <w:jc w:val="center"/>
              </w:trPr>
              <w:tc>
                <w:tcPr>
                  <w:tcW w:w="693" w:type="pct"/>
                  <w:noWrap w:val="0"/>
                  <w:vAlign w:val="center"/>
                </w:tcPr>
                <w:p w14:paraId="4B7CB940">
                  <w:pPr>
                    <w:jc w:val="center"/>
                    <w:rPr>
                      <w:rFonts w:hint="default"/>
                      <w:snapToGrid w:val="0"/>
                      <w:color w:val="auto"/>
                      <w:kern w:val="0"/>
                      <w:szCs w:val="21"/>
                      <w:lang w:val="en-US"/>
                    </w:rPr>
                  </w:pPr>
                  <w:r>
                    <w:rPr>
                      <w:rFonts w:hint="eastAsia"/>
                      <w:snapToGrid w:val="0"/>
                      <w:color w:val="auto"/>
                      <w:kern w:val="0"/>
                      <w:szCs w:val="21"/>
                      <w:lang w:val="en-US" w:eastAsia="zh-CN"/>
                    </w:rPr>
                    <w:t>锯切、仿形工序</w:t>
                  </w:r>
                </w:p>
              </w:tc>
              <w:tc>
                <w:tcPr>
                  <w:tcW w:w="816" w:type="pct"/>
                  <w:shd w:val="clear" w:color="auto" w:fill="auto"/>
                  <w:noWrap w:val="0"/>
                  <w:vAlign w:val="center"/>
                </w:tcPr>
                <w:p w14:paraId="6A683E26">
                  <w:pPr>
                    <w:jc w:val="center"/>
                    <w:rPr>
                      <w:rFonts w:ascii="Times New Roman" w:hAnsi="Times New Roman" w:eastAsia="宋体" w:cs="Times New Roman"/>
                      <w:snapToGrid w:val="0"/>
                      <w:color w:val="auto"/>
                      <w:kern w:val="0"/>
                      <w:sz w:val="21"/>
                      <w:szCs w:val="21"/>
                      <w:lang w:val="en-US" w:eastAsia="zh-CN" w:bidi="ar-SA"/>
                    </w:rPr>
                  </w:pPr>
                  <w:r>
                    <w:rPr>
                      <w:snapToGrid w:val="0"/>
                      <w:color w:val="auto"/>
                      <w:kern w:val="0"/>
                      <w:szCs w:val="21"/>
                    </w:rPr>
                    <w:t>颗粒物</w:t>
                  </w:r>
                </w:p>
              </w:tc>
              <w:tc>
                <w:tcPr>
                  <w:tcW w:w="1131" w:type="pct"/>
                  <w:tcBorders>
                    <w:right w:val="single" w:color="auto" w:sz="4" w:space="0"/>
                  </w:tcBorders>
                  <w:shd w:val="clear" w:color="auto" w:fill="auto"/>
                  <w:noWrap w:val="0"/>
                  <w:vAlign w:val="center"/>
                </w:tcPr>
                <w:p w14:paraId="471FEAF8">
                  <w:pPr>
                    <w:jc w:val="center"/>
                    <w:rPr>
                      <w:rFonts w:hint="default"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120</w:t>
                  </w:r>
                </w:p>
              </w:tc>
              <w:tc>
                <w:tcPr>
                  <w:tcW w:w="1131" w:type="pct"/>
                  <w:tcBorders>
                    <w:left w:val="single" w:color="auto" w:sz="4" w:space="0"/>
                  </w:tcBorders>
                  <w:shd w:val="clear" w:color="auto" w:fill="auto"/>
                  <w:noWrap w:val="0"/>
                  <w:vAlign w:val="center"/>
                </w:tcPr>
                <w:p w14:paraId="5D9DC352">
                  <w:pPr>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3.5</w:t>
                  </w:r>
                </w:p>
              </w:tc>
              <w:tc>
                <w:tcPr>
                  <w:tcW w:w="1226" w:type="pct"/>
                  <w:shd w:val="clear" w:color="auto" w:fill="auto"/>
                  <w:noWrap w:val="0"/>
                  <w:vAlign w:val="center"/>
                </w:tcPr>
                <w:p w14:paraId="4F495712">
                  <w:pPr>
                    <w:jc w:val="center"/>
                    <w:rPr>
                      <w:rFonts w:hint="default"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1.0</w:t>
                  </w:r>
                </w:p>
              </w:tc>
            </w:tr>
          </w:tbl>
          <w:p w14:paraId="1E6B2F43">
            <w:pPr>
              <w:spacing w:beforeLines="0" w:afterLines="0"/>
              <w:jc w:val="left"/>
              <w:rPr>
                <w:rFonts w:ascii="Times New Roman" w:hAnsi="Times New Roman" w:cs="Times New Roman"/>
                <w:b/>
                <w:snapToGrid w:val="0"/>
                <w:color w:val="auto"/>
                <w:kern w:val="0"/>
                <w:sz w:val="24"/>
                <w:szCs w:val="24"/>
              </w:rPr>
            </w:pPr>
            <w:r>
              <w:rPr>
                <w:rFonts w:hint="eastAsia" w:ascii="宋体" w:hAnsi="宋体" w:eastAsia="宋体"/>
                <w:sz w:val="24"/>
                <w:szCs w:val="24"/>
              </w:rPr>
              <w:t>备注：排气筒高度为</w:t>
            </w:r>
            <w:r>
              <w:rPr>
                <w:rFonts w:hint="eastAsia" w:ascii="TimesNewRomanPSMT" w:hAnsi="TimesNewRomanPSMT" w:eastAsia="TimesNewRomanPSMT"/>
                <w:sz w:val="24"/>
                <w:szCs w:val="24"/>
              </w:rPr>
              <w:t>15m</w:t>
            </w:r>
            <w:r>
              <w:rPr>
                <w:rFonts w:hint="eastAsia" w:ascii="宋体" w:hAnsi="宋体" w:eastAsia="宋体"/>
                <w:sz w:val="24"/>
                <w:szCs w:val="24"/>
              </w:rPr>
              <w:t>，项目排气筒</w:t>
            </w:r>
            <w:r>
              <w:rPr>
                <w:rFonts w:hint="eastAsia" w:ascii="TimesNewRomanPSMT" w:hAnsi="TimesNewRomanPSMT" w:eastAsia="TimesNewRomanPSMT"/>
                <w:sz w:val="24"/>
                <w:szCs w:val="24"/>
              </w:rPr>
              <w:t>200m</w:t>
            </w:r>
            <w:r>
              <w:rPr>
                <w:rFonts w:hint="eastAsia" w:ascii="宋体" w:hAnsi="宋体" w:eastAsia="宋体"/>
                <w:sz w:val="24"/>
                <w:szCs w:val="24"/>
              </w:rPr>
              <w:t>范围内的最高建筑物高度约为</w:t>
            </w:r>
            <w:r>
              <w:rPr>
                <w:rFonts w:hint="eastAsia" w:ascii="TimesNewRomanPSMT" w:hAnsi="TimesNewRomanPSMT" w:eastAsia="宋体"/>
                <w:sz w:val="24"/>
                <w:szCs w:val="24"/>
                <w:lang w:val="en-US" w:eastAsia="zh-CN"/>
              </w:rPr>
              <w:t>7</w:t>
            </w:r>
            <w:r>
              <w:rPr>
                <w:rFonts w:hint="eastAsia" w:ascii="TimesNewRomanPSMT" w:hAnsi="TimesNewRomanPSMT" w:eastAsia="TimesNewRomanPSMT"/>
                <w:sz w:val="24"/>
                <w:szCs w:val="24"/>
              </w:rPr>
              <w:t>m</w:t>
            </w:r>
            <w:r>
              <w:rPr>
                <w:rFonts w:hint="eastAsia" w:ascii="宋体" w:hAnsi="宋体" w:eastAsia="宋体"/>
                <w:sz w:val="24"/>
                <w:szCs w:val="24"/>
              </w:rPr>
              <w:t>，高出周围最高建筑物</w:t>
            </w:r>
            <w:r>
              <w:rPr>
                <w:rFonts w:hint="eastAsia" w:ascii="TimesNewRomanPSMT" w:hAnsi="TimesNewRomanPSMT" w:eastAsia="宋体"/>
                <w:sz w:val="24"/>
                <w:szCs w:val="24"/>
                <w:lang w:val="en-US" w:eastAsia="zh-CN"/>
              </w:rPr>
              <w:t>8</w:t>
            </w:r>
            <w:r>
              <w:rPr>
                <w:rFonts w:hint="eastAsia" w:ascii="TimesNewRomanPSMT" w:hAnsi="TimesNewRomanPSMT" w:eastAsia="TimesNewRomanPSMT"/>
                <w:sz w:val="24"/>
                <w:szCs w:val="24"/>
              </w:rPr>
              <w:t>m</w:t>
            </w:r>
            <w:r>
              <w:rPr>
                <w:rFonts w:hint="eastAsia" w:ascii="宋体" w:hAnsi="宋体" w:eastAsia="宋体"/>
                <w:sz w:val="24"/>
                <w:szCs w:val="24"/>
              </w:rPr>
              <w:t>。</w:t>
            </w:r>
          </w:p>
          <w:p w14:paraId="05BDF066">
            <w:pPr>
              <w:keepNext w:val="0"/>
              <w:keepLines w:val="0"/>
              <w:pageBreakBefore w:val="0"/>
              <w:widowControl w:val="0"/>
              <w:kinsoku/>
              <w:wordWrap/>
              <w:overflowPunct/>
              <w:topLinePunct w:val="0"/>
              <w:autoSpaceDE/>
              <w:autoSpaceDN/>
              <w:bidi w:val="0"/>
              <w:adjustRightInd/>
              <w:snapToGrid/>
              <w:spacing w:before="157" w:beforeLines="50" w:line="240" w:lineRule="auto"/>
              <w:ind w:firstLine="0"/>
              <w:jc w:val="center"/>
              <w:textAlignment w:val="auto"/>
              <w:rPr>
                <w:b/>
                <w:snapToGrid w:val="0"/>
                <w:color w:val="auto"/>
                <w:kern w:val="0"/>
                <w:sz w:val="24"/>
                <w:szCs w:val="24"/>
                <w:vertAlign w:val="superscript"/>
              </w:rPr>
            </w:pPr>
            <w:r>
              <w:rPr>
                <w:b/>
                <w:snapToGrid w:val="0"/>
                <w:color w:val="auto"/>
                <w:kern w:val="0"/>
                <w:sz w:val="24"/>
                <w:szCs w:val="24"/>
              </w:rPr>
              <w:t>表3-</w:t>
            </w:r>
            <w:r>
              <w:rPr>
                <w:rFonts w:hint="eastAsia"/>
                <w:b/>
                <w:snapToGrid w:val="0"/>
                <w:color w:val="auto"/>
                <w:kern w:val="0"/>
                <w:sz w:val="24"/>
                <w:szCs w:val="24"/>
                <w:lang w:val="en-US" w:eastAsia="zh-CN"/>
              </w:rPr>
              <w:t>7</w:t>
            </w:r>
            <w:r>
              <w:rPr>
                <w:b/>
                <w:snapToGrid w:val="0"/>
                <w:color w:val="auto"/>
                <w:kern w:val="0"/>
                <w:sz w:val="24"/>
                <w:szCs w:val="24"/>
              </w:rPr>
              <w:t xml:space="preserve">  </w:t>
            </w:r>
            <w:r>
              <w:rPr>
                <w:rFonts w:hint="eastAsia"/>
                <w:b/>
                <w:snapToGrid w:val="0"/>
                <w:color w:val="auto"/>
                <w:kern w:val="0"/>
                <w:sz w:val="24"/>
                <w:szCs w:val="24"/>
              </w:rPr>
              <w:t>厂区内挥发性有机物无组织排放标准（GB37822-2019）</w:t>
            </w:r>
          </w:p>
          <w:tbl>
            <w:tblPr>
              <w:tblStyle w:val="31"/>
              <w:tblW w:w="498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546"/>
              <w:gridCol w:w="2160"/>
              <w:gridCol w:w="2298"/>
              <w:gridCol w:w="1952"/>
            </w:tblGrid>
            <w:tr w14:paraId="10A89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4" w:hRule="atLeast"/>
                <w:jc w:val="center"/>
              </w:trPr>
              <w:tc>
                <w:tcPr>
                  <w:tcW w:w="971" w:type="pct"/>
                  <w:noWrap w:val="0"/>
                  <w:vAlign w:val="center"/>
                </w:tcPr>
                <w:p w14:paraId="486AF82C">
                  <w:pPr>
                    <w:jc w:val="center"/>
                    <w:rPr>
                      <w:snapToGrid w:val="0"/>
                      <w:color w:val="auto"/>
                      <w:kern w:val="0"/>
                      <w:szCs w:val="21"/>
                    </w:rPr>
                  </w:pPr>
                  <w:r>
                    <w:rPr>
                      <w:rFonts w:hint="eastAsia"/>
                      <w:snapToGrid w:val="0"/>
                      <w:color w:val="auto"/>
                      <w:kern w:val="0"/>
                      <w:szCs w:val="21"/>
                      <w:lang w:val="en-US" w:eastAsia="zh-CN"/>
                    </w:rPr>
                    <w:t>污染物</w:t>
                  </w:r>
                  <w:r>
                    <w:rPr>
                      <w:snapToGrid w:val="0"/>
                      <w:color w:val="auto"/>
                      <w:kern w:val="0"/>
                      <w:szCs w:val="21"/>
                    </w:rPr>
                    <w:t>项目</w:t>
                  </w:r>
                </w:p>
              </w:tc>
              <w:tc>
                <w:tcPr>
                  <w:tcW w:w="1357" w:type="pct"/>
                  <w:tcBorders>
                    <w:right w:val="single" w:color="auto" w:sz="4" w:space="0"/>
                  </w:tcBorders>
                  <w:noWrap w:val="0"/>
                  <w:vAlign w:val="center"/>
                </w:tcPr>
                <w:p w14:paraId="38A02BA5">
                  <w:pPr>
                    <w:jc w:val="center"/>
                    <w:rPr>
                      <w:snapToGrid w:val="0"/>
                      <w:color w:val="auto"/>
                      <w:kern w:val="0"/>
                      <w:szCs w:val="21"/>
                    </w:rPr>
                  </w:pPr>
                  <w:r>
                    <w:rPr>
                      <w:snapToGrid w:val="0"/>
                      <w:color w:val="auto"/>
                      <w:kern w:val="0"/>
                      <w:szCs w:val="21"/>
                    </w:rPr>
                    <w:t>排放</w:t>
                  </w:r>
                  <w:r>
                    <w:rPr>
                      <w:rFonts w:hint="eastAsia"/>
                      <w:snapToGrid w:val="0"/>
                      <w:color w:val="auto"/>
                      <w:kern w:val="0"/>
                      <w:szCs w:val="21"/>
                      <w:lang w:val="en-US" w:eastAsia="zh-CN"/>
                    </w:rPr>
                    <w:t>限值</w:t>
                  </w:r>
                  <w:r>
                    <w:rPr>
                      <w:snapToGrid w:val="0"/>
                      <w:color w:val="auto"/>
                      <w:kern w:val="0"/>
                      <w:szCs w:val="21"/>
                    </w:rPr>
                    <w:t>（mg/</w:t>
                  </w:r>
                  <w:r>
                    <w:rPr>
                      <w:rFonts w:hint="eastAsia"/>
                      <w:snapToGrid w:val="0"/>
                      <w:color w:val="auto"/>
                      <w:kern w:val="0"/>
                      <w:szCs w:val="21"/>
                      <w:lang w:val="en-US" w:eastAsia="zh-CN"/>
                    </w:rPr>
                    <w:t>N</w:t>
                  </w:r>
                  <w:r>
                    <w:rPr>
                      <w:snapToGrid w:val="0"/>
                      <w:color w:val="auto"/>
                      <w:kern w:val="0"/>
                      <w:szCs w:val="21"/>
                    </w:rPr>
                    <w:t>m</w:t>
                  </w:r>
                  <w:r>
                    <w:rPr>
                      <w:snapToGrid w:val="0"/>
                      <w:color w:val="auto"/>
                      <w:kern w:val="0"/>
                      <w:szCs w:val="21"/>
                      <w:vertAlign w:val="superscript"/>
                    </w:rPr>
                    <w:t>3</w:t>
                  </w:r>
                  <w:r>
                    <w:rPr>
                      <w:snapToGrid w:val="0"/>
                      <w:color w:val="auto"/>
                      <w:kern w:val="0"/>
                      <w:szCs w:val="21"/>
                    </w:rPr>
                    <w:t>）</w:t>
                  </w:r>
                </w:p>
              </w:tc>
              <w:tc>
                <w:tcPr>
                  <w:tcW w:w="1444" w:type="pct"/>
                  <w:tcBorders>
                    <w:left w:val="single" w:color="auto" w:sz="4" w:space="0"/>
                  </w:tcBorders>
                  <w:noWrap w:val="0"/>
                  <w:vAlign w:val="center"/>
                </w:tcPr>
                <w:p w14:paraId="3F787550">
                  <w:pPr>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限值含义</w:t>
                  </w:r>
                </w:p>
              </w:tc>
              <w:tc>
                <w:tcPr>
                  <w:tcW w:w="1226" w:type="pct"/>
                  <w:noWrap w:val="0"/>
                  <w:vAlign w:val="center"/>
                </w:tcPr>
                <w:p w14:paraId="1425C10D">
                  <w:pPr>
                    <w:jc w:val="center"/>
                    <w:rPr>
                      <w:rFonts w:hint="eastAsia" w:eastAsia="宋体"/>
                      <w:snapToGrid w:val="0"/>
                      <w:color w:val="auto"/>
                      <w:kern w:val="0"/>
                      <w:szCs w:val="21"/>
                      <w:lang w:eastAsia="zh-CN"/>
                    </w:rPr>
                  </w:pPr>
                  <w:r>
                    <w:rPr>
                      <w:snapToGrid w:val="0"/>
                      <w:color w:val="auto"/>
                      <w:kern w:val="0"/>
                      <w:szCs w:val="21"/>
                    </w:rPr>
                    <w:t>无组织排放监控</w:t>
                  </w:r>
                  <w:r>
                    <w:rPr>
                      <w:rFonts w:hint="eastAsia"/>
                      <w:snapToGrid w:val="0"/>
                      <w:color w:val="auto"/>
                      <w:kern w:val="0"/>
                      <w:szCs w:val="21"/>
                      <w:lang w:val="en-US" w:eastAsia="zh-CN"/>
                    </w:rPr>
                    <w:t>位置</w:t>
                  </w:r>
                </w:p>
              </w:tc>
            </w:tr>
            <w:tr w14:paraId="10E439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22" w:hRule="atLeast"/>
                <w:jc w:val="center"/>
              </w:trPr>
              <w:tc>
                <w:tcPr>
                  <w:tcW w:w="971" w:type="pct"/>
                  <w:vMerge w:val="restart"/>
                  <w:noWrap w:val="0"/>
                  <w:vAlign w:val="center"/>
                </w:tcPr>
                <w:p w14:paraId="076D1210">
                  <w:pPr>
                    <w:jc w:val="center"/>
                    <w:rPr>
                      <w:rFonts w:hint="eastAsia" w:eastAsia="宋体"/>
                      <w:snapToGrid w:val="0"/>
                      <w:color w:val="auto"/>
                      <w:kern w:val="0"/>
                      <w:szCs w:val="21"/>
                      <w:lang w:eastAsia="zh-CN"/>
                    </w:rPr>
                  </w:pPr>
                  <w:r>
                    <w:rPr>
                      <w:rFonts w:hint="eastAsia"/>
                      <w:snapToGrid w:val="0"/>
                      <w:color w:val="auto"/>
                      <w:kern w:val="0"/>
                      <w:szCs w:val="21"/>
                      <w:lang w:val="en-US" w:eastAsia="zh-CN"/>
                    </w:rPr>
                    <w:t>非甲烷总烃</w:t>
                  </w:r>
                </w:p>
              </w:tc>
              <w:tc>
                <w:tcPr>
                  <w:tcW w:w="1357" w:type="pct"/>
                  <w:tcBorders>
                    <w:right w:val="single" w:color="auto" w:sz="4" w:space="0"/>
                  </w:tcBorders>
                  <w:noWrap w:val="0"/>
                  <w:vAlign w:val="center"/>
                </w:tcPr>
                <w:p w14:paraId="0B97E5E6">
                  <w:pPr>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10</w:t>
                  </w:r>
                </w:p>
              </w:tc>
              <w:tc>
                <w:tcPr>
                  <w:tcW w:w="1444" w:type="pct"/>
                  <w:tcBorders>
                    <w:left w:val="single" w:color="auto" w:sz="4" w:space="0"/>
                  </w:tcBorders>
                  <w:noWrap w:val="0"/>
                  <w:vAlign w:val="center"/>
                </w:tcPr>
                <w:p w14:paraId="5795ECC7">
                  <w:pPr>
                    <w:jc w:val="center"/>
                    <w:rPr>
                      <w:rFonts w:hint="default" w:eastAsia="宋体"/>
                      <w:snapToGrid w:val="0"/>
                      <w:color w:val="auto"/>
                      <w:kern w:val="0"/>
                      <w:szCs w:val="21"/>
                      <w:lang w:val="en-US" w:eastAsia="zh-CN"/>
                    </w:rPr>
                  </w:pPr>
                  <w:r>
                    <w:rPr>
                      <w:rFonts w:hint="default" w:eastAsia="宋体"/>
                      <w:snapToGrid w:val="0"/>
                      <w:color w:val="auto"/>
                      <w:kern w:val="0"/>
                      <w:szCs w:val="21"/>
                      <w:lang w:val="en-US" w:eastAsia="zh-CN"/>
                    </w:rPr>
                    <w:t>监控点处1h平均浓度值</w:t>
                  </w:r>
                </w:p>
              </w:tc>
              <w:tc>
                <w:tcPr>
                  <w:tcW w:w="1226" w:type="pct"/>
                  <w:vMerge w:val="restart"/>
                  <w:noWrap w:val="0"/>
                  <w:vAlign w:val="center"/>
                </w:tcPr>
                <w:p w14:paraId="4FD4063E">
                  <w:pPr>
                    <w:jc w:val="center"/>
                    <w:rPr>
                      <w:rFonts w:hint="default" w:eastAsia="宋体"/>
                      <w:snapToGrid w:val="0"/>
                      <w:color w:val="auto"/>
                      <w:kern w:val="0"/>
                      <w:szCs w:val="21"/>
                      <w:lang w:val="en-US" w:eastAsia="zh-CN"/>
                    </w:rPr>
                  </w:pPr>
                  <w:r>
                    <w:rPr>
                      <w:rFonts w:hint="default" w:eastAsia="宋体"/>
                      <w:snapToGrid w:val="0"/>
                      <w:color w:val="auto"/>
                      <w:kern w:val="0"/>
                      <w:szCs w:val="21"/>
                      <w:lang w:val="en-US" w:eastAsia="zh-CN"/>
                    </w:rPr>
                    <w:t>在厂房外设置监控点</w:t>
                  </w:r>
                </w:p>
              </w:tc>
            </w:tr>
            <w:tr w14:paraId="60AA36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77" w:hRule="atLeast"/>
                <w:jc w:val="center"/>
              </w:trPr>
              <w:tc>
                <w:tcPr>
                  <w:tcW w:w="971" w:type="pct"/>
                  <w:vMerge w:val="continue"/>
                  <w:noWrap w:val="0"/>
                  <w:vAlign w:val="center"/>
                </w:tcPr>
                <w:p w14:paraId="2D17235E">
                  <w:pPr>
                    <w:jc w:val="center"/>
                    <w:rPr>
                      <w:rFonts w:hint="eastAsia"/>
                      <w:snapToGrid w:val="0"/>
                      <w:color w:val="auto"/>
                      <w:kern w:val="0"/>
                      <w:szCs w:val="21"/>
                      <w:lang w:val="en-US" w:eastAsia="zh-CN"/>
                    </w:rPr>
                  </w:pPr>
                </w:p>
              </w:tc>
              <w:tc>
                <w:tcPr>
                  <w:tcW w:w="1357" w:type="pct"/>
                  <w:tcBorders>
                    <w:right w:val="single" w:color="auto" w:sz="4" w:space="0"/>
                  </w:tcBorders>
                  <w:noWrap w:val="0"/>
                  <w:vAlign w:val="center"/>
                </w:tcPr>
                <w:p w14:paraId="17A3AFBB">
                  <w:pPr>
                    <w:jc w:val="center"/>
                    <w:rPr>
                      <w:rFonts w:hint="default"/>
                      <w:snapToGrid w:val="0"/>
                      <w:color w:val="auto"/>
                      <w:kern w:val="0"/>
                      <w:szCs w:val="21"/>
                      <w:lang w:val="en-US" w:eastAsia="zh-CN"/>
                    </w:rPr>
                  </w:pPr>
                  <w:r>
                    <w:rPr>
                      <w:rFonts w:hint="eastAsia"/>
                      <w:snapToGrid w:val="0"/>
                      <w:color w:val="auto"/>
                      <w:kern w:val="0"/>
                      <w:szCs w:val="21"/>
                      <w:lang w:val="en-US" w:eastAsia="zh-CN"/>
                    </w:rPr>
                    <w:t>30</w:t>
                  </w:r>
                </w:p>
              </w:tc>
              <w:tc>
                <w:tcPr>
                  <w:tcW w:w="1444" w:type="pct"/>
                  <w:tcBorders>
                    <w:left w:val="single" w:color="auto" w:sz="4" w:space="0"/>
                  </w:tcBorders>
                  <w:noWrap w:val="0"/>
                  <w:vAlign w:val="center"/>
                </w:tcPr>
                <w:p w14:paraId="0757934A">
                  <w:pPr>
                    <w:jc w:val="center"/>
                    <w:rPr>
                      <w:rFonts w:hint="eastAsia"/>
                      <w:snapToGrid w:val="0"/>
                      <w:color w:val="auto"/>
                      <w:kern w:val="0"/>
                      <w:szCs w:val="21"/>
                      <w:lang w:val="en-US" w:eastAsia="zh-CN"/>
                    </w:rPr>
                  </w:pPr>
                  <w:r>
                    <w:rPr>
                      <w:rFonts w:hint="eastAsia"/>
                      <w:snapToGrid w:val="0"/>
                      <w:color w:val="auto"/>
                      <w:kern w:val="0"/>
                      <w:szCs w:val="21"/>
                      <w:lang w:val="en-US" w:eastAsia="zh-CN"/>
                    </w:rPr>
                    <w:t>监控点处任意一次浓度值</w:t>
                  </w:r>
                </w:p>
              </w:tc>
              <w:tc>
                <w:tcPr>
                  <w:tcW w:w="1226" w:type="pct"/>
                  <w:vMerge w:val="continue"/>
                  <w:noWrap w:val="0"/>
                  <w:vAlign w:val="center"/>
                </w:tcPr>
                <w:p w14:paraId="431A6845">
                  <w:pPr>
                    <w:jc w:val="center"/>
                    <w:rPr>
                      <w:rFonts w:hint="eastAsia"/>
                      <w:snapToGrid w:val="0"/>
                      <w:color w:val="auto"/>
                      <w:kern w:val="0"/>
                      <w:szCs w:val="21"/>
                      <w:lang w:val="en-US" w:eastAsia="zh-CN"/>
                    </w:rPr>
                  </w:pPr>
                </w:p>
              </w:tc>
            </w:tr>
          </w:tbl>
          <w:p w14:paraId="7B38FDF3">
            <w:pPr>
              <w:pStyle w:val="145"/>
              <w:keepNext w:val="0"/>
              <w:keepLines w:val="0"/>
              <w:pageBreakBefore w:val="0"/>
              <w:widowControl w:val="0"/>
              <w:kinsoku/>
              <w:wordWrap/>
              <w:overflowPunct/>
              <w:topLinePunct w:val="0"/>
              <w:autoSpaceDE/>
              <w:autoSpaceDN/>
              <w:bidi w:val="0"/>
              <w:adjustRightInd w:val="0"/>
              <w:snapToGrid w:val="0"/>
              <w:spacing w:before="157" w:beforeLines="50"/>
              <w:ind w:firstLine="422"/>
              <w:jc w:val="left"/>
              <w:textAlignment w:val="auto"/>
              <w:rPr>
                <w:rFonts w:ascii="Times New Roman" w:hAnsi="Times New Roman" w:cs="Times New Roman"/>
                <w:b/>
                <w:snapToGrid w:val="0"/>
                <w:color w:val="auto"/>
                <w:kern w:val="0"/>
                <w:sz w:val="24"/>
                <w:szCs w:val="24"/>
              </w:rPr>
            </w:pPr>
            <w:r>
              <w:rPr>
                <w:rFonts w:ascii="Times New Roman" w:hAnsi="Times New Roman" w:cs="Times New Roman"/>
                <w:b/>
                <w:snapToGrid w:val="0"/>
                <w:color w:val="auto"/>
                <w:kern w:val="0"/>
                <w:sz w:val="24"/>
                <w:szCs w:val="24"/>
              </w:rPr>
              <w:t>二、噪声</w:t>
            </w:r>
          </w:p>
          <w:p w14:paraId="2FF83323">
            <w:pPr>
              <w:adjustRightInd w:val="0"/>
              <w:snapToGrid w:val="0"/>
              <w:spacing w:line="360" w:lineRule="auto"/>
              <w:ind w:firstLine="480" w:firstLineChars="200"/>
              <w:jc w:val="left"/>
              <w:rPr>
                <w:snapToGrid w:val="0"/>
                <w:color w:val="auto"/>
                <w:kern w:val="0"/>
                <w:sz w:val="24"/>
                <w:szCs w:val="24"/>
              </w:rPr>
            </w:pPr>
            <w:r>
              <w:rPr>
                <w:snapToGrid w:val="0"/>
                <w:color w:val="auto"/>
                <w:kern w:val="0"/>
                <w:sz w:val="24"/>
                <w:szCs w:val="24"/>
              </w:rPr>
              <w:t>本项目位于双鸭山市尖山区</w:t>
            </w:r>
            <w:r>
              <w:rPr>
                <w:rFonts w:hint="eastAsia"/>
                <w:snapToGrid w:val="0"/>
                <w:color w:val="auto"/>
                <w:kern w:val="0"/>
                <w:sz w:val="24"/>
                <w:szCs w:val="24"/>
                <w:lang w:val="en-US" w:eastAsia="zh-CN"/>
              </w:rPr>
              <w:t>窑地路</w:t>
            </w:r>
            <w:r>
              <w:rPr>
                <w:snapToGrid w:val="0"/>
                <w:color w:val="auto"/>
                <w:kern w:val="0"/>
                <w:sz w:val="24"/>
                <w:szCs w:val="24"/>
              </w:rPr>
              <w:t>，本项目所在区域位于</w:t>
            </w:r>
            <w:r>
              <w:rPr>
                <w:rFonts w:hint="eastAsia"/>
                <w:snapToGrid w:val="0"/>
                <w:color w:val="auto"/>
                <w:kern w:val="0"/>
                <w:sz w:val="24"/>
                <w:szCs w:val="24"/>
                <w:lang w:val="en-US" w:eastAsia="zh-CN"/>
              </w:rPr>
              <w:t>2</w:t>
            </w:r>
            <w:r>
              <w:rPr>
                <w:snapToGrid w:val="0"/>
                <w:color w:val="auto"/>
                <w:kern w:val="0"/>
                <w:sz w:val="24"/>
                <w:szCs w:val="24"/>
              </w:rPr>
              <w:t>类声</w:t>
            </w:r>
            <w:r>
              <w:rPr>
                <w:rFonts w:hint="eastAsia"/>
                <w:snapToGrid w:val="0"/>
                <w:color w:val="auto"/>
                <w:kern w:val="0"/>
                <w:sz w:val="24"/>
                <w:szCs w:val="24"/>
                <w:lang w:val="en-US" w:eastAsia="zh-CN"/>
              </w:rPr>
              <w:t>环境</w:t>
            </w:r>
            <w:r>
              <w:rPr>
                <w:snapToGrid w:val="0"/>
                <w:color w:val="auto"/>
                <w:kern w:val="0"/>
                <w:sz w:val="24"/>
                <w:szCs w:val="24"/>
              </w:rPr>
              <w:t>功能区，运营期厂界噪声执行《工业企业厂界环境噪声排放标准》（GB12348-2008）中</w:t>
            </w:r>
            <w:r>
              <w:rPr>
                <w:rFonts w:hint="eastAsia"/>
                <w:snapToGrid w:val="0"/>
                <w:color w:val="auto"/>
                <w:kern w:val="0"/>
                <w:sz w:val="24"/>
                <w:szCs w:val="24"/>
                <w:lang w:val="en-US" w:eastAsia="zh-CN"/>
              </w:rPr>
              <w:t>2</w:t>
            </w:r>
            <w:r>
              <w:rPr>
                <w:snapToGrid w:val="0"/>
                <w:color w:val="auto"/>
                <w:kern w:val="0"/>
                <w:sz w:val="24"/>
                <w:szCs w:val="24"/>
              </w:rPr>
              <w:t>类区标准。</w:t>
            </w:r>
          </w:p>
          <w:p w14:paraId="6763E3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snapToGrid w:val="0"/>
                <w:color w:val="auto"/>
                <w:kern w:val="0"/>
                <w:sz w:val="24"/>
                <w:szCs w:val="24"/>
              </w:rPr>
            </w:pPr>
            <w:r>
              <w:rPr>
                <w:b/>
                <w:snapToGrid w:val="0"/>
                <w:color w:val="auto"/>
                <w:kern w:val="0"/>
                <w:sz w:val="24"/>
                <w:szCs w:val="24"/>
              </w:rPr>
              <w:t>表3-</w:t>
            </w:r>
            <w:r>
              <w:rPr>
                <w:rFonts w:hint="eastAsia"/>
                <w:b/>
                <w:snapToGrid w:val="0"/>
                <w:color w:val="auto"/>
                <w:kern w:val="0"/>
                <w:sz w:val="24"/>
                <w:szCs w:val="24"/>
                <w:lang w:val="en-US" w:eastAsia="zh-CN"/>
              </w:rPr>
              <w:t>7</w:t>
            </w:r>
            <w:r>
              <w:rPr>
                <w:b/>
                <w:snapToGrid w:val="0"/>
                <w:color w:val="auto"/>
                <w:kern w:val="0"/>
                <w:sz w:val="24"/>
                <w:szCs w:val="24"/>
              </w:rPr>
              <w:t xml:space="preserve">  噪声执行标准值一览表      单位：mg/L</w:t>
            </w:r>
          </w:p>
          <w:tbl>
            <w:tblPr>
              <w:tblStyle w:val="31"/>
              <w:tblW w:w="0" w:type="auto"/>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051"/>
              <w:gridCol w:w="2851"/>
              <w:gridCol w:w="3035"/>
            </w:tblGrid>
            <w:tr w14:paraId="0B4F5597">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2051" w:type="dxa"/>
                  <w:vMerge w:val="restart"/>
                  <w:tcBorders>
                    <w:tl2br w:val="nil"/>
                    <w:tr2bl w:val="nil"/>
                  </w:tcBorders>
                  <w:noWrap w:val="0"/>
                  <w:tcMar>
                    <w:top w:w="17" w:type="dxa"/>
                    <w:left w:w="17" w:type="dxa"/>
                    <w:bottom w:w="0" w:type="dxa"/>
                    <w:right w:w="17" w:type="dxa"/>
                  </w:tcMar>
                  <w:vAlign w:val="center"/>
                </w:tcPr>
                <w:p w14:paraId="592DF020">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类别</w:t>
                  </w:r>
                </w:p>
              </w:tc>
              <w:tc>
                <w:tcPr>
                  <w:tcW w:w="5886" w:type="dxa"/>
                  <w:gridSpan w:val="2"/>
                  <w:tcBorders>
                    <w:tl2br w:val="nil"/>
                    <w:tr2bl w:val="nil"/>
                  </w:tcBorders>
                  <w:noWrap w:val="0"/>
                  <w:tcMar>
                    <w:top w:w="17" w:type="dxa"/>
                    <w:left w:w="17" w:type="dxa"/>
                    <w:bottom w:w="0" w:type="dxa"/>
                    <w:right w:w="17" w:type="dxa"/>
                  </w:tcMar>
                  <w:vAlign w:val="center"/>
                </w:tcPr>
                <w:p w14:paraId="4952ACE3">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标准值</w:t>
                  </w:r>
                </w:p>
              </w:tc>
            </w:tr>
            <w:tr w14:paraId="539D07E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051" w:type="dxa"/>
                  <w:vMerge w:val="continue"/>
                  <w:tcBorders>
                    <w:tl2br w:val="nil"/>
                    <w:tr2bl w:val="nil"/>
                  </w:tcBorders>
                  <w:noWrap w:val="0"/>
                  <w:vAlign w:val="center"/>
                </w:tcPr>
                <w:p w14:paraId="72696BC5">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2851" w:type="dxa"/>
                  <w:tcBorders>
                    <w:tl2br w:val="nil"/>
                    <w:tr2bl w:val="nil"/>
                  </w:tcBorders>
                  <w:noWrap w:val="0"/>
                  <w:tcMar>
                    <w:top w:w="17" w:type="dxa"/>
                    <w:left w:w="17" w:type="dxa"/>
                    <w:bottom w:w="0" w:type="dxa"/>
                    <w:right w:w="17" w:type="dxa"/>
                  </w:tcMar>
                  <w:vAlign w:val="center"/>
                </w:tcPr>
                <w:p w14:paraId="2B94868B">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昼间</w:t>
                  </w:r>
                </w:p>
              </w:tc>
              <w:tc>
                <w:tcPr>
                  <w:tcW w:w="3035" w:type="dxa"/>
                  <w:tcBorders>
                    <w:tl2br w:val="nil"/>
                    <w:tr2bl w:val="nil"/>
                  </w:tcBorders>
                  <w:noWrap w:val="0"/>
                  <w:tcMar>
                    <w:top w:w="17" w:type="dxa"/>
                    <w:left w:w="17" w:type="dxa"/>
                    <w:bottom w:w="0" w:type="dxa"/>
                    <w:right w:w="17" w:type="dxa"/>
                  </w:tcMar>
                  <w:vAlign w:val="center"/>
                </w:tcPr>
                <w:p w14:paraId="36AF56A0">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夜间</w:t>
                  </w:r>
                </w:p>
              </w:tc>
            </w:tr>
            <w:tr w14:paraId="0C14C0F1">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051" w:type="dxa"/>
                  <w:tcBorders>
                    <w:tl2br w:val="nil"/>
                    <w:tr2bl w:val="nil"/>
                  </w:tcBorders>
                  <w:noWrap w:val="0"/>
                  <w:vAlign w:val="center"/>
                </w:tcPr>
                <w:p w14:paraId="6FAEA215">
                  <w:pPr>
                    <w:adjustRightInd w:val="0"/>
                    <w:snapToGrid w:val="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类</w:t>
                  </w:r>
                </w:p>
              </w:tc>
              <w:tc>
                <w:tcPr>
                  <w:tcW w:w="2851" w:type="dxa"/>
                  <w:tcBorders>
                    <w:tl2br w:val="nil"/>
                    <w:tr2bl w:val="nil"/>
                  </w:tcBorders>
                  <w:noWrap w:val="0"/>
                  <w:tcMar>
                    <w:top w:w="17" w:type="dxa"/>
                    <w:left w:w="17" w:type="dxa"/>
                    <w:bottom w:w="0" w:type="dxa"/>
                    <w:right w:w="17" w:type="dxa"/>
                  </w:tcMar>
                  <w:vAlign w:val="center"/>
                </w:tcPr>
                <w:p w14:paraId="4E6960F4">
                  <w:pPr>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60</w:t>
                  </w:r>
                </w:p>
              </w:tc>
              <w:tc>
                <w:tcPr>
                  <w:tcW w:w="3035" w:type="dxa"/>
                  <w:tcBorders>
                    <w:tl2br w:val="nil"/>
                    <w:tr2bl w:val="nil"/>
                  </w:tcBorders>
                  <w:noWrap w:val="0"/>
                  <w:tcMar>
                    <w:top w:w="17" w:type="dxa"/>
                    <w:left w:w="17" w:type="dxa"/>
                    <w:bottom w:w="0" w:type="dxa"/>
                    <w:right w:w="17" w:type="dxa"/>
                  </w:tcMar>
                  <w:vAlign w:val="center"/>
                </w:tcPr>
                <w:p w14:paraId="18A04A9A">
                  <w:pPr>
                    <w:adjustRightInd w:val="0"/>
                    <w:snapToGrid w:val="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5</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0</w:t>
                  </w:r>
                </w:p>
              </w:tc>
            </w:tr>
          </w:tbl>
          <w:p w14:paraId="2B945921">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b/>
                <w:bCs/>
                <w:snapToGrid w:val="0"/>
                <w:color w:val="auto"/>
                <w:kern w:val="0"/>
                <w:sz w:val="24"/>
                <w:szCs w:val="24"/>
              </w:rPr>
            </w:pPr>
            <w:r>
              <w:rPr>
                <w:b/>
                <w:snapToGrid w:val="0"/>
                <w:color w:val="auto"/>
                <w:kern w:val="0"/>
                <w:sz w:val="24"/>
                <w:szCs w:val="24"/>
              </w:rPr>
              <w:t>三、</w:t>
            </w:r>
            <w:r>
              <w:rPr>
                <w:b/>
                <w:bCs/>
                <w:snapToGrid w:val="0"/>
                <w:color w:val="auto"/>
                <w:kern w:val="0"/>
                <w:sz w:val="24"/>
                <w:szCs w:val="24"/>
              </w:rPr>
              <w:t>污水排放标准</w:t>
            </w:r>
          </w:p>
          <w:p w14:paraId="3F9D1DD6">
            <w:pPr>
              <w:pStyle w:val="71"/>
              <w:spacing w:line="360" w:lineRule="auto"/>
              <w:ind w:firstLine="480"/>
              <w:outlineLvl w:val="2"/>
              <w:rPr>
                <w:rFonts w:hint="eastAsia" w:ascii="Times New Roman" w:hAnsi="Times New Roman" w:cs="Times New Roman"/>
                <w:bCs/>
                <w:iCs/>
                <w:color w:val="auto"/>
                <w:sz w:val="24"/>
                <w:highlight w:val="none"/>
                <w:lang w:val="en-US" w:eastAsia="zh-CN"/>
              </w:rPr>
            </w:pPr>
            <w:r>
              <w:rPr>
                <w:rFonts w:hint="eastAsia" w:ascii="Times New Roman" w:hAnsi="Times New Roman" w:cs="Times New Roman"/>
                <w:bCs/>
                <w:iCs/>
                <w:color w:val="auto"/>
                <w:sz w:val="24"/>
                <w:highlight w:val="none"/>
                <w:lang w:val="en-US" w:eastAsia="zh-CN"/>
              </w:rPr>
              <w:t>本项目不产生生产废水</w:t>
            </w:r>
            <w:r>
              <w:rPr>
                <w:rFonts w:hint="eastAsia" w:cs="Times New Roman"/>
                <w:bCs/>
                <w:iCs/>
                <w:color w:val="auto"/>
                <w:sz w:val="24"/>
                <w:highlight w:val="none"/>
                <w:lang w:val="en-US" w:eastAsia="zh-CN"/>
              </w:rPr>
              <w:t>。本项目生活污水执行《污水综合排放标准》（GB 8978-1996）中三级标准。具体限值详见表3-8。</w:t>
            </w:r>
          </w:p>
          <w:p w14:paraId="2C698B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snapToGrid w:val="0"/>
                <w:color w:val="auto"/>
                <w:kern w:val="0"/>
                <w:sz w:val="24"/>
                <w:szCs w:val="24"/>
              </w:rPr>
            </w:pPr>
            <w:r>
              <w:rPr>
                <w:b/>
                <w:snapToGrid w:val="0"/>
                <w:color w:val="auto"/>
                <w:kern w:val="0"/>
                <w:sz w:val="24"/>
                <w:szCs w:val="24"/>
              </w:rPr>
              <w:t>表3-</w:t>
            </w:r>
            <w:r>
              <w:rPr>
                <w:rFonts w:hint="eastAsia"/>
                <w:b/>
                <w:snapToGrid w:val="0"/>
                <w:color w:val="auto"/>
                <w:kern w:val="0"/>
                <w:sz w:val="24"/>
                <w:szCs w:val="24"/>
                <w:lang w:val="en-US" w:eastAsia="zh-CN"/>
              </w:rPr>
              <w:t>8</w:t>
            </w:r>
            <w:r>
              <w:rPr>
                <w:b/>
                <w:snapToGrid w:val="0"/>
                <w:color w:val="auto"/>
                <w:kern w:val="0"/>
                <w:sz w:val="24"/>
                <w:szCs w:val="24"/>
              </w:rPr>
              <w:t xml:space="preserve">  </w:t>
            </w:r>
            <w:r>
              <w:rPr>
                <w:rFonts w:hint="eastAsia"/>
                <w:b/>
                <w:snapToGrid w:val="0"/>
                <w:color w:val="auto"/>
                <w:kern w:val="0"/>
                <w:sz w:val="24"/>
                <w:szCs w:val="24"/>
              </w:rPr>
              <w:t xml:space="preserve">《污水综合排放标准》（GB 8978-1996） </w:t>
            </w:r>
            <w:r>
              <w:rPr>
                <w:b/>
                <w:snapToGrid w:val="0"/>
                <w:color w:val="auto"/>
                <w:kern w:val="0"/>
                <w:sz w:val="24"/>
                <w:szCs w:val="24"/>
              </w:rPr>
              <w:t xml:space="preserve">   单位：mg/L</w:t>
            </w:r>
          </w:p>
          <w:tbl>
            <w:tblPr>
              <w:tblStyle w:val="31"/>
              <w:tblW w:w="0" w:type="auto"/>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051"/>
              <w:gridCol w:w="2851"/>
              <w:gridCol w:w="3035"/>
            </w:tblGrid>
            <w:tr w14:paraId="5A9C8CBC">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16" w:hRule="atLeast"/>
                <w:jc w:val="center"/>
              </w:trPr>
              <w:tc>
                <w:tcPr>
                  <w:tcW w:w="2051" w:type="dxa"/>
                  <w:tcBorders>
                    <w:top w:val="single" w:color="auto" w:sz="12" w:space="0"/>
                    <w:bottom w:val="single" w:color="auto" w:sz="4" w:space="0"/>
                    <w:right w:val="single" w:color="auto" w:sz="4" w:space="0"/>
                  </w:tcBorders>
                  <w:noWrap w:val="0"/>
                  <w:tcMar>
                    <w:top w:w="17" w:type="dxa"/>
                    <w:left w:w="17" w:type="dxa"/>
                    <w:bottom w:w="0" w:type="dxa"/>
                    <w:right w:w="17" w:type="dxa"/>
                  </w:tcMar>
                  <w:vAlign w:val="center"/>
                </w:tcPr>
                <w:p w14:paraId="2FBEC101">
                  <w:pPr>
                    <w:adjustRightInd w:val="0"/>
                    <w:snapToGrid w:val="0"/>
                    <w:jc w:val="center"/>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序号</w:t>
                  </w:r>
                </w:p>
              </w:tc>
              <w:tc>
                <w:tcPr>
                  <w:tcW w:w="2851" w:type="dxa"/>
                  <w:tcBorders>
                    <w:top w:val="single" w:color="auto" w:sz="12" w:space="0"/>
                    <w:left w:val="single" w:color="auto" w:sz="4" w:space="0"/>
                    <w:bottom w:val="single" w:color="auto" w:sz="4" w:space="0"/>
                    <w:right w:val="single" w:color="auto" w:sz="4" w:space="0"/>
                  </w:tcBorders>
                  <w:noWrap w:val="0"/>
                  <w:tcMar>
                    <w:top w:w="17" w:type="dxa"/>
                    <w:left w:w="17" w:type="dxa"/>
                    <w:bottom w:w="0" w:type="dxa"/>
                    <w:right w:w="17" w:type="dxa"/>
                  </w:tcMar>
                  <w:vAlign w:val="center"/>
                </w:tcPr>
                <w:p w14:paraId="713DDEF1">
                  <w:pPr>
                    <w:adjustRightInd w:val="0"/>
                    <w:snapToGrid w:val="0"/>
                    <w:jc w:val="cente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项目名称</w:t>
                  </w:r>
                </w:p>
              </w:tc>
              <w:tc>
                <w:tcPr>
                  <w:tcW w:w="3035" w:type="dxa"/>
                  <w:tcBorders>
                    <w:top w:val="single" w:color="auto" w:sz="12" w:space="0"/>
                    <w:left w:val="single" w:color="auto" w:sz="4" w:space="0"/>
                    <w:bottom w:val="single" w:color="auto" w:sz="4" w:space="0"/>
                  </w:tcBorders>
                  <w:noWrap w:val="0"/>
                  <w:tcMar>
                    <w:top w:w="17" w:type="dxa"/>
                    <w:left w:w="17" w:type="dxa"/>
                    <w:bottom w:w="0" w:type="dxa"/>
                    <w:right w:w="17" w:type="dxa"/>
                  </w:tcMar>
                  <w:vAlign w:val="center"/>
                </w:tcPr>
                <w:p w14:paraId="71BCDEBB">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标准值</w:t>
                  </w:r>
                </w:p>
              </w:tc>
            </w:tr>
            <w:tr w14:paraId="62A125F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051" w:type="dxa"/>
                  <w:tcBorders>
                    <w:top w:val="single" w:color="auto" w:sz="4" w:space="0"/>
                    <w:bottom w:val="single" w:color="auto" w:sz="4" w:space="0"/>
                    <w:right w:val="single" w:color="auto" w:sz="4" w:space="0"/>
                  </w:tcBorders>
                  <w:noWrap w:val="0"/>
                  <w:vAlign w:val="center"/>
                </w:tcPr>
                <w:p w14:paraId="02176D79">
                  <w:pPr>
                    <w:adjustRightInd w:val="0"/>
                    <w:snapToGrid w:val="0"/>
                    <w:jc w:val="cente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w:t>
                  </w:r>
                </w:p>
              </w:tc>
              <w:tc>
                <w:tcPr>
                  <w:tcW w:w="2851" w:type="dxa"/>
                  <w:tcBorders>
                    <w:top w:val="single" w:color="auto" w:sz="4" w:space="0"/>
                    <w:left w:val="single" w:color="auto" w:sz="4" w:space="0"/>
                    <w:bottom w:val="single" w:color="auto" w:sz="4" w:space="0"/>
                    <w:right w:val="single" w:color="auto" w:sz="4" w:space="0"/>
                  </w:tcBorders>
                  <w:noWrap w:val="0"/>
                  <w:tcMar>
                    <w:top w:w="17" w:type="dxa"/>
                    <w:left w:w="17" w:type="dxa"/>
                    <w:bottom w:w="0" w:type="dxa"/>
                    <w:right w:w="17" w:type="dxa"/>
                  </w:tcMar>
                  <w:vAlign w:val="center"/>
                </w:tcPr>
                <w:p w14:paraId="0F690016">
                  <w:pPr>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COD</w:t>
                  </w:r>
                </w:p>
              </w:tc>
              <w:tc>
                <w:tcPr>
                  <w:tcW w:w="3035" w:type="dxa"/>
                  <w:tcBorders>
                    <w:top w:val="single" w:color="auto" w:sz="4" w:space="0"/>
                    <w:left w:val="single" w:color="auto" w:sz="4" w:space="0"/>
                    <w:bottom w:val="single" w:color="auto" w:sz="4" w:space="0"/>
                  </w:tcBorders>
                  <w:noWrap w:val="0"/>
                  <w:tcMar>
                    <w:top w:w="17" w:type="dxa"/>
                    <w:left w:w="17" w:type="dxa"/>
                    <w:bottom w:w="0" w:type="dxa"/>
                    <w:right w:w="17" w:type="dxa"/>
                  </w:tcMar>
                  <w:vAlign w:val="center"/>
                </w:tcPr>
                <w:p w14:paraId="1A69DD13">
                  <w:pPr>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500</w:t>
                  </w:r>
                </w:p>
              </w:tc>
            </w:tr>
            <w:tr w14:paraId="07312BB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051" w:type="dxa"/>
                  <w:tcBorders>
                    <w:top w:val="single" w:color="auto" w:sz="4" w:space="0"/>
                    <w:bottom w:val="single" w:color="auto" w:sz="4" w:space="0"/>
                    <w:right w:val="single" w:color="auto" w:sz="4" w:space="0"/>
                  </w:tcBorders>
                  <w:noWrap w:val="0"/>
                  <w:vAlign w:val="center"/>
                </w:tcPr>
                <w:p w14:paraId="3393463E">
                  <w:pPr>
                    <w:adjustRightInd w:val="0"/>
                    <w:snapToGrid w:val="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2</w:t>
                  </w:r>
                </w:p>
              </w:tc>
              <w:tc>
                <w:tcPr>
                  <w:tcW w:w="2851" w:type="dxa"/>
                  <w:tcBorders>
                    <w:top w:val="single" w:color="auto" w:sz="4" w:space="0"/>
                    <w:left w:val="single" w:color="auto" w:sz="4" w:space="0"/>
                    <w:bottom w:val="single" w:color="auto" w:sz="4" w:space="0"/>
                    <w:right w:val="single" w:color="auto" w:sz="4" w:space="0"/>
                  </w:tcBorders>
                  <w:noWrap w:val="0"/>
                  <w:tcMar>
                    <w:top w:w="17" w:type="dxa"/>
                    <w:left w:w="17" w:type="dxa"/>
                    <w:bottom w:w="0" w:type="dxa"/>
                    <w:right w:w="17" w:type="dxa"/>
                  </w:tcMar>
                  <w:vAlign w:val="center"/>
                </w:tcPr>
                <w:p w14:paraId="31E57A46">
                  <w:pPr>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BOD5</w:t>
                  </w:r>
                </w:p>
              </w:tc>
              <w:tc>
                <w:tcPr>
                  <w:tcW w:w="3035" w:type="dxa"/>
                  <w:tcBorders>
                    <w:top w:val="single" w:color="auto" w:sz="4" w:space="0"/>
                    <w:left w:val="single" w:color="auto" w:sz="4" w:space="0"/>
                    <w:bottom w:val="single" w:color="auto" w:sz="4" w:space="0"/>
                  </w:tcBorders>
                  <w:noWrap w:val="0"/>
                  <w:tcMar>
                    <w:top w:w="17" w:type="dxa"/>
                    <w:left w:w="17" w:type="dxa"/>
                    <w:bottom w:w="0" w:type="dxa"/>
                    <w:right w:w="17" w:type="dxa"/>
                  </w:tcMar>
                  <w:vAlign w:val="center"/>
                </w:tcPr>
                <w:p w14:paraId="24392582">
                  <w:pPr>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300</w:t>
                  </w:r>
                </w:p>
              </w:tc>
            </w:tr>
            <w:tr w14:paraId="6402615A">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051" w:type="dxa"/>
                  <w:tcBorders>
                    <w:top w:val="single" w:color="auto" w:sz="4" w:space="0"/>
                    <w:bottom w:val="single" w:color="auto" w:sz="4" w:space="0"/>
                    <w:right w:val="single" w:color="auto" w:sz="4" w:space="0"/>
                  </w:tcBorders>
                  <w:noWrap w:val="0"/>
                  <w:vAlign w:val="center"/>
                </w:tcPr>
                <w:p w14:paraId="39E2C41D">
                  <w:pPr>
                    <w:adjustRightInd w:val="0"/>
                    <w:snapToGrid w:val="0"/>
                    <w:jc w:val="cente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3</w:t>
                  </w:r>
                </w:p>
              </w:tc>
              <w:tc>
                <w:tcPr>
                  <w:tcW w:w="2851" w:type="dxa"/>
                  <w:tcBorders>
                    <w:top w:val="single" w:color="auto" w:sz="4" w:space="0"/>
                    <w:left w:val="single" w:color="auto" w:sz="4" w:space="0"/>
                    <w:bottom w:val="single" w:color="auto" w:sz="4" w:space="0"/>
                    <w:right w:val="single" w:color="auto" w:sz="4" w:space="0"/>
                  </w:tcBorders>
                  <w:noWrap w:val="0"/>
                  <w:tcMar>
                    <w:top w:w="17" w:type="dxa"/>
                    <w:left w:w="17" w:type="dxa"/>
                    <w:bottom w:w="0" w:type="dxa"/>
                    <w:right w:w="17" w:type="dxa"/>
                  </w:tcMar>
                  <w:vAlign w:val="center"/>
                </w:tcPr>
                <w:p w14:paraId="7D14389E">
                  <w:pPr>
                    <w:adjustRightInd w:val="0"/>
                    <w:snapToGrid w:val="0"/>
                    <w:jc w:val="cente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SS</w:t>
                  </w:r>
                </w:p>
              </w:tc>
              <w:tc>
                <w:tcPr>
                  <w:tcW w:w="3035" w:type="dxa"/>
                  <w:tcBorders>
                    <w:top w:val="single" w:color="auto" w:sz="4" w:space="0"/>
                    <w:left w:val="single" w:color="auto" w:sz="4" w:space="0"/>
                    <w:bottom w:val="single" w:color="auto" w:sz="4" w:space="0"/>
                  </w:tcBorders>
                  <w:noWrap w:val="0"/>
                  <w:tcMar>
                    <w:top w:w="17" w:type="dxa"/>
                    <w:left w:w="17" w:type="dxa"/>
                    <w:bottom w:w="0" w:type="dxa"/>
                    <w:right w:w="17" w:type="dxa"/>
                  </w:tcMar>
                  <w:vAlign w:val="center"/>
                </w:tcPr>
                <w:p w14:paraId="577F3C93">
                  <w:pPr>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400</w:t>
                  </w:r>
                </w:p>
              </w:tc>
            </w:tr>
            <w:tr w14:paraId="725A39A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051" w:type="dxa"/>
                  <w:tcBorders>
                    <w:top w:val="single" w:color="auto" w:sz="4" w:space="0"/>
                    <w:bottom w:val="single" w:color="auto" w:sz="12" w:space="0"/>
                    <w:right w:val="single" w:color="auto" w:sz="4" w:space="0"/>
                  </w:tcBorders>
                  <w:noWrap w:val="0"/>
                  <w:vAlign w:val="center"/>
                </w:tcPr>
                <w:p w14:paraId="38366076">
                  <w:pPr>
                    <w:adjustRightInd w:val="0"/>
                    <w:snapToGrid w:val="0"/>
                    <w:jc w:val="cente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4</w:t>
                  </w:r>
                </w:p>
              </w:tc>
              <w:tc>
                <w:tcPr>
                  <w:tcW w:w="2851" w:type="dxa"/>
                  <w:tcBorders>
                    <w:top w:val="single" w:color="auto" w:sz="4" w:space="0"/>
                    <w:left w:val="single" w:color="auto" w:sz="4" w:space="0"/>
                    <w:bottom w:val="single" w:color="auto" w:sz="12" w:space="0"/>
                    <w:right w:val="single" w:color="auto" w:sz="4" w:space="0"/>
                  </w:tcBorders>
                  <w:noWrap w:val="0"/>
                  <w:tcMar>
                    <w:top w:w="17" w:type="dxa"/>
                    <w:left w:w="17" w:type="dxa"/>
                    <w:bottom w:w="0" w:type="dxa"/>
                    <w:right w:w="17" w:type="dxa"/>
                  </w:tcMar>
                  <w:vAlign w:val="center"/>
                </w:tcPr>
                <w:p w14:paraId="0C69014B">
                  <w:pPr>
                    <w:adjustRightInd w:val="0"/>
                    <w:snapToGrid w:val="0"/>
                    <w:jc w:val="cente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氨氮（以N计）</w:t>
                  </w:r>
                </w:p>
              </w:tc>
              <w:tc>
                <w:tcPr>
                  <w:tcW w:w="3035" w:type="dxa"/>
                  <w:tcBorders>
                    <w:top w:val="single" w:color="auto" w:sz="4" w:space="0"/>
                    <w:left w:val="single" w:color="auto" w:sz="4" w:space="0"/>
                    <w:bottom w:val="single" w:color="auto" w:sz="12" w:space="0"/>
                  </w:tcBorders>
                  <w:noWrap w:val="0"/>
                  <w:tcMar>
                    <w:top w:w="17" w:type="dxa"/>
                    <w:left w:w="17" w:type="dxa"/>
                    <w:bottom w:w="0" w:type="dxa"/>
                    <w:right w:w="17" w:type="dxa"/>
                  </w:tcMar>
                  <w:vAlign w:val="center"/>
                </w:tcPr>
                <w:p w14:paraId="6A349C54">
                  <w:pPr>
                    <w:adjustRightInd w:val="0"/>
                    <w:snapToGrid w:val="0"/>
                    <w:jc w:val="cente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p>
              </w:tc>
            </w:tr>
          </w:tbl>
          <w:p w14:paraId="7B822F41">
            <w:pPr>
              <w:adjustRightInd w:val="0"/>
              <w:snapToGrid w:val="0"/>
              <w:spacing w:line="360" w:lineRule="auto"/>
              <w:ind w:firstLine="482" w:firstLineChars="200"/>
              <w:jc w:val="left"/>
              <w:rPr>
                <w:b/>
                <w:bCs/>
                <w:snapToGrid w:val="0"/>
                <w:color w:val="auto"/>
                <w:sz w:val="24"/>
                <w:szCs w:val="24"/>
              </w:rPr>
            </w:pPr>
          </w:p>
          <w:p w14:paraId="1A3D0F91">
            <w:pPr>
              <w:adjustRightInd w:val="0"/>
              <w:snapToGrid w:val="0"/>
              <w:spacing w:line="360" w:lineRule="auto"/>
              <w:ind w:firstLine="482" w:firstLineChars="200"/>
              <w:jc w:val="left"/>
              <w:rPr>
                <w:b/>
                <w:bCs/>
                <w:snapToGrid w:val="0"/>
                <w:color w:val="auto"/>
                <w:sz w:val="24"/>
                <w:szCs w:val="24"/>
              </w:rPr>
            </w:pPr>
            <w:r>
              <w:rPr>
                <w:b/>
                <w:bCs/>
                <w:snapToGrid w:val="0"/>
                <w:color w:val="auto"/>
                <w:sz w:val="24"/>
                <w:szCs w:val="24"/>
              </w:rPr>
              <w:t>四、固体废物</w:t>
            </w:r>
          </w:p>
          <w:p w14:paraId="0F4B4E76">
            <w:pPr>
              <w:pStyle w:val="71"/>
              <w:spacing w:line="360" w:lineRule="auto"/>
              <w:ind w:firstLine="480"/>
              <w:outlineLvl w:val="2"/>
              <w:rPr>
                <w:rFonts w:hint="default" w:ascii="Times New Roman" w:hAnsi="Times New Roman" w:cs="Times New Roman"/>
                <w:bCs/>
                <w:iCs/>
                <w:color w:val="auto"/>
                <w:sz w:val="24"/>
                <w:highlight w:val="none"/>
              </w:rPr>
            </w:pPr>
            <w:r>
              <w:rPr>
                <w:rFonts w:hint="eastAsia" w:ascii="Times New Roman" w:hAnsi="Times New Roman" w:cs="Times New Roman"/>
                <w:bCs/>
                <w:iCs/>
                <w:color w:val="auto"/>
                <w:sz w:val="24"/>
                <w:highlight w:val="none"/>
                <w:lang w:val="en-US" w:eastAsia="zh-CN"/>
              </w:rPr>
              <w:t>一般固体废物</w:t>
            </w:r>
            <w:r>
              <w:rPr>
                <w:rFonts w:hint="default" w:ascii="Times New Roman" w:hAnsi="Times New Roman" w:cs="Times New Roman"/>
                <w:bCs/>
                <w:iCs/>
                <w:color w:val="auto"/>
                <w:sz w:val="24"/>
                <w:highlight w:val="none"/>
              </w:rPr>
              <w:t>处置执行《一般工业固体废物贮存和填埋污染控制标准》（GB18599-2020）标准</w:t>
            </w:r>
            <w:r>
              <w:rPr>
                <w:rFonts w:hint="eastAsia" w:ascii="Times New Roman" w:hAnsi="Times New Roman" w:cs="Times New Roman"/>
                <w:bCs/>
                <w:iCs/>
                <w:color w:val="auto"/>
                <w:sz w:val="24"/>
                <w:highlight w:val="none"/>
                <w:lang w:eastAsia="zh-CN"/>
              </w:rPr>
              <w:t>；</w:t>
            </w:r>
            <w:r>
              <w:rPr>
                <w:rFonts w:hint="default" w:ascii="Times New Roman" w:hAnsi="Times New Roman" w:cs="Times New Roman"/>
                <w:bCs/>
                <w:iCs/>
                <w:color w:val="auto"/>
                <w:sz w:val="24"/>
                <w:highlight w:val="none"/>
              </w:rPr>
              <w:t>危险废物贮存执行《危险废物贮存污染控制标准》（GB18597-20</w:t>
            </w:r>
            <w:r>
              <w:rPr>
                <w:rFonts w:hint="eastAsia" w:ascii="Times New Roman" w:hAnsi="Times New Roman" w:cs="Times New Roman"/>
                <w:bCs/>
                <w:iCs/>
                <w:color w:val="auto"/>
                <w:sz w:val="24"/>
                <w:highlight w:val="none"/>
                <w:lang w:val="en-US" w:eastAsia="zh-CN"/>
              </w:rPr>
              <w:t>23</w:t>
            </w:r>
            <w:r>
              <w:rPr>
                <w:rFonts w:hint="default" w:ascii="Times New Roman" w:hAnsi="Times New Roman" w:cs="Times New Roman"/>
                <w:bCs/>
                <w:iCs/>
                <w:color w:val="auto"/>
                <w:sz w:val="24"/>
                <w:highlight w:val="none"/>
              </w:rPr>
              <w:t>）标准。</w:t>
            </w:r>
          </w:p>
          <w:p w14:paraId="2814AA6B">
            <w:pPr>
              <w:pStyle w:val="71"/>
              <w:spacing w:line="360" w:lineRule="auto"/>
              <w:ind w:firstLine="480"/>
              <w:outlineLvl w:val="2"/>
              <w:rPr>
                <w:rFonts w:hint="default" w:ascii="Times New Roman" w:hAnsi="Times New Roman" w:cs="Times New Roman"/>
                <w:bCs/>
                <w:iCs/>
                <w:color w:val="auto"/>
                <w:sz w:val="24"/>
                <w:highlight w:val="none"/>
              </w:rPr>
            </w:pPr>
          </w:p>
        </w:tc>
      </w:tr>
      <w:tr w14:paraId="1D2C29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5AC5765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总量</w:t>
            </w:r>
          </w:p>
          <w:p w14:paraId="1FC78D8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控制</w:t>
            </w:r>
          </w:p>
          <w:p w14:paraId="49511E3E">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指标</w:t>
            </w:r>
          </w:p>
        </w:tc>
        <w:tc>
          <w:tcPr>
            <w:tcW w:w="8190" w:type="dxa"/>
            <w:noWrap w:val="0"/>
            <w:vAlign w:val="center"/>
          </w:tcPr>
          <w:p w14:paraId="1F25E783">
            <w:pPr>
              <w:pStyle w:val="72"/>
              <w:keepNext w:val="0"/>
              <w:keepLines w:val="0"/>
              <w:pageBreakBefore w:val="0"/>
              <w:widowControl w:val="0"/>
              <w:kinsoku/>
              <w:wordWrap/>
              <w:overflowPunct/>
              <w:topLinePunct w:val="0"/>
              <w:bidi w:val="0"/>
              <w:snapToGrid/>
              <w:spacing w:line="500" w:lineRule="exact"/>
              <w:ind w:firstLine="480" w:firstLineChars="200"/>
              <w:outlineLvl w:val="2"/>
              <w:rPr>
                <w:rFonts w:hint="eastAsia" w:ascii="Times New Roman" w:hAnsi="Times New Roman" w:eastAsia="宋体" w:cs="Times New Roman"/>
                <w:color w:val="auto"/>
                <w:sz w:val="24"/>
                <w:highlight w:val="none"/>
                <w:lang w:val="en-US" w:eastAsia="zh-CN"/>
              </w:rPr>
            </w:pPr>
          </w:p>
          <w:p w14:paraId="56B8068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Autospacing="0" w:after="0" w:afterAutospacing="0" w:line="240" w:lineRule="auto"/>
              <w:ind w:left="0" w:right="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表3-1</w:t>
            </w:r>
            <w:r>
              <w:rPr>
                <w:rFonts w:hint="eastAsia"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 xml:space="preserve">  总量控制指标</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85"/>
              <w:gridCol w:w="1985"/>
              <w:gridCol w:w="1872"/>
              <w:gridCol w:w="2129"/>
            </w:tblGrid>
            <w:tr w14:paraId="3C77AF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5" w:type="pct"/>
                  <w:noWrap w:val="0"/>
                  <w:vAlign w:val="center"/>
                </w:tcPr>
                <w:p w14:paraId="37C1A421">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rPr>
                  </w:pPr>
                  <w:r>
                    <w:rPr>
                      <w:rFonts w:hint="eastAsia"/>
                      <w:color w:val="auto"/>
                      <w:sz w:val="21"/>
                      <w:szCs w:val="21"/>
                      <w:lang w:val="en-US" w:eastAsia="zh-CN"/>
                    </w:rPr>
                    <w:t>类别</w:t>
                  </w:r>
                </w:p>
              </w:tc>
              <w:tc>
                <w:tcPr>
                  <w:tcW w:w="1245" w:type="pct"/>
                  <w:noWrap w:val="0"/>
                  <w:vAlign w:val="center"/>
                </w:tcPr>
                <w:p w14:paraId="6CD0FEF7">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rPr>
                  </w:pPr>
                  <w:r>
                    <w:rPr>
                      <w:rFonts w:hint="default"/>
                      <w:color w:val="auto"/>
                      <w:sz w:val="21"/>
                      <w:szCs w:val="21"/>
                    </w:rPr>
                    <w:t>污染物名称</w:t>
                  </w:r>
                </w:p>
              </w:tc>
              <w:tc>
                <w:tcPr>
                  <w:tcW w:w="1174" w:type="pct"/>
                  <w:noWrap w:val="0"/>
                  <w:vAlign w:val="center"/>
                </w:tcPr>
                <w:p w14:paraId="57CC6220">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eastAsia"/>
                      <w:color w:val="auto"/>
                      <w:sz w:val="21"/>
                      <w:szCs w:val="21"/>
                      <w:lang w:eastAsia="zh-CN"/>
                    </w:rPr>
                  </w:pPr>
                  <w:r>
                    <w:rPr>
                      <w:rFonts w:hint="eastAsia"/>
                      <w:color w:val="auto"/>
                      <w:sz w:val="21"/>
                      <w:szCs w:val="21"/>
                      <w:lang w:val="en-US" w:eastAsia="zh-CN"/>
                    </w:rPr>
                    <w:t>核定</w:t>
                  </w:r>
                  <w:r>
                    <w:rPr>
                      <w:rFonts w:hint="eastAsia"/>
                      <w:color w:val="auto"/>
                      <w:sz w:val="21"/>
                      <w:szCs w:val="21"/>
                      <w:lang w:eastAsia="zh-CN"/>
                    </w:rPr>
                    <w:t>排放量（</w:t>
                  </w:r>
                  <w:r>
                    <w:rPr>
                      <w:rFonts w:hint="eastAsia"/>
                      <w:color w:val="auto"/>
                      <w:sz w:val="21"/>
                      <w:szCs w:val="21"/>
                      <w:lang w:val="en-US" w:eastAsia="zh-CN"/>
                    </w:rPr>
                    <w:t>t/a</w:t>
                  </w:r>
                  <w:r>
                    <w:rPr>
                      <w:rFonts w:hint="eastAsia"/>
                      <w:color w:val="auto"/>
                      <w:sz w:val="21"/>
                      <w:szCs w:val="21"/>
                      <w:lang w:eastAsia="zh-CN"/>
                    </w:rPr>
                    <w:t>）</w:t>
                  </w:r>
                </w:p>
              </w:tc>
              <w:tc>
                <w:tcPr>
                  <w:tcW w:w="1335" w:type="pct"/>
                  <w:noWrap w:val="0"/>
                  <w:vAlign w:val="center"/>
                </w:tcPr>
                <w:p w14:paraId="209D7802">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eastAsia"/>
                      <w:color w:val="auto"/>
                      <w:sz w:val="21"/>
                      <w:szCs w:val="21"/>
                      <w:lang w:val="en-US" w:eastAsia="zh-CN"/>
                    </w:rPr>
                  </w:pPr>
                  <w:r>
                    <w:rPr>
                      <w:rFonts w:hint="eastAsia"/>
                      <w:color w:val="auto"/>
                      <w:sz w:val="21"/>
                      <w:szCs w:val="21"/>
                      <w:lang w:eastAsia="zh-CN"/>
                    </w:rPr>
                    <w:t>预测排放量（</w:t>
                  </w:r>
                  <w:r>
                    <w:rPr>
                      <w:rFonts w:hint="eastAsia"/>
                      <w:color w:val="auto"/>
                      <w:sz w:val="21"/>
                      <w:szCs w:val="21"/>
                      <w:lang w:val="en-US" w:eastAsia="zh-CN"/>
                    </w:rPr>
                    <w:t>t/a</w:t>
                  </w:r>
                  <w:r>
                    <w:rPr>
                      <w:rFonts w:hint="eastAsia"/>
                      <w:color w:val="auto"/>
                      <w:sz w:val="21"/>
                      <w:szCs w:val="21"/>
                      <w:lang w:eastAsia="zh-CN"/>
                    </w:rPr>
                    <w:t>）</w:t>
                  </w:r>
                </w:p>
              </w:tc>
            </w:tr>
            <w:tr w14:paraId="0961F8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jc w:val="center"/>
              </w:trPr>
              <w:tc>
                <w:tcPr>
                  <w:tcW w:w="1245" w:type="pct"/>
                  <w:vMerge w:val="restart"/>
                  <w:noWrap w:val="0"/>
                  <w:vAlign w:val="center"/>
                </w:tcPr>
                <w:p w14:paraId="33302996">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eastAsia"/>
                      <w:color w:val="auto"/>
                      <w:sz w:val="21"/>
                      <w:szCs w:val="21"/>
                      <w:lang w:val="en-US" w:eastAsia="zh-CN"/>
                    </w:rPr>
                  </w:pPr>
                  <w:r>
                    <w:rPr>
                      <w:rFonts w:hint="eastAsia"/>
                      <w:color w:val="auto"/>
                      <w:sz w:val="21"/>
                      <w:szCs w:val="21"/>
                      <w:lang w:val="en-US" w:eastAsia="zh-CN"/>
                    </w:rPr>
                    <w:t>废气</w:t>
                  </w:r>
                </w:p>
              </w:tc>
              <w:tc>
                <w:tcPr>
                  <w:tcW w:w="1245" w:type="pct"/>
                  <w:noWrap w:val="0"/>
                  <w:vAlign w:val="center"/>
                </w:tcPr>
                <w:p w14:paraId="125AF331">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lang w:val="en-US" w:eastAsia="zh-CN"/>
                    </w:rPr>
                  </w:pPr>
                  <w:r>
                    <w:rPr>
                      <w:rFonts w:hint="default"/>
                      <w:color w:val="auto"/>
                      <w:sz w:val="21"/>
                      <w:szCs w:val="21"/>
                      <w:lang w:val="en-US" w:eastAsia="zh-CN"/>
                    </w:rPr>
                    <w:t>SO</w:t>
                  </w:r>
                  <w:r>
                    <w:rPr>
                      <w:rFonts w:hint="default"/>
                      <w:color w:val="auto"/>
                      <w:sz w:val="21"/>
                      <w:szCs w:val="21"/>
                      <w:vertAlign w:val="subscript"/>
                      <w:lang w:val="en-US" w:eastAsia="zh-CN"/>
                    </w:rPr>
                    <w:t>2</w:t>
                  </w:r>
                </w:p>
              </w:tc>
              <w:tc>
                <w:tcPr>
                  <w:tcW w:w="1174" w:type="pct"/>
                  <w:noWrap w:val="0"/>
                  <w:vAlign w:val="center"/>
                </w:tcPr>
                <w:p w14:paraId="45D8E2F2">
                  <w:pPr>
                    <w:pStyle w:val="11"/>
                    <w:keepNext w:val="0"/>
                    <w:keepLines w:val="0"/>
                    <w:pageBreakBefore w:val="0"/>
                    <w:widowControl/>
                    <w:kinsoku/>
                    <w:wordWrap/>
                    <w:overflowPunct/>
                    <w:topLinePunct w:val="0"/>
                    <w:autoSpaceDE/>
                    <w:autoSpaceDN/>
                    <w:bidi w:val="0"/>
                    <w:adjustRightInd w:val="0"/>
                    <w:snapToGrid w:val="0"/>
                    <w:spacing w:before="0" w:line="400" w:lineRule="exact"/>
                    <w:ind w:right="113" w:rightChars="0"/>
                    <w:jc w:val="center"/>
                    <w:textAlignment w:val="baseline"/>
                    <w:rPr>
                      <w:rFonts w:hint="default"/>
                      <w:color w:val="auto"/>
                      <w:sz w:val="21"/>
                      <w:szCs w:val="21"/>
                      <w:lang w:val="en-US" w:eastAsia="zh-CN"/>
                    </w:rPr>
                  </w:pPr>
                  <w:r>
                    <w:rPr>
                      <w:rFonts w:hint="eastAsia"/>
                      <w:color w:val="auto"/>
                      <w:sz w:val="21"/>
                      <w:szCs w:val="21"/>
                      <w:lang w:val="en-US" w:eastAsia="zh-CN"/>
                    </w:rPr>
                    <w:t>1.93</w:t>
                  </w:r>
                </w:p>
              </w:tc>
              <w:tc>
                <w:tcPr>
                  <w:tcW w:w="1335" w:type="pct"/>
                  <w:noWrap w:val="0"/>
                  <w:vAlign w:val="center"/>
                </w:tcPr>
                <w:p w14:paraId="700BB4BE">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lang w:val="en-US" w:eastAsia="zh-CN"/>
                    </w:rPr>
                  </w:pPr>
                  <w:r>
                    <w:rPr>
                      <w:rFonts w:hint="eastAsia"/>
                      <w:color w:val="auto"/>
                      <w:sz w:val="21"/>
                      <w:szCs w:val="21"/>
                      <w:lang w:val="en-US" w:eastAsia="zh-CN"/>
                    </w:rPr>
                    <w:t>0.33</w:t>
                  </w:r>
                </w:p>
              </w:tc>
            </w:tr>
            <w:tr w14:paraId="375CFD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5" w:type="pct"/>
                  <w:vMerge w:val="continue"/>
                  <w:noWrap w:val="0"/>
                  <w:vAlign w:val="center"/>
                </w:tcPr>
                <w:p w14:paraId="0FEC8A74">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rPr>
                  </w:pPr>
                </w:p>
              </w:tc>
              <w:tc>
                <w:tcPr>
                  <w:tcW w:w="1245" w:type="pct"/>
                  <w:noWrap w:val="0"/>
                  <w:vAlign w:val="center"/>
                </w:tcPr>
                <w:p w14:paraId="61C48CE5">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lang w:val="en-US" w:eastAsia="zh-CN"/>
                    </w:rPr>
                  </w:pPr>
                  <w:r>
                    <w:rPr>
                      <w:snapToGrid w:val="0"/>
                      <w:color w:val="auto"/>
                      <w:kern w:val="0"/>
                      <w:sz w:val="21"/>
                      <w:szCs w:val="21"/>
                    </w:rPr>
                    <w:t>NO</w:t>
                  </w:r>
                  <w:r>
                    <w:rPr>
                      <w:snapToGrid w:val="0"/>
                      <w:color w:val="auto"/>
                      <w:kern w:val="0"/>
                      <w:sz w:val="21"/>
                      <w:szCs w:val="21"/>
                      <w:vertAlign w:val="subscript"/>
                    </w:rPr>
                    <w:t>x</w:t>
                  </w:r>
                </w:p>
              </w:tc>
              <w:tc>
                <w:tcPr>
                  <w:tcW w:w="1174" w:type="pct"/>
                  <w:noWrap w:val="0"/>
                  <w:vAlign w:val="center"/>
                </w:tcPr>
                <w:p w14:paraId="611EA64D">
                  <w:pPr>
                    <w:pStyle w:val="11"/>
                    <w:keepNext w:val="0"/>
                    <w:keepLines w:val="0"/>
                    <w:pageBreakBefore w:val="0"/>
                    <w:widowControl/>
                    <w:kinsoku/>
                    <w:wordWrap/>
                    <w:overflowPunct/>
                    <w:topLinePunct w:val="0"/>
                    <w:autoSpaceDE/>
                    <w:autoSpaceDN/>
                    <w:bidi w:val="0"/>
                    <w:adjustRightInd w:val="0"/>
                    <w:snapToGrid w:val="0"/>
                    <w:spacing w:before="0" w:line="400" w:lineRule="exact"/>
                    <w:ind w:right="113" w:rightChars="0"/>
                    <w:jc w:val="center"/>
                    <w:textAlignment w:val="baseline"/>
                    <w:rPr>
                      <w:rFonts w:hint="default"/>
                      <w:color w:val="auto"/>
                      <w:sz w:val="21"/>
                      <w:szCs w:val="21"/>
                      <w:lang w:val="en-US" w:eastAsia="zh-CN"/>
                    </w:rPr>
                  </w:pPr>
                  <w:r>
                    <w:rPr>
                      <w:rFonts w:hint="eastAsia"/>
                      <w:color w:val="auto"/>
                      <w:sz w:val="21"/>
                      <w:szCs w:val="21"/>
                      <w:lang w:val="en-US" w:eastAsia="zh-CN"/>
                    </w:rPr>
                    <w:t>2.41</w:t>
                  </w:r>
                </w:p>
              </w:tc>
              <w:tc>
                <w:tcPr>
                  <w:tcW w:w="1335" w:type="pct"/>
                  <w:noWrap w:val="0"/>
                  <w:vAlign w:val="center"/>
                </w:tcPr>
                <w:p w14:paraId="399F5D7B">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lang w:val="en-US" w:eastAsia="zh-CN"/>
                    </w:rPr>
                  </w:pPr>
                  <w:r>
                    <w:rPr>
                      <w:rFonts w:hint="eastAsia"/>
                      <w:color w:val="auto"/>
                      <w:sz w:val="21"/>
                      <w:szCs w:val="21"/>
                      <w:lang w:val="en-US" w:eastAsia="zh-CN"/>
                    </w:rPr>
                    <w:t>1.56</w:t>
                  </w:r>
                </w:p>
              </w:tc>
            </w:tr>
            <w:tr w14:paraId="5DC90C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5" w:type="pct"/>
                  <w:vMerge w:val="continue"/>
                  <w:noWrap w:val="0"/>
                  <w:vAlign w:val="center"/>
                </w:tcPr>
                <w:p w14:paraId="79838E4E">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rPr>
                  </w:pPr>
                </w:p>
              </w:tc>
              <w:tc>
                <w:tcPr>
                  <w:tcW w:w="1245" w:type="pct"/>
                  <w:noWrap w:val="0"/>
                  <w:vAlign w:val="center"/>
                </w:tcPr>
                <w:p w14:paraId="58404E74">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lang w:val="en-US" w:eastAsia="zh-CN"/>
                    </w:rPr>
                  </w:pPr>
                  <w:r>
                    <w:rPr>
                      <w:rFonts w:hint="eastAsia"/>
                      <w:color w:val="auto"/>
                      <w:sz w:val="21"/>
                      <w:szCs w:val="21"/>
                      <w:lang w:val="en-US" w:eastAsia="zh-CN"/>
                    </w:rPr>
                    <w:t>颗粒物</w:t>
                  </w:r>
                </w:p>
              </w:tc>
              <w:tc>
                <w:tcPr>
                  <w:tcW w:w="1174" w:type="pct"/>
                  <w:noWrap w:val="0"/>
                  <w:vAlign w:val="center"/>
                </w:tcPr>
                <w:p w14:paraId="14BB7D0E">
                  <w:pPr>
                    <w:pStyle w:val="11"/>
                    <w:keepNext w:val="0"/>
                    <w:keepLines w:val="0"/>
                    <w:pageBreakBefore w:val="0"/>
                    <w:widowControl/>
                    <w:kinsoku/>
                    <w:wordWrap/>
                    <w:overflowPunct/>
                    <w:topLinePunct w:val="0"/>
                    <w:autoSpaceDE/>
                    <w:autoSpaceDN/>
                    <w:bidi w:val="0"/>
                    <w:adjustRightInd w:val="0"/>
                    <w:snapToGrid w:val="0"/>
                    <w:spacing w:before="0" w:line="400" w:lineRule="exact"/>
                    <w:ind w:right="113" w:rightChars="0"/>
                    <w:jc w:val="center"/>
                    <w:textAlignment w:val="baseline"/>
                    <w:rPr>
                      <w:rFonts w:hint="default"/>
                      <w:color w:val="auto"/>
                      <w:sz w:val="21"/>
                      <w:szCs w:val="21"/>
                      <w:lang w:val="en-US" w:eastAsia="zh-CN"/>
                    </w:rPr>
                  </w:pPr>
                  <w:r>
                    <w:rPr>
                      <w:rFonts w:hint="eastAsia"/>
                      <w:color w:val="auto"/>
                      <w:sz w:val="21"/>
                      <w:szCs w:val="21"/>
                      <w:lang w:val="en-US" w:eastAsia="zh-CN"/>
                    </w:rPr>
                    <w:t>0.40</w:t>
                  </w:r>
                </w:p>
              </w:tc>
              <w:tc>
                <w:tcPr>
                  <w:tcW w:w="1335" w:type="pct"/>
                  <w:noWrap w:val="0"/>
                  <w:vAlign w:val="center"/>
                </w:tcPr>
                <w:p w14:paraId="1EAC50C1">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lang w:val="en-US" w:eastAsia="zh-CN"/>
                    </w:rPr>
                  </w:pPr>
                  <w:r>
                    <w:rPr>
                      <w:rFonts w:hint="eastAsia"/>
                      <w:color w:val="auto"/>
                      <w:sz w:val="21"/>
                      <w:szCs w:val="21"/>
                      <w:lang w:val="en-US" w:eastAsia="zh-CN"/>
                    </w:rPr>
                    <w:t>0.10</w:t>
                  </w:r>
                </w:p>
              </w:tc>
            </w:tr>
            <w:tr w14:paraId="3A2117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5" w:type="pct"/>
                  <w:vMerge w:val="continue"/>
                  <w:noWrap w:val="0"/>
                  <w:vAlign w:val="center"/>
                </w:tcPr>
                <w:p w14:paraId="1B26DF33">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default"/>
                      <w:color w:val="auto"/>
                      <w:sz w:val="21"/>
                      <w:szCs w:val="21"/>
                    </w:rPr>
                  </w:pPr>
                </w:p>
              </w:tc>
              <w:tc>
                <w:tcPr>
                  <w:tcW w:w="1245" w:type="pct"/>
                  <w:noWrap w:val="0"/>
                  <w:vAlign w:val="center"/>
                </w:tcPr>
                <w:p w14:paraId="6099B837">
                  <w:pPr>
                    <w:pStyle w:val="11"/>
                    <w:keepNext w:val="0"/>
                    <w:keepLines w:val="0"/>
                    <w:pageBreakBefore w:val="0"/>
                    <w:widowControl/>
                    <w:kinsoku/>
                    <w:wordWrap/>
                    <w:overflowPunct/>
                    <w:topLinePunct w:val="0"/>
                    <w:autoSpaceDE/>
                    <w:autoSpaceDN/>
                    <w:bidi w:val="0"/>
                    <w:adjustRightInd w:val="0"/>
                    <w:snapToGrid w:val="0"/>
                    <w:spacing w:before="0" w:line="400" w:lineRule="exact"/>
                    <w:jc w:val="center"/>
                    <w:textAlignment w:val="baseline"/>
                    <w:rPr>
                      <w:rFonts w:hint="eastAsia"/>
                      <w:color w:val="auto"/>
                      <w:sz w:val="21"/>
                      <w:szCs w:val="21"/>
                      <w:lang w:val="en-US" w:eastAsia="zh-CN"/>
                    </w:rPr>
                  </w:pPr>
                  <w:r>
                    <w:rPr>
                      <w:rFonts w:hint="eastAsia" w:cs="Times New Roman"/>
                      <w:color w:val="auto"/>
                      <w:sz w:val="21"/>
                      <w:szCs w:val="21"/>
                      <w:highlight w:val="none"/>
                      <w:lang w:val="en-US" w:eastAsia="zh-CN"/>
                    </w:rPr>
                    <w:t>非甲烷总烃</w:t>
                  </w:r>
                </w:p>
              </w:tc>
              <w:tc>
                <w:tcPr>
                  <w:tcW w:w="1174" w:type="pct"/>
                  <w:noWrap w:val="0"/>
                  <w:vAlign w:val="center"/>
                </w:tcPr>
                <w:p w14:paraId="1E55BF85">
                  <w:pPr>
                    <w:pStyle w:val="11"/>
                    <w:keepNext w:val="0"/>
                    <w:keepLines w:val="0"/>
                    <w:pageBreakBefore w:val="0"/>
                    <w:widowControl/>
                    <w:kinsoku/>
                    <w:wordWrap/>
                    <w:overflowPunct/>
                    <w:topLinePunct w:val="0"/>
                    <w:autoSpaceDE/>
                    <w:autoSpaceDN/>
                    <w:bidi w:val="0"/>
                    <w:adjustRightInd w:val="0"/>
                    <w:snapToGrid w:val="0"/>
                    <w:spacing w:before="0" w:line="400" w:lineRule="exact"/>
                    <w:ind w:right="113" w:rightChars="0"/>
                    <w:jc w:val="center"/>
                    <w:textAlignment w:val="baseline"/>
                    <w:rPr>
                      <w:rFonts w:hint="default" w:eastAsia="宋体"/>
                      <w:color w:val="auto"/>
                      <w:sz w:val="21"/>
                      <w:szCs w:val="21"/>
                      <w:lang w:val="en-US" w:eastAsia="zh-CN"/>
                    </w:rPr>
                  </w:pPr>
                  <w:r>
                    <w:rPr>
                      <w:rFonts w:hint="eastAsia" w:eastAsia="宋体"/>
                      <w:color w:val="auto"/>
                      <w:sz w:val="21"/>
                      <w:szCs w:val="21"/>
                      <w:lang w:val="en-US" w:eastAsia="zh-CN"/>
                    </w:rPr>
                    <w:t>0.</w:t>
                  </w:r>
                  <w:r>
                    <w:rPr>
                      <w:rFonts w:hint="eastAsia"/>
                      <w:color w:val="auto"/>
                      <w:sz w:val="21"/>
                      <w:szCs w:val="21"/>
                      <w:lang w:val="en-US" w:eastAsia="zh-CN"/>
                    </w:rPr>
                    <w:t>262</w:t>
                  </w:r>
                </w:p>
              </w:tc>
              <w:tc>
                <w:tcPr>
                  <w:tcW w:w="1335" w:type="pct"/>
                  <w:noWrap w:val="0"/>
                  <w:vAlign w:val="center"/>
                </w:tcPr>
                <w:p w14:paraId="0EB22A1D">
                  <w:pPr>
                    <w:pStyle w:val="11"/>
                    <w:keepNext w:val="0"/>
                    <w:keepLines w:val="0"/>
                    <w:pageBreakBefore w:val="0"/>
                    <w:widowControl/>
                    <w:kinsoku/>
                    <w:wordWrap/>
                    <w:overflowPunct/>
                    <w:topLinePunct w:val="0"/>
                    <w:autoSpaceDE/>
                    <w:autoSpaceDN/>
                    <w:bidi w:val="0"/>
                    <w:adjustRightInd w:val="0"/>
                    <w:snapToGrid w:val="0"/>
                    <w:spacing w:before="0" w:line="400" w:lineRule="exact"/>
                    <w:ind w:right="113" w:rightChars="0"/>
                    <w:jc w:val="center"/>
                    <w:textAlignment w:val="baseline"/>
                    <w:rPr>
                      <w:rFonts w:hint="default" w:eastAsia="宋体"/>
                      <w:color w:val="auto"/>
                      <w:sz w:val="21"/>
                      <w:szCs w:val="21"/>
                      <w:lang w:val="en-US" w:eastAsia="zh-CN"/>
                    </w:rPr>
                  </w:pPr>
                  <w:r>
                    <w:rPr>
                      <w:rFonts w:hint="eastAsia" w:eastAsia="宋体"/>
                      <w:color w:val="auto"/>
                      <w:sz w:val="21"/>
                      <w:szCs w:val="21"/>
                      <w:lang w:val="en-US" w:eastAsia="zh-CN"/>
                    </w:rPr>
                    <w:t>0.0</w:t>
                  </w:r>
                  <w:r>
                    <w:rPr>
                      <w:rFonts w:hint="eastAsia"/>
                      <w:color w:val="auto"/>
                      <w:sz w:val="21"/>
                      <w:szCs w:val="21"/>
                      <w:lang w:val="en-US" w:eastAsia="zh-CN"/>
                    </w:rPr>
                    <w:t>472</w:t>
                  </w:r>
                </w:p>
              </w:tc>
            </w:tr>
          </w:tbl>
          <w:p w14:paraId="5BCA6027">
            <w:pPr>
              <w:adjustRightInd w:val="0"/>
              <w:snapToGrid w:val="0"/>
              <w:spacing w:line="360" w:lineRule="auto"/>
              <w:rPr>
                <w:snapToGrid w:val="0"/>
                <w:color w:val="auto"/>
                <w:kern w:val="0"/>
                <w:szCs w:val="21"/>
              </w:rPr>
            </w:pPr>
          </w:p>
          <w:p w14:paraId="5481E412">
            <w:pPr>
              <w:spacing w:line="360" w:lineRule="auto"/>
              <w:ind w:left="0" w:leftChars="0" w:firstLine="0" w:firstLineChars="0"/>
              <w:rPr>
                <w:rFonts w:hint="eastAsia" w:ascii="Times New Roman" w:hAnsi="Times New Roman" w:eastAsia="宋体" w:cs="Times New Roman"/>
                <w:color w:val="auto"/>
                <w:kern w:val="0"/>
                <w:sz w:val="24"/>
                <w:highlight w:val="none"/>
                <w:lang w:eastAsia="zh-CN"/>
              </w:rPr>
            </w:pPr>
          </w:p>
          <w:p w14:paraId="1C7887AE">
            <w:pPr>
              <w:spacing w:line="360" w:lineRule="auto"/>
              <w:ind w:left="0" w:leftChars="0" w:firstLine="0" w:firstLineChars="0"/>
              <w:rPr>
                <w:rFonts w:hint="eastAsia" w:ascii="Times New Roman" w:hAnsi="Times New Roman" w:eastAsia="宋体" w:cs="Times New Roman"/>
                <w:color w:val="auto"/>
                <w:kern w:val="0"/>
                <w:sz w:val="24"/>
                <w:highlight w:val="none"/>
                <w:lang w:eastAsia="zh-CN"/>
              </w:rPr>
            </w:pPr>
          </w:p>
          <w:p w14:paraId="12C02590">
            <w:pPr>
              <w:spacing w:line="360" w:lineRule="auto"/>
              <w:ind w:left="0" w:leftChars="0" w:firstLine="0" w:firstLineChars="0"/>
              <w:rPr>
                <w:rFonts w:hint="eastAsia" w:ascii="Times New Roman" w:hAnsi="Times New Roman" w:eastAsia="宋体" w:cs="Times New Roman"/>
                <w:color w:val="auto"/>
                <w:kern w:val="0"/>
                <w:sz w:val="24"/>
                <w:highlight w:val="none"/>
                <w:lang w:eastAsia="zh-CN"/>
              </w:rPr>
            </w:pPr>
          </w:p>
          <w:p w14:paraId="251D4432">
            <w:pPr>
              <w:spacing w:line="360" w:lineRule="auto"/>
              <w:ind w:left="0" w:leftChars="0" w:firstLine="0" w:firstLineChars="0"/>
              <w:rPr>
                <w:rFonts w:hint="eastAsia" w:ascii="Times New Roman" w:hAnsi="Times New Roman" w:eastAsia="宋体" w:cs="Times New Roman"/>
                <w:color w:val="auto"/>
                <w:kern w:val="0"/>
                <w:sz w:val="24"/>
                <w:highlight w:val="none"/>
                <w:lang w:eastAsia="zh-CN"/>
              </w:rPr>
            </w:pPr>
          </w:p>
          <w:p w14:paraId="273D30E4">
            <w:pPr>
              <w:spacing w:line="360" w:lineRule="auto"/>
              <w:ind w:left="0" w:leftChars="0" w:firstLine="0" w:firstLineChars="0"/>
              <w:rPr>
                <w:rFonts w:hint="eastAsia" w:ascii="Times New Roman" w:hAnsi="Times New Roman" w:eastAsia="宋体" w:cs="Times New Roman"/>
                <w:color w:val="auto"/>
                <w:kern w:val="0"/>
                <w:sz w:val="24"/>
                <w:highlight w:val="none"/>
                <w:lang w:eastAsia="zh-CN"/>
              </w:rPr>
            </w:pPr>
          </w:p>
        </w:tc>
      </w:tr>
    </w:tbl>
    <w:p w14:paraId="54043762">
      <w:pPr>
        <w:pStyle w:val="27"/>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6"/>
          <w:szCs w:val="36"/>
          <w:highlight w:val="none"/>
        </w:rPr>
        <w:br w:type="page"/>
      </w:r>
      <w:bookmarkStart w:id="25" w:name="_Toc29421"/>
      <w:bookmarkStart w:id="26" w:name="_Toc15640"/>
      <w:r>
        <w:rPr>
          <w:rFonts w:hint="default" w:ascii="Times New Roman" w:hAnsi="Times New Roman" w:eastAsia="黑体" w:cs="Times New Roman"/>
          <w:snapToGrid w:val="0"/>
          <w:color w:val="auto"/>
          <w:sz w:val="30"/>
          <w:szCs w:val="30"/>
          <w:highlight w:val="none"/>
        </w:rPr>
        <w:t>四、主要环境影响和保护措施</w:t>
      </w:r>
      <w:bookmarkEnd w:id="25"/>
      <w:bookmarkEnd w:id="26"/>
    </w:p>
    <w:tbl>
      <w:tblPr>
        <w:tblStyle w:val="31"/>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278D0E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6" w:hRule="atLeast"/>
          <w:jc w:val="center"/>
        </w:trPr>
        <w:tc>
          <w:tcPr>
            <w:tcW w:w="746" w:type="dxa"/>
            <w:noWrap w:val="0"/>
            <w:tcMar>
              <w:left w:w="28" w:type="dxa"/>
              <w:right w:w="28" w:type="dxa"/>
            </w:tcMar>
            <w:vAlign w:val="center"/>
          </w:tcPr>
          <w:p w14:paraId="402BB8DB">
            <w:pPr>
              <w:pStyle w:val="27"/>
              <w:adjustRightInd w:val="0"/>
              <w:snapToGrid w:val="0"/>
              <w:spacing w:before="0" w:beforeAutospacing="0" w:after="0" w:afterAutospacing="0"/>
              <w:jc w:val="center"/>
              <w:rPr>
                <w:rFonts w:hint="default" w:ascii="Times New Roman" w:hAnsi="Times New Roman" w:cs="Times New Roman"/>
                <w:bCs/>
                <w:color w:val="auto"/>
                <w:kern w:val="2"/>
                <w:szCs w:val="24"/>
                <w:highlight w:val="none"/>
                <w:lang w:val="en-US" w:eastAsia="zh-CN"/>
              </w:rPr>
            </w:pPr>
            <w:r>
              <w:rPr>
                <w:rFonts w:hint="default" w:ascii="Times New Roman" w:hAnsi="Times New Roman" w:cs="Times New Roman"/>
                <w:color w:val="auto"/>
                <w:kern w:val="2"/>
                <w:szCs w:val="24"/>
                <w:highlight w:val="none"/>
                <w:lang w:val="en-US" w:eastAsia="zh-CN"/>
              </w:rPr>
              <w:t>施工期环境保护措施</w:t>
            </w:r>
          </w:p>
        </w:tc>
        <w:tc>
          <w:tcPr>
            <w:tcW w:w="8162" w:type="dxa"/>
            <w:noWrap w:val="0"/>
            <w:vAlign w:val="center"/>
          </w:tcPr>
          <w:p w14:paraId="594E805C">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lang w:val="en-US" w:eastAsia="zh-CN"/>
              </w:rPr>
              <w:t>本项目</w:t>
            </w:r>
            <w:r>
              <w:rPr>
                <w:rFonts w:hint="eastAsia" w:cs="Times New Roman"/>
                <w:color w:val="auto"/>
                <w:sz w:val="24"/>
                <w:highlight w:val="none"/>
                <w:lang w:val="en-US" w:eastAsia="zh-CN"/>
              </w:rPr>
              <w:t>利用自有</w:t>
            </w:r>
            <w:r>
              <w:rPr>
                <w:rFonts w:hint="default" w:ascii="Times New Roman" w:hAnsi="Times New Roman" w:eastAsia="宋体" w:cs="Times New Roman"/>
                <w:color w:val="auto"/>
                <w:sz w:val="24"/>
                <w:highlight w:val="none"/>
                <w:lang w:val="en-US" w:eastAsia="zh-CN"/>
              </w:rPr>
              <w:t>厂房进行建设，</w:t>
            </w:r>
            <w:r>
              <w:rPr>
                <w:rFonts w:hint="eastAsia" w:cs="Times New Roman"/>
                <w:color w:val="auto"/>
                <w:sz w:val="24"/>
                <w:highlight w:val="none"/>
                <w:lang w:val="en-US" w:eastAsia="zh-CN"/>
              </w:rPr>
              <w:t>1.75MW</w:t>
            </w:r>
            <w:r>
              <w:rPr>
                <w:bCs/>
                <w:snapToGrid w:val="0"/>
                <w:color w:val="auto"/>
                <w:kern w:val="0"/>
                <w:sz w:val="24"/>
                <w:szCs w:val="24"/>
              </w:rPr>
              <w:t>生物质</w:t>
            </w:r>
            <w:r>
              <w:rPr>
                <w:rFonts w:hint="eastAsia"/>
                <w:bCs/>
                <w:snapToGrid w:val="0"/>
                <w:color w:val="auto"/>
                <w:kern w:val="0"/>
                <w:sz w:val="24"/>
                <w:szCs w:val="24"/>
                <w:lang w:val="en-US" w:eastAsia="zh-CN"/>
              </w:rPr>
              <w:t>导热油</w:t>
            </w:r>
            <w:r>
              <w:rPr>
                <w:bCs/>
                <w:snapToGrid w:val="0"/>
                <w:color w:val="auto"/>
                <w:kern w:val="0"/>
                <w:sz w:val="24"/>
                <w:szCs w:val="24"/>
              </w:rPr>
              <w:t>锅炉</w:t>
            </w:r>
            <w:r>
              <w:rPr>
                <w:rFonts w:hint="eastAsia"/>
                <w:bCs/>
                <w:snapToGrid w:val="0"/>
                <w:color w:val="auto"/>
                <w:kern w:val="0"/>
                <w:sz w:val="24"/>
                <w:szCs w:val="24"/>
                <w:lang w:val="en-US" w:eastAsia="zh-CN"/>
              </w:rPr>
              <w:t>等工程</w:t>
            </w:r>
            <w:r>
              <w:rPr>
                <w:rFonts w:hint="default" w:ascii="Times New Roman" w:hAnsi="Times New Roman" w:eastAsia="宋体" w:cs="Times New Roman"/>
                <w:color w:val="auto"/>
                <w:sz w:val="24"/>
                <w:highlight w:val="none"/>
                <w:lang w:val="en-US" w:eastAsia="zh-CN"/>
              </w:rPr>
              <w:t>已完成建设，施工期仅涉及</w:t>
            </w:r>
            <w:r>
              <w:rPr>
                <w:rFonts w:hint="eastAsia" w:cs="Times New Roman"/>
                <w:color w:val="auto"/>
                <w:sz w:val="24"/>
                <w:highlight w:val="none"/>
                <w:lang w:val="en-US" w:eastAsia="zh-CN"/>
              </w:rPr>
              <w:t>烟囱加高至30m及新建活性炭吸附+15m高排气筒，</w:t>
            </w:r>
            <w:r>
              <w:rPr>
                <w:rFonts w:hint="default" w:ascii="Times New Roman" w:hAnsi="Times New Roman" w:eastAsia="宋体" w:cs="Times New Roman"/>
                <w:color w:val="auto"/>
                <w:sz w:val="24"/>
                <w:highlight w:val="none"/>
                <w:lang w:val="en-US" w:eastAsia="zh-CN"/>
              </w:rPr>
              <w:t>不进行土建施工，在</w:t>
            </w:r>
            <w:r>
              <w:rPr>
                <w:rFonts w:hint="eastAsia" w:cs="Times New Roman"/>
                <w:color w:val="auto"/>
                <w:sz w:val="24"/>
                <w:highlight w:val="none"/>
                <w:lang w:val="en-US" w:eastAsia="zh-CN"/>
              </w:rPr>
              <w:t>烟囱施工</w:t>
            </w:r>
            <w:r>
              <w:rPr>
                <w:rFonts w:hint="default" w:ascii="Times New Roman" w:hAnsi="Times New Roman" w:eastAsia="宋体" w:cs="Times New Roman"/>
                <w:color w:val="auto"/>
                <w:sz w:val="24"/>
                <w:highlight w:val="none"/>
                <w:lang w:val="en-US" w:eastAsia="zh-CN"/>
              </w:rPr>
              <w:t>过程中会产生少量粉尘，经洒水降尘无组织排放；施工过程中产生的噪声可被环境接受。</w:t>
            </w:r>
          </w:p>
        </w:tc>
      </w:tr>
      <w:tr w14:paraId="7BA6B3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13" w:hRule="atLeast"/>
          <w:jc w:val="center"/>
        </w:trPr>
        <w:tc>
          <w:tcPr>
            <w:tcW w:w="746" w:type="dxa"/>
            <w:noWrap w:val="0"/>
            <w:tcMar>
              <w:left w:w="28" w:type="dxa"/>
              <w:right w:w="28" w:type="dxa"/>
            </w:tcMar>
            <w:vAlign w:val="center"/>
          </w:tcPr>
          <w:p w14:paraId="33A5052E">
            <w:pPr>
              <w:pStyle w:val="27"/>
              <w:adjustRightInd w:val="0"/>
              <w:snapToGrid w:val="0"/>
              <w:spacing w:before="0" w:beforeAutospacing="0" w:after="0" w:afterAutospacing="0"/>
              <w:jc w:val="center"/>
              <w:rPr>
                <w:rFonts w:hint="default" w:ascii="Times New Roman" w:hAnsi="Times New Roman" w:cs="Times New Roman"/>
                <w:color w:val="auto"/>
                <w:kern w:val="2"/>
                <w:szCs w:val="24"/>
                <w:highlight w:val="none"/>
                <w:lang w:val="en-US" w:eastAsia="zh-CN"/>
              </w:rPr>
            </w:pPr>
            <w:r>
              <w:rPr>
                <w:rFonts w:hint="default" w:ascii="Times New Roman" w:hAnsi="Times New Roman" w:cs="Times New Roman"/>
                <w:bCs/>
                <w:color w:val="auto"/>
                <w:sz w:val="24"/>
                <w:highlight w:val="none"/>
              </w:rPr>
              <w:t>运营期环境影响和保护措施</w:t>
            </w:r>
          </w:p>
        </w:tc>
        <w:tc>
          <w:tcPr>
            <w:tcW w:w="8162" w:type="dxa"/>
            <w:noWrap w:val="0"/>
            <w:vAlign w:val="center"/>
          </w:tcPr>
          <w:p w14:paraId="5A049EFA">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left"/>
              <w:textAlignment w:val="auto"/>
              <w:rPr>
                <w:rFonts w:hint="eastAsia"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一、</w:t>
            </w:r>
            <w:r>
              <w:rPr>
                <w:rFonts w:hint="eastAsia" w:ascii="Times New Roman" w:hAnsi="Times New Roman" w:eastAsia="宋体" w:cs="Times New Roman"/>
                <w:b/>
                <w:bCs/>
                <w:color w:val="auto"/>
                <w:sz w:val="24"/>
                <w:highlight w:val="none"/>
                <w:lang w:val="en-US" w:eastAsia="zh-CN"/>
              </w:rPr>
              <w:t>对环境空气的影响及保护措施</w:t>
            </w:r>
          </w:p>
          <w:p w14:paraId="5310E612">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left"/>
              <w:textAlignment w:val="auto"/>
              <w:rPr>
                <w:rFonts w:hint="default" w:cs="Times New Roman"/>
                <w:b/>
                <w:bCs/>
                <w:color w:val="auto"/>
                <w:sz w:val="24"/>
                <w:highlight w:val="none"/>
                <w:lang w:val="en-US" w:eastAsia="zh-CN"/>
              </w:rPr>
            </w:pPr>
            <w:r>
              <w:rPr>
                <w:rFonts w:hint="eastAsia" w:cs="Times New Roman"/>
                <w:b/>
                <w:bCs/>
                <w:color w:val="auto"/>
                <w:sz w:val="24"/>
                <w:highlight w:val="none"/>
                <w:lang w:val="en-US" w:eastAsia="zh-CN"/>
              </w:rPr>
              <w:t>1、废气污染源</w:t>
            </w:r>
          </w:p>
          <w:p w14:paraId="3568B038">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本项目运营期废气主要为涂胶、热压过程中产生非甲烷总烃；锯切、仿形工序产生的颗粒物；锅炉烟气。</w:t>
            </w:r>
          </w:p>
          <w:p w14:paraId="3FE198BB">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①涂胶、热压废气（非甲烷总烃）</w:t>
            </w:r>
          </w:p>
          <w:p w14:paraId="71D27355">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项目使用的胶水为环保型大豆蛋白胶，则其年使用量为</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6t/a。本项目年产</w:t>
            </w:r>
            <w:r>
              <w:rPr>
                <w:rFonts w:hint="eastAsia" w:cs="Times New Roman"/>
                <w:color w:val="auto"/>
                <w:sz w:val="24"/>
                <w:highlight w:val="none"/>
                <w:lang w:val="en-US" w:eastAsia="zh-CN"/>
              </w:rPr>
              <w:t>11</w:t>
            </w:r>
            <w:r>
              <w:rPr>
                <w:rFonts w:hint="eastAsia" w:ascii="Times New Roman" w:hAnsi="Times New Roman" w:eastAsia="宋体" w:cs="Times New Roman"/>
                <w:color w:val="auto"/>
                <w:sz w:val="24"/>
                <w:highlight w:val="none"/>
                <w:lang w:val="en-US" w:eastAsia="zh-CN"/>
              </w:rPr>
              <w:t>000m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板芯，根据胶水生产厂家提供的资料，环保型大豆蛋白胶的主要成分为氨基化合物、蛋白质、碳水化合物，故项目在涂胶、热压过程中产生挥发性有机物，以非甲烷总烃表征。由于项目目前</w:t>
            </w:r>
            <w:r>
              <w:rPr>
                <w:rFonts w:hint="eastAsia" w:cs="Times New Roman"/>
                <w:color w:val="auto"/>
                <w:sz w:val="24"/>
                <w:highlight w:val="none"/>
                <w:lang w:val="en-US" w:eastAsia="zh-CN"/>
              </w:rPr>
              <w:t>未投产</w:t>
            </w:r>
            <w:r>
              <w:rPr>
                <w:rFonts w:hint="eastAsia" w:ascii="Times New Roman" w:hAnsi="Times New Roman" w:eastAsia="宋体" w:cs="Times New Roman"/>
                <w:color w:val="auto"/>
                <w:sz w:val="24"/>
                <w:highlight w:val="none"/>
                <w:lang w:val="en-US" w:eastAsia="zh-CN"/>
              </w:rPr>
              <w:t>，不具备污染源监测条件，本次评价源强核算采用产污系数法进行核算。根据检测报告（附件6），总挥发性有机物含量为18g/L，为保守计算，按全部挥发计，环保型大豆蛋白胶密度为1.1kg/L，则项目板芯车间涂胶、热压工序产生的挥发性有机物（非甲烷总烃）产生量为0.</w:t>
            </w:r>
            <w:r>
              <w:rPr>
                <w:rFonts w:hint="eastAsia" w:cs="Times New Roman"/>
                <w:color w:val="auto"/>
                <w:sz w:val="24"/>
                <w:highlight w:val="none"/>
                <w:lang w:val="en-US" w:eastAsia="zh-CN"/>
              </w:rPr>
              <w:t>262</w:t>
            </w:r>
            <w:r>
              <w:rPr>
                <w:rFonts w:hint="eastAsia" w:ascii="Times New Roman" w:hAnsi="Times New Roman" w:eastAsia="宋体" w:cs="Times New Roman"/>
                <w:color w:val="auto"/>
                <w:sz w:val="24"/>
                <w:highlight w:val="none"/>
                <w:lang w:val="en-US" w:eastAsia="zh-CN"/>
              </w:rPr>
              <w:t>t/a。有机废气经集气罩收集，经活性炭吸附处理后通过15m</w:t>
            </w:r>
            <w:r>
              <w:rPr>
                <w:rFonts w:hint="eastAsia"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lang w:val="en-US" w:eastAsia="zh-CN"/>
              </w:rPr>
              <w:t>高排气筒排放。按照废气集气罩收集效率为90%，处理效率为</w:t>
            </w:r>
            <w:r>
              <w:rPr>
                <w:rFonts w:hint="eastAsia" w:cs="Times New Roman"/>
                <w:color w:val="auto"/>
                <w:sz w:val="24"/>
                <w:highlight w:val="none"/>
                <w:lang w:val="en-US" w:eastAsia="zh-CN"/>
              </w:rPr>
              <w:t>8</w:t>
            </w:r>
            <w:r>
              <w:rPr>
                <w:rFonts w:hint="eastAsia" w:ascii="Times New Roman" w:hAnsi="Times New Roman" w:eastAsia="宋体" w:cs="Times New Roman"/>
                <w:color w:val="auto"/>
                <w:sz w:val="24"/>
                <w:highlight w:val="none"/>
                <w:lang w:val="en-US" w:eastAsia="zh-CN"/>
              </w:rPr>
              <w:t>0%，则热压阶段非甲烷总烃无组织排放量约为0.0</w:t>
            </w:r>
            <w:r>
              <w:rPr>
                <w:rFonts w:hint="eastAsia" w:cs="Times New Roman"/>
                <w:color w:val="auto"/>
                <w:sz w:val="24"/>
                <w:highlight w:val="none"/>
                <w:lang w:val="en-US" w:eastAsia="zh-CN"/>
              </w:rPr>
              <w:t>262</w:t>
            </w:r>
            <w:r>
              <w:rPr>
                <w:rFonts w:hint="eastAsia" w:ascii="Times New Roman" w:hAnsi="Times New Roman" w:eastAsia="宋体" w:cs="Times New Roman"/>
                <w:color w:val="auto"/>
                <w:sz w:val="24"/>
                <w:highlight w:val="none"/>
                <w:lang w:val="en-US" w:eastAsia="zh-CN"/>
              </w:rPr>
              <w:t>t/a，被集气罩收集的非甲烷总烃约0.</w:t>
            </w:r>
            <w:r>
              <w:rPr>
                <w:rFonts w:hint="eastAsia" w:cs="Times New Roman"/>
                <w:color w:val="auto"/>
                <w:sz w:val="24"/>
                <w:highlight w:val="none"/>
                <w:lang w:val="en-US" w:eastAsia="zh-CN"/>
              </w:rPr>
              <w:t>2358</w:t>
            </w:r>
            <w:r>
              <w:rPr>
                <w:rFonts w:hint="eastAsia" w:ascii="Times New Roman" w:hAnsi="Times New Roman" w:eastAsia="宋体" w:cs="Times New Roman"/>
                <w:color w:val="auto"/>
                <w:sz w:val="24"/>
                <w:highlight w:val="none"/>
                <w:lang w:val="en-US" w:eastAsia="zh-CN"/>
              </w:rPr>
              <w:t>t/a，非甲烷总烃有组织排放量约为0.0</w:t>
            </w:r>
            <w:r>
              <w:rPr>
                <w:rFonts w:hint="eastAsia" w:cs="Times New Roman"/>
                <w:color w:val="auto"/>
                <w:sz w:val="24"/>
                <w:highlight w:val="none"/>
                <w:lang w:val="en-US" w:eastAsia="zh-CN"/>
              </w:rPr>
              <w:t>472</w:t>
            </w:r>
            <w:r>
              <w:rPr>
                <w:rFonts w:hint="eastAsia" w:ascii="Times New Roman" w:hAnsi="Times New Roman" w:eastAsia="宋体" w:cs="Times New Roman"/>
                <w:color w:val="auto"/>
                <w:sz w:val="24"/>
                <w:highlight w:val="none"/>
                <w:lang w:val="en-US" w:eastAsia="zh-CN"/>
              </w:rPr>
              <w:t>t/a，有组织排放速率约为0.0</w:t>
            </w:r>
            <w:r>
              <w:rPr>
                <w:rFonts w:hint="eastAsia" w:cs="Times New Roman"/>
                <w:color w:val="auto"/>
                <w:sz w:val="24"/>
                <w:highlight w:val="none"/>
                <w:lang w:val="en-US" w:eastAsia="zh-CN"/>
              </w:rPr>
              <w:t>219</w:t>
            </w:r>
            <w:r>
              <w:rPr>
                <w:rFonts w:hint="eastAsia" w:ascii="Times New Roman" w:hAnsi="Times New Roman" w:eastAsia="宋体" w:cs="Times New Roman"/>
                <w:color w:val="auto"/>
                <w:sz w:val="24"/>
                <w:highlight w:val="none"/>
                <w:lang w:val="en-US" w:eastAsia="zh-CN"/>
              </w:rPr>
              <w:t>kg/h。</w:t>
            </w:r>
          </w:p>
          <w:p w14:paraId="711D282E">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根据建设单位提供资料，</w:t>
            </w:r>
            <w:r>
              <w:rPr>
                <w:rFonts w:hint="eastAsia" w:cs="Times New Roman"/>
                <w:color w:val="auto"/>
                <w:sz w:val="24"/>
                <w:highlight w:val="none"/>
                <w:lang w:val="en-US" w:eastAsia="zh-CN"/>
              </w:rPr>
              <w:t>风机风量为3000</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eastAsia"/>
                <w:color w:val="auto"/>
                <w:sz w:val="24"/>
                <w:szCs w:val="24"/>
                <w:lang w:val="en-US" w:eastAsia="zh-CN"/>
              </w:rPr>
              <w:t>/h，</w:t>
            </w:r>
            <w:r>
              <w:rPr>
                <w:rFonts w:hint="eastAsia" w:ascii="Times New Roman" w:hAnsi="Times New Roman" w:eastAsia="宋体" w:cs="Times New Roman"/>
                <w:color w:val="auto"/>
                <w:sz w:val="24"/>
                <w:highlight w:val="none"/>
                <w:lang w:val="en-US" w:eastAsia="zh-CN"/>
              </w:rPr>
              <w:t>本项目污染物产生、排放情况，具体见下表。</w:t>
            </w:r>
          </w:p>
          <w:p w14:paraId="372A817A">
            <w:pPr>
              <w:keepNext w:val="0"/>
              <w:keepLines w:val="0"/>
              <w:pageBreakBefore w:val="0"/>
              <w:widowControl w:val="0"/>
              <w:kinsoku/>
              <w:wordWrap/>
              <w:overflowPunct/>
              <w:topLinePunct w:val="0"/>
              <w:autoSpaceDE/>
              <w:autoSpaceDN/>
              <w:bidi w:val="0"/>
              <w:adjustRightInd/>
              <w:snapToGrid/>
              <w:spacing w:before="157" w:beforeLines="50" w:line="240" w:lineRule="auto"/>
              <w:ind w:firstLine="0"/>
              <w:jc w:val="center"/>
              <w:textAlignment w:val="auto"/>
              <w:rPr>
                <w:rFonts w:hint="eastAsia" w:eastAsia="宋体"/>
                <w:color w:val="auto"/>
                <w:highlight w:val="none"/>
                <w:lang w:val="en-US" w:eastAsia="zh-CN"/>
              </w:rPr>
            </w:pPr>
            <w:r>
              <w:rPr>
                <w:rFonts w:ascii="Times New Roman" w:hAnsi="Times New Roman" w:eastAsia="宋体" w:cs="Times New Roman"/>
                <w:b/>
                <w:snapToGrid w:val="0"/>
                <w:color w:val="auto"/>
                <w:kern w:val="0"/>
                <w:sz w:val="24"/>
                <w:szCs w:val="24"/>
                <w:highlight w:val="none"/>
              </w:rPr>
              <w:t>表4-</w:t>
            </w:r>
            <w:r>
              <w:rPr>
                <w:rFonts w:hint="eastAsia" w:ascii="Times New Roman" w:hAnsi="Times New Roman" w:eastAsia="宋体" w:cs="Times New Roman"/>
                <w:b/>
                <w:snapToGrid w:val="0"/>
                <w:color w:val="auto"/>
                <w:kern w:val="0"/>
                <w:sz w:val="24"/>
                <w:szCs w:val="24"/>
                <w:highlight w:val="none"/>
                <w:lang w:val="en-US" w:eastAsia="zh-CN"/>
              </w:rPr>
              <w:t>1</w:t>
            </w:r>
            <w:r>
              <w:rPr>
                <w:rFonts w:ascii="Times New Roman" w:hAnsi="Times New Roman" w:eastAsia="宋体" w:cs="Times New Roman"/>
                <w:b/>
                <w:snapToGrid w:val="0"/>
                <w:color w:val="auto"/>
                <w:kern w:val="0"/>
                <w:sz w:val="24"/>
                <w:szCs w:val="24"/>
                <w:highlight w:val="none"/>
              </w:rPr>
              <w:t>废气污染源源强核算结果</w:t>
            </w:r>
            <w:r>
              <w:rPr>
                <w:rFonts w:hint="eastAsia" w:cs="Times New Roman"/>
                <w:b/>
                <w:snapToGrid w:val="0"/>
                <w:color w:val="auto"/>
                <w:kern w:val="0"/>
                <w:sz w:val="24"/>
                <w:szCs w:val="24"/>
                <w:highlight w:val="none"/>
                <w:lang w:val="en-US" w:eastAsia="zh-CN"/>
              </w:rPr>
              <w:t>一览表</w:t>
            </w:r>
          </w:p>
          <w:tbl>
            <w:tblPr>
              <w:tblStyle w:val="31"/>
              <w:tblW w:w="80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4"/>
              <w:gridCol w:w="645"/>
              <w:gridCol w:w="435"/>
              <w:gridCol w:w="705"/>
              <w:gridCol w:w="780"/>
              <w:gridCol w:w="675"/>
              <w:gridCol w:w="660"/>
              <w:gridCol w:w="435"/>
              <w:gridCol w:w="450"/>
              <w:gridCol w:w="600"/>
              <w:gridCol w:w="690"/>
              <w:gridCol w:w="825"/>
              <w:gridCol w:w="773"/>
            </w:tblGrid>
            <w:tr w14:paraId="1E9B9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344" w:type="dxa"/>
                  <w:vMerge w:val="restart"/>
                  <w:tcBorders>
                    <w:tl2br w:val="nil"/>
                    <w:tr2bl w:val="nil"/>
                  </w:tcBorders>
                  <w:vAlign w:val="center"/>
                </w:tcPr>
                <w:p w14:paraId="65084A25">
                  <w:pPr>
                    <w:jc w:val="center"/>
                    <w:rPr>
                      <w:color w:val="auto"/>
                      <w:sz w:val="21"/>
                      <w:szCs w:val="21"/>
                    </w:rPr>
                  </w:pPr>
                  <w:r>
                    <w:rPr>
                      <w:color w:val="auto"/>
                      <w:sz w:val="21"/>
                      <w:szCs w:val="21"/>
                    </w:rPr>
                    <w:t>产污环节</w:t>
                  </w:r>
                </w:p>
              </w:tc>
              <w:tc>
                <w:tcPr>
                  <w:tcW w:w="645" w:type="dxa"/>
                  <w:vMerge w:val="restart"/>
                  <w:tcBorders>
                    <w:tl2br w:val="nil"/>
                    <w:tr2bl w:val="nil"/>
                  </w:tcBorders>
                  <w:vAlign w:val="center"/>
                </w:tcPr>
                <w:p w14:paraId="6E033AD1">
                  <w:pPr>
                    <w:jc w:val="center"/>
                    <w:rPr>
                      <w:color w:val="auto"/>
                      <w:sz w:val="21"/>
                      <w:szCs w:val="21"/>
                    </w:rPr>
                  </w:pPr>
                  <w:r>
                    <w:rPr>
                      <w:color w:val="auto"/>
                      <w:sz w:val="21"/>
                      <w:szCs w:val="21"/>
                    </w:rPr>
                    <w:t>污染物</w:t>
                  </w:r>
                </w:p>
              </w:tc>
              <w:tc>
                <w:tcPr>
                  <w:tcW w:w="435" w:type="dxa"/>
                  <w:vMerge w:val="restart"/>
                  <w:tcBorders>
                    <w:tl2br w:val="nil"/>
                    <w:tr2bl w:val="nil"/>
                  </w:tcBorders>
                  <w:vAlign w:val="center"/>
                </w:tcPr>
                <w:p w14:paraId="4D861793">
                  <w:pPr>
                    <w:jc w:val="center"/>
                    <w:rPr>
                      <w:rFonts w:hint="eastAsia" w:eastAsia="宋体"/>
                      <w:color w:val="auto"/>
                      <w:sz w:val="21"/>
                      <w:szCs w:val="21"/>
                      <w:lang w:val="en-US" w:eastAsia="zh-CN"/>
                    </w:rPr>
                  </w:pPr>
                  <w:r>
                    <w:rPr>
                      <w:rFonts w:hint="eastAsia"/>
                      <w:color w:val="auto"/>
                      <w:sz w:val="21"/>
                      <w:szCs w:val="21"/>
                      <w:lang w:val="en-US" w:eastAsia="zh-CN"/>
                    </w:rPr>
                    <w:t>排放方式</w:t>
                  </w:r>
                </w:p>
              </w:tc>
              <w:tc>
                <w:tcPr>
                  <w:tcW w:w="1485" w:type="dxa"/>
                  <w:gridSpan w:val="2"/>
                  <w:tcBorders>
                    <w:tl2br w:val="nil"/>
                    <w:tr2bl w:val="nil"/>
                  </w:tcBorders>
                  <w:vAlign w:val="center"/>
                </w:tcPr>
                <w:p w14:paraId="2A9DA399">
                  <w:pPr>
                    <w:jc w:val="center"/>
                    <w:rPr>
                      <w:color w:val="auto"/>
                      <w:sz w:val="21"/>
                      <w:szCs w:val="21"/>
                    </w:rPr>
                  </w:pPr>
                  <w:r>
                    <w:rPr>
                      <w:color w:val="auto"/>
                      <w:sz w:val="21"/>
                      <w:szCs w:val="21"/>
                    </w:rPr>
                    <w:t>污染物产生</w:t>
                  </w:r>
                </w:p>
              </w:tc>
              <w:tc>
                <w:tcPr>
                  <w:tcW w:w="2820" w:type="dxa"/>
                  <w:gridSpan w:val="5"/>
                  <w:tcBorders>
                    <w:tl2br w:val="nil"/>
                    <w:tr2bl w:val="nil"/>
                  </w:tcBorders>
                  <w:vAlign w:val="center"/>
                </w:tcPr>
                <w:p w14:paraId="0F34034C">
                  <w:pPr>
                    <w:jc w:val="center"/>
                    <w:rPr>
                      <w:rFonts w:hint="eastAsia" w:eastAsia="宋体"/>
                      <w:color w:val="auto"/>
                      <w:sz w:val="21"/>
                      <w:szCs w:val="21"/>
                      <w:lang w:val="en-US" w:eastAsia="zh-CN"/>
                    </w:rPr>
                  </w:pPr>
                  <w:r>
                    <w:rPr>
                      <w:rFonts w:hint="eastAsia"/>
                      <w:color w:val="auto"/>
                      <w:sz w:val="21"/>
                      <w:szCs w:val="21"/>
                      <w:lang w:val="en-US" w:eastAsia="zh-CN"/>
                    </w:rPr>
                    <w:t>治理措施</w:t>
                  </w:r>
                </w:p>
              </w:tc>
              <w:tc>
                <w:tcPr>
                  <w:tcW w:w="2288" w:type="dxa"/>
                  <w:gridSpan w:val="3"/>
                  <w:tcBorders>
                    <w:tl2br w:val="nil"/>
                    <w:tr2bl w:val="nil"/>
                  </w:tcBorders>
                  <w:vAlign w:val="center"/>
                </w:tcPr>
                <w:p w14:paraId="00B118DB">
                  <w:pPr>
                    <w:jc w:val="center"/>
                    <w:rPr>
                      <w:rFonts w:hint="eastAsia" w:eastAsia="宋体"/>
                      <w:color w:val="auto"/>
                      <w:sz w:val="21"/>
                      <w:szCs w:val="21"/>
                      <w:lang w:val="en-US" w:eastAsia="zh-CN"/>
                    </w:rPr>
                  </w:pPr>
                  <w:r>
                    <w:rPr>
                      <w:rFonts w:hint="eastAsia"/>
                      <w:color w:val="auto"/>
                      <w:sz w:val="21"/>
                      <w:szCs w:val="21"/>
                      <w:lang w:val="en-US" w:eastAsia="zh-CN"/>
                    </w:rPr>
                    <w:t>污染物排放</w:t>
                  </w:r>
                </w:p>
              </w:tc>
            </w:tr>
            <w:tr w14:paraId="2FE42C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5" w:hRule="atLeast"/>
                <w:jc w:val="center"/>
              </w:trPr>
              <w:tc>
                <w:tcPr>
                  <w:tcW w:w="344" w:type="dxa"/>
                  <w:vMerge w:val="continue"/>
                  <w:tcBorders>
                    <w:tl2br w:val="nil"/>
                    <w:tr2bl w:val="nil"/>
                  </w:tcBorders>
                  <w:vAlign w:val="center"/>
                </w:tcPr>
                <w:p w14:paraId="14AD3176">
                  <w:pPr>
                    <w:pStyle w:val="97"/>
                    <w:ind w:firstLine="360"/>
                    <w:jc w:val="center"/>
                    <w:rPr>
                      <w:rFonts w:hAnsi="Times New Roman" w:cs="Times New Roman"/>
                      <w:color w:val="auto"/>
                      <w:sz w:val="21"/>
                      <w:szCs w:val="21"/>
                    </w:rPr>
                  </w:pPr>
                </w:p>
              </w:tc>
              <w:tc>
                <w:tcPr>
                  <w:tcW w:w="645" w:type="dxa"/>
                  <w:vMerge w:val="continue"/>
                  <w:tcBorders>
                    <w:tl2br w:val="nil"/>
                    <w:tr2bl w:val="nil"/>
                  </w:tcBorders>
                  <w:vAlign w:val="center"/>
                </w:tcPr>
                <w:p w14:paraId="11328FFC">
                  <w:pPr>
                    <w:pStyle w:val="97"/>
                    <w:ind w:firstLine="360"/>
                    <w:jc w:val="center"/>
                    <w:rPr>
                      <w:rFonts w:hAnsi="Times New Roman" w:cs="Times New Roman"/>
                      <w:color w:val="auto"/>
                      <w:sz w:val="21"/>
                      <w:szCs w:val="21"/>
                    </w:rPr>
                  </w:pPr>
                </w:p>
              </w:tc>
              <w:tc>
                <w:tcPr>
                  <w:tcW w:w="435" w:type="dxa"/>
                  <w:vMerge w:val="continue"/>
                  <w:tcBorders>
                    <w:tl2br w:val="nil"/>
                    <w:tr2bl w:val="nil"/>
                  </w:tcBorders>
                  <w:vAlign w:val="center"/>
                </w:tcPr>
                <w:p w14:paraId="115028A8">
                  <w:pPr>
                    <w:pStyle w:val="97"/>
                    <w:ind w:firstLine="360"/>
                    <w:jc w:val="center"/>
                    <w:rPr>
                      <w:rFonts w:hAnsi="Times New Roman" w:cs="Times New Roman"/>
                      <w:color w:val="auto"/>
                      <w:sz w:val="21"/>
                      <w:szCs w:val="21"/>
                    </w:rPr>
                  </w:pPr>
                </w:p>
              </w:tc>
              <w:tc>
                <w:tcPr>
                  <w:tcW w:w="705" w:type="dxa"/>
                  <w:tcBorders>
                    <w:tl2br w:val="nil"/>
                    <w:tr2bl w:val="nil"/>
                  </w:tcBorders>
                  <w:vAlign w:val="center"/>
                </w:tcPr>
                <w:p w14:paraId="4CE52300">
                  <w:pPr>
                    <w:jc w:val="center"/>
                    <w:rPr>
                      <w:color w:val="auto"/>
                      <w:sz w:val="21"/>
                      <w:szCs w:val="21"/>
                    </w:rPr>
                  </w:pPr>
                  <w:r>
                    <w:rPr>
                      <w:rFonts w:hint="eastAsia"/>
                      <w:color w:val="auto"/>
                      <w:sz w:val="21"/>
                      <w:szCs w:val="21"/>
                      <w:lang w:val="en-US" w:eastAsia="zh-CN"/>
                    </w:rPr>
                    <w:t>产生</w:t>
                  </w:r>
                  <w:r>
                    <w:rPr>
                      <w:color w:val="auto"/>
                      <w:sz w:val="21"/>
                      <w:szCs w:val="21"/>
                    </w:rPr>
                    <w:t>浓度mg/m</w:t>
                  </w:r>
                  <w:r>
                    <w:rPr>
                      <w:color w:val="auto"/>
                      <w:sz w:val="21"/>
                      <w:szCs w:val="21"/>
                      <w:vertAlign w:val="superscript"/>
                    </w:rPr>
                    <w:t>3</w:t>
                  </w:r>
                </w:p>
              </w:tc>
              <w:tc>
                <w:tcPr>
                  <w:tcW w:w="780" w:type="dxa"/>
                  <w:tcBorders>
                    <w:tl2br w:val="nil"/>
                    <w:tr2bl w:val="nil"/>
                  </w:tcBorders>
                  <w:vAlign w:val="center"/>
                </w:tcPr>
                <w:p w14:paraId="37B9DD60">
                  <w:pPr>
                    <w:jc w:val="center"/>
                    <w:rPr>
                      <w:color w:val="auto"/>
                      <w:sz w:val="21"/>
                      <w:szCs w:val="21"/>
                    </w:rPr>
                  </w:pPr>
                  <w:r>
                    <w:rPr>
                      <w:color w:val="auto"/>
                      <w:sz w:val="21"/>
                      <w:szCs w:val="21"/>
                    </w:rPr>
                    <w:t>产生量</w:t>
                  </w:r>
                  <w:r>
                    <w:rPr>
                      <w:rFonts w:hint="eastAsia"/>
                      <w:color w:val="auto"/>
                      <w:sz w:val="21"/>
                      <w:szCs w:val="21"/>
                      <w:lang w:val="en-US" w:eastAsia="zh-CN"/>
                    </w:rPr>
                    <w:t>t</w:t>
                  </w:r>
                  <w:r>
                    <w:rPr>
                      <w:color w:val="auto"/>
                      <w:sz w:val="21"/>
                      <w:szCs w:val="21"/>
                    </w:rPr>
                    <w:t>/</w:t>
                  </w:r>
                  <w:r>
                    <w:rPr>
                      <w:rFonts w:hint="eastAsia"/>
                      <w:color w:val="auto"/>
                      <w:sz w:val="21"/>
                      <w:szCs w:val="21"/>
                      <w:lang w:val="en-US" w:eastAsia="zh-CN"/>
                    </w:rPr>
                    <w:t>a</w:t>
                  </w:r>
                </w:p>
              </w:tc>
              <w:tc>
                <w:tcPr>
                  <w:tcW w:w="675" w:type="dxa"/>
                  <w:tcBorders>
                    <w:tl2br w:val="nil"/>
                    <w:tr2bl w:val="nil"/>
                  </w:tcBorders>
                  <w:vAlign w:val="center"/>
                </w:tcPr>
                <w:p w14:paraId="5B87316B">
                  <w:pPr>
                    <w:jc w:val="center"/>
                    <w:rPr>
                      <w:rFonts w:hint="eastAsia" w:eastAsia="宋体"/>
                      <w:color w:val="auto"/>
                      <w:sz w:val="21"/>
                      <w:szCs w:val="21"/>
                      <w:lang w:val="en-US" w:eastAsia="zh-CN"/>
                    </w:rPr>
                  </w:pPr>
                  <w:r>
                    <w:rPr>
                      <w:rFonts w:hint="eastAsia"/>
                      <w:color w:val="auto"/>
                      <w:sz w:val="21"/>
                      <w:szCs w:val="21"/>
                      <w:lang w:val="en-US" w:eastAsia="zh-CN"/>
                    </w:rPr>
                    <w:t>处理措施</w:t>
                  </w:r>
                </w:p>
              </w:tc>
              <w:tc>
                <w:tcPr>
                  <w:tcW w:w="660" w:type="dxa"/>
                  <w:tcBorders>
                    <w:tl2br w:val="nil"/>
                    <w:tr2bl w:val="nil"/>
                  </w:tcBorders>
                  <w:vAlign w:val="center"/>
                </w:tcPr>
                <w:p w14:paraId="7E5E803C">
                  <w:pPr>
                    <w:jc w:val="center"/>
                    <w:rPr>
                      <w:rFonts w:hint="default" w:eastAsia="宋体"/>
                      <w:color w:val="auto"/>
                      <w:sz w:val="21"/>
                      <w:szCs w:val="21"/>
                      <w:lang w:val="en-US" w:eastAsia="zh-CN"/>
                    </w:rPr>
                  </w:pPr>
                  <w:r>
                    <w:rPr>
                      <w:rFonts w:hint="eastAsia"/>
                      <w:color w:val="auto"/>
                      <w:sz w:val="21"/>
                      <w:szCs w:val="21"/>
                      <w:lang w:val="en-US" w:eastAsia="zh-CN"/>
                    </w:rPr>
                    <w:t>处理能力m</w:t>
                  </w:r>
                  <w:r>
                    <w:rPr>
                      <w:rFonts w:hint="eastAsia"/>
                      <w:color w:val="auto"/>
                      <w:sz w:val="21"/>
                      <w:szCs w:val="21"/>
                      <w:vertAlign w:val="superscript"/>
                      <w:lang w:val="en-US" w:eastAsia="zh-CN"/>
                    </w:rPr>
                    <w:t>3</w:t>
                  </w:r>
                  <w:r>
                    <w:rPr>
                      <w:rFonts w:hint="eastAsia"/>
                      <w:color w:val="auto"/>
                      <w:sz w:val="21"/>
                      <w:szCs w:val="21"/>
                      <w:lang w:val="en-US" w:eastAsia="zh-CN"/>
                    </w:rPr>
                    <w:t>/h</w:t>
                  </w:r>
                </w:p>
              </w:tc>
              <w:tc>
                <w:tcPr>
                  <w:tcW w:w="435" w:type="dxa"/>
                  <w:tcBorders>
                    <w:tl2br w:val="nil"/>
                    <w:tr2bl w:val="nil"/>
                  </w:tcBorders>
                  <w:vAlign w:val="center"/>
                </w:tcPr>
                <w:p w14:paraId="493BB614">
                  <w:pPr>
                    <w:jc w:val="center"/>
                    <w:rPr>
                      <w:rFonts w:hint="default" w:eastAsia="宋体"/>
                      <w:color w:val="auto"/>
                      <w:sz w:val="21"/>
                      <w:szCs w:val="21"/>
                      <w:lang w:val="en-US" w:eastAsia="zh-CN"/>
                    </w:rPr>
                  </w:pPr>
                  <w:r>
                    <w:rPr>
                      <w:rFonts w:hint="eastAsia"/>
                      <w:color w:val="auto"/>
                      <w:sz w:val="21"/>
                      <w:szCs w:val="21"/>
                      <w:lang w:val="en-US" w:eastAsia="zh-CN"/>
                    </w:rPr>
                    <w:t>收集效率%</w:t>
                  </w:r>
                </w:p>
              </w:tc>
              <w:tc>
                <w:tcPr>
                  <w:tcW w:w="450" w:type="dxa"/>
                  <w:tcBorders>
                    <w:tl2br w:val="nil"/>
                    <w:tr2bl w:val="nil"/>
                  </w:tcBorders>
                  <w:vAlign w:val="center"/>
                </w:tcPr>
                <w:p w14:paraId="68BB57EE">
                  <w:pPr>
                    <w:jc w:val="center"/>
                    <w:rPr>
                      <w:rFonts w:hint="default" w:eastAsia="宋体"/>
                      <w:color w:val="auto"/>
                      <w:sz w:val="21"/>
                      <w:szCs w:val="21"/>
                      <w:lang w:val="en-US" w:eastAsia="zh-CN"/>
                    </w:rPr>
                  </w:pPr>
                  <w:r>
                    <w:rPr>
                      <w:rFonts w:hint="eastAsia"/>
                      <w:color w:val="auto"/>
                      <w:sz w:val="21"/>
                      <w:szCs w:val="21"/>
                      <w:lang w:val="en-US" w:eastAsia="zh-CN"/>
                    </w:rPr>
                    <w:t>去除率%</w:t>
                  </w:r>
                </w:p>
              </w:tc>
              <w:tc>
                <w:tcPr>
                  <w:tcW w:w="600" w:type="dxa"/>
                  <w:tcBorders>
                    <w:tl2br w:val="nil"/>
                    <w:tr2bl w:val="nil"/>
                  </w:tcBorders>
                  <w:vAlign w:val="center"/>
                </w:tcPr>
                <w:p w14:paraId="5D709CA8">
                  <w:pPr>
                    <w:jc w:val="center"/>
                    <w:rPr>
                      <w:rFonts w:hint="eastAsia" w:eastAsia="宋体"/>
                      <w:color w:val="auto"/>
                      <w:sz w:val="21"/>
                      <w:szCs w:val="21"/>
                      <w:lang w:val="en-US" w:eastAsia="zh-CN"/>
                    </w:rPr>
                  </w:pPr>
                  <w:r>
                    <w:rPr>
                      <w:rFonts w:hint="eastAsia"/>
                      <w:color w:val="auto"/>
                      <w:sz w:val="18"/>
                      <w:szCs w:val="18"/>
                      <w:lang w:val="en-US" w:eastAsia="zh-CN"/>
                    </w:rPr>
                    <w:t>是否为可行技术</w:t>
                  </w:r>
                </w:p>
              </w:tc>
              <w:tc>
                <w:tcPr>
                  <w:tcW w:w="690" w:type="dxa"/>
                  <w:tcBorders>
                    <w:tl2br w:val="nil"/>
                    <w:tr2bl w:val="nil"/>
                  </w:tcBorders>
                  <w:vAlign w:val="center"/>
                </w:tcPr>
                <w:p w14:paraId="5492146F">
                  <w:pPr>
                    <w:jc w:val="center"/>
                    <w:rPr>
                      <w:color w:val="auto"/>
                      <w:sz w:val="21"/>
                      <w:szCs w:val="21"/>
                    </w:rPr>
                  </w:pPr>
                  <w:r>
                    <w:rPr>
                      <w:rFonts w:hint="eastAsia"/>
                      <w:color w:val="auto"/>
                      <w:sz w:val="21"/>
                      <w:szCs w:val="21"/>
                      <w:lang w:eastAsia="zh-CN"/>
                    </w:rPr>
                    <w:t>排放</w:t>
                  </w:r>
                  <w:r>
                    <w:rPr>
                      <w:color w:val="auto"/>
                      <w:sz w:val="21"/>
                      <w:szCs w:val="21"/>
                    </w:rPr>
                    <w:t>浓度mg/m</w:t>
                  </w:r>
                  <w:r>
                    <w:rPr>
                      <w:color w:val="auto"/>
                      <w:sz w:val="21"/>
                      <w:szCs w:val="21"/>
                      <w:vertAlign w:val="superscript"/>
                    </w:rPr>
                    <w:t>3</w:t>
                  </w:r>
                </w:p>
              </w:tc>
              <w:tc>
                <w:tcPr>
                  <w:tcW w:w="825" w:type="dxa"/>
                  <w:tcBorders>
                    <w:tl2br w:val="nil"/>
                    <w:tr2bl w:val="nil"/>
                  </w:tcBorders>
                  <w:vAlign w:val="center"/>
                </w:tcPr>
                <w:p w14:paraId="4FFEE001">
                  <w:pPr>
                    <w:jc w:val="center"/>
                    <w:rPr>
                      <w:color w:val="auto"/>
                      <w:sz w:val="21"/>
                      <w:szCs w:val="21"/>
                    </w:rPr>
                  </w:pPr>
                  <w:r>
                    <w:rPr>
                      <w:color w:val="auto"/>
                      <w:sz w:val="21"/>
                      <w:szCs w:val="21"/>
                    </w:rPr>
                    <w:t>排放速率kg/h</w:t>
                  </w:r>
                </w:p>
              </w:tc>
              <w:tc>
                <w:tcPr>
                  <w:tcW w:w="773" w:type="dxa"/>
                  <w:tcBorders>
                    <w:tl2br w:val="nil"/>
                    <w:tr2bl w:val="nil"/>
                  </w:tcBorders>
                  <w:vAlign w:val="center"/>
                </w:tcPr>
                <w:p w14:paraId="66C37FF9">
                  <w:pPr>
                    <w:jc w:val="center"/>
                    <w:rPr>
                      <w:color w:val="auto"/>
                      <w:sz w:val="21"/>
                      <w:szCs w:val="21"/>
                    </w:rPr>
                  </w:pPr>
                  <w:r>
                    <w:rPr>
                      <w:rFonts w:hint="eastAsia"/>
                      <w:color w:val="auto"/>
                      <w:sz w:val="21"/>
                      <w:szCs w:val="21"/>
                      <w:lang w:val="en-US" w:eastAsia="zh-CN"/>
                    </w:rPr>
                    <w:t>排放</w:t>
                  </w:r>
                  <w:r>
                    <w:rPr>
                      <w:color w:val="auto"/>
                      <w:sz w:val="21"/>
                      <w:szCs w:val="21"/>
                    </w:rPr>
                    <w:t>量</w:t>
                  </w:r>
                  <w:r>
                    <w:rPr>
                      <w:rFonts w:hint="eastAsia"/>
                      <w:color w:val="auto"/>
                      <w:sz w:val="21"/>
                      <w:szCs w:val="21"/>
                      <w:lang w:val="en-US" w:eastAsia="zh-CN"/>
                    </w:rPr>
                    <w:t>t</w:t>
                  </w:r>
                  <w:r>
                    <w:rPr>
                      <w:color w:val="auto"/>
                      <w:sz w:val="21"/>
                      <w:szCs w:val="21"/>
                    </w:rPr>
                    <w:t>/</w:t>
                  </w:r>
                  <w:r>
                    <w:rPr>
                      <w:rFonts w:hint="eastAsia"/>
                      <w:color w:val="auto"/>
                      <w:sz w:val="21"/>
                      <w:szCs w:val="21"/>
                      <w:lang w:val="en-US" w:eastAsia="zh-CN"/>
                    </w:rPr>
                    <w:t>a</w:t>
                  </w:r>
                </w:p>
              </w:tc>
            </w:tr>
            <w:tr w14:paraId="0164D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7" w:hRule="atLeast"/>
                <w:jc w:val="center"/>
              </w:trPr>
              <w:tc>
                <w:tcPr>
                  <w:tcW w:w="344" w:type="dxa"/>
                  <w:vMerge w:val="restart"/>
                  <w:tcBorders>
                    <w:tl2br w:val="nil"/>
                    <w:tr2bl w:val="nil"/>
                  </w:tcBorders>
                  <w:vAlign w:val="center"/>
                </w:tcPr>
                <w:p w14:paraId="3E03058E">
                  <w:pPr>
                    <w:jc w:val="center"/>
                    <w:rPr>
                      <w:rFonts w:hint="eastAsia" w:eastAsia="宋体"/>
                      <w:color w:val="auto"/>
                      <w:sz w:val="21"/>
                      <w:szCs w:val="21"/>
                      <w:lang w:eastAsia="zh-CN"/>
                    </w:rPr>
                  </w:pPr>
                  <w:r>
                    <w:rPr>
                      <w:rFonts w:hint="eastAsia"/>
                      <w:color w:val="auto"/>
                      <w:sz w:val="21"/>
                      <w:szCs w:val="21"/>
                      <w:lang w:val="en-US" w:eastAsia="zh-CN"/>
                    </w:rPr>
                    <w:t>生产车间</w:t>
                  </w:r>
                </w:p>
              </w:tc>
              <w:tc>
                <w:tcPr>
                  <w:tcW w:w="645" w:type="dxa"/>
                  <w:tcBorders>
                    <w:tl2br w:val="nil"/>
                    <w:tr2bl w:val="nil"/>
                  </w:tcBorders>
                  <w:vAlign w:val="center"/>
                </w:tcPr>
                <w:p w14:paraId="5D9C4951">
                  <w:pPr>
                    <w:jc w:val="center"/>
                    <w:rPr>
                      <w:color w:val="auto"/>
                      <w:sz w:val="21"/>
                      <w:szCs w:val="21"/>
                    </w:rPr>
                  </w:pPr>
                  <w:r>
                    <w:rPr>
                      <w:color w:val="auto"/>
                      <w:sz w:val="21"/>
                      <w:szCs w:val="21"/>
                    </w:rPr>
                    <w:t>非甲烷总烃</w:t>
                  </w:r>
                </w:p>
              </w:tc>
              <w:tc>
                <w:tcPr>
                  <w:tcW w:w="435" w:type="dxa"/>
                  <w:tcBorders>
                    <w:tl2br w:val="nil"/>
                    <w:tr2bl w:val="nil"/>
                  </w:tcBorders>
                  <w:vAlign w:val="center"/>
                </w:tcPr>
                <w:p w14:paraId="1AE3284E">
                  <w:pPr>
                    <w:jc w:val="center"/>
                    <w:rPr>
                      <w:rFonts w:hint="eastAsia" w:eastAsia="宋体"/>
                      <w:color w:val="auto"/>
                      <w:sz w:val="21"/>
                      <w:szCs w:val="21"/>
                      <w:lang w:val="en-US" w:eastAsia="zh-CN"/>
                    </w:rPr>
                  </w:pPr>
                  <w:r>
                    <w:rPr>
                      <w:rFonts w:hint="eastAsia"/>
                      <w:color w:val="auto"/>
                      <w:sz w:val="21"/>
                      <w:szCs w:val="21"/>
                      <w:lang w:val="en-US" w:eastAsia="zh-CN"/>
                    </w:rPr>
                    <w:t>有组织</w:t>
                  </w:r>
                </w:p>
              </w:tc>
              <w:tc>
                <w:tcPr>
                  <w:tcW w:w="705" w:type="dxa"/>
                  <w:tcBorders>
                    <w:tl2br w:val="nil"/>
                    <w:tr2bl w:val="nil"/>
                  </w:tcBorders>
                  <w:vAlign w:val="center"/>
                </w:tcPr>
                <w:p w14:paraId="0029814F">
                  <w:pPr>
                    <w:jc w:val="center"/>
                    <w:rPr>
                      <w:rFonts w:hint="default" w:eastAsia="宋体"/>
                      <w:color w:val="auto"/>
                      <w:sz w:val="21"/>
                      <w:szCs w:val="21"/>
                      <w:lang w:val="en-US" w:eastAsia="zh-CN"/>
                    </w:rPr>
                  </w:pPr>
                  <w:r>
                    <w:rPr>
                      <w:rFonts w:hint="eastAsia"/>
                      <w:color w:val="auto"/>
                      <w:sz w:val="21"/>
                      <w:szCs w:val="21"/>
                      <w:lang w:val="en-US" w:eastAsia="zh-CN"/>
                    </w:rPr>
                    <w:t>40.43</w:t>
                  </w:r>
                </w:p>
              </w:tc>
              <w:tc>
                <w:tcPr>
                  <w:tcW w:w="780" w:type="dxa"/>
                  <w:tcBorders>
                    <w:tl2br w:val="nil"/>
                    <w:tr2bl w:val="nil"/>
                  </w:tcBorders>
                  <w:vAlign w:val="center"/>
                </w:tcPr>
                <w:p w14:paraId="095599E1">
                  <w:pPr>
                    <w:jc w:val="center"/>
                    <w:rPr>
                      <w:rFonts w:hint="default" w:eastAsia="宋体"/>
                      <w:color w:val="auto"/>
                      <w:sz w:val="21"/>
                      <w:szCs w:val="21"/>
                      <w:lang w:val="en-US" w:eastAsia="zh-CN"/>
                    </w:rPr>
                  </w:pPr>
                  <w:r>
                    <w:rPr>
                      <w:rFonts w:hint="eastAsia"/>
                      <w:color w:val="auto"/>
                      <w:sz w:val="21"/>
                      <w:szCs w:val="21"/>
                      <w:lang w:val="en-US" w:eastAsia="zh-CN"/>
                    </w:rPr>
                    <w:t>0.262</w:t>
                  </w:r>
                </w:p>
              </w:tc>
              <w:tc>
                <w:tcPr>
                  <w:tcW w:w="675" w:type="dxa"/>
                  <w:tcBorders>
                    <w:tl2br w:val="nil"/>
                    <w:tr2bl w:val="nil"/>
                  </w:tcBorders>
                  <w:vAlign w:val="center"/>
                </w:tcPr>
                <w:p w14:paraId="050FE30B">
                  <w:pPr>
                    <w:jc w:val="center"/>
                    <w:rPr>
                      <w:rFonts w:hint="default" w:eastAsia="宋体"/>
                      <w:color w:val="auto"/>
                      <w:sz w:val="21"/>
                      <w:szCs w:val="21"/>
                      <w:lang w:val="en-US" w:eastAsia="zh-CN"/>
                    </w:rPr>
                  </w:pPr>
                  <w:r>
                    <w:rPr>
                      <w:rFonts w:hint="eastAsia"/>
                      <w:color w:val="auto"/>
                      <w:sz w:val="21"/>
                      <w:szCs w:val="21"/>
                      <w:lang w:val="en-US" w:eastAsia="zh-CN"/>
                    </w:rPr>
                    <w:t>集气罩、活性炭吸附</w:t>
                  </w:r>
                </w:p>
              </w:tc>
              <w:tc>
                <w:tcPr>
                  <w:tcW w:w="660" w:type="dxa"/>
                  <w:tcBorders>
                    <w:tl2br w:val="nil"/>
                    <w:tr2bl w:val="nil"/>
                  </w:tcBorders>
                  <w:vAlign w:val="center"/>
                </w:tcPr>
                <w:p w14:paraId="7F4744AA">
                  <w:pPr>
                    <w:jc w:val="center"/>
                    <w:rPr>
                      <w:rFonts w:hint="default" w:eastAsia="宋体"/>
                      <w:color w:val="auto"/>
                      <w:sz w:val="21"/>
                      <w:szCs w:val="21"/>
                      <w:lang w:val="en-US" w:eastAsia="zh-CN"/>
                    </w:rPr>
                  </w:pPr>
                  <w:r>
                    <w:rPr>
                      <w:rFonts w:hint="eastAsia"/>
                      <w:color w:val="auto"/>
                      <w:sz w:val="21"/>
                      <w:szCs w:val="21"/>
                      <w:lang w:val="en-US" w:eastAsia="zh-CN"/>
                    </w:rPr>
                    <w:t>3000</w:t>
                  </w:r>
                </w:p>
              </w:tc>
              <w:tc>
                <w:tcPr>
                  <w:tcW w:w="435" w:type="dxa"/>
                  <w:tcBorders>
                    <w:tl2br w:val="nil"/>
                    <w:tr2bl w:val="nil"/>
                  </w:tcBorders>
                  <w:vAlign w:val="center"/>
                </w:tcPr>
                <w:p w14:paraId="597FBEBC">
                  <w:pPr>
                    <w:jc w:val="center"/>
                    <w:rPr>
                      <w:rFonts w:hint="default" w:eastAsia="宋体"/>
                      <w:color w:val="auto"/>
                      <w:sz w:val="21"/>
                      <w:szCs w:val="21"/>
                      <w:lang w:val="en-US" w:eastAsia="zh-CN"/>
                    </w:rPr>
                  </w:pPr>
                  <w:r>
                    <w:rPr>
                      <w:rFonts w:hint="eastAsia"/>
                      <w:color w:val="auto"/>
                      <w:sz w:val="21"/>
                      <w:szCs w:val="21"/>
                      <w:lang w:val="en-US" w:eastAsia="zh-CN"/>
                    </w:rPr>
                    <w:t>90</w:t>
                  </w:r>
                </w:p>
              </w:tc>
              <w:tc>
                <w:tcPr>
                  <w:tcW w:w="450" w:type="dxa"/>
                  <w:tcBorders>
                    <w:tl2br w:val="nil"/>
                    <w:tr2bl w:val="nil"/>
                  </w:tcBorders>
                  <w:vAlign w:val="center"/>
                </w:tcPr>
                <w:p w14:paraId="02F992FF">
                  <w:pPr>
                    <w:jc w:val="center"/>
                    <w:rPr>
                      <w:rFonts w:hint="default" w:eastAsia="宋体"/>
                      <w:color w:val="auto"/>
                      <w:sz w:val="21"/>
                      <w:szCs w:val="21"/>
                      <w:lang w:val="en-US" w:eastAsia="zh-CN"/>
                    </w:rPr>
                  </w:pPr>
                  <w:r>
                    <w:rPr>
                      <w:rFonts w:hint="eastAsia"/>
                      <w:color w:val="auto"/>
                      <w:sz w:val="21"/>
                      <w:szCs w:val="21"/>
                      <w:lang w:val="en-US" w:eastAsia="zh-CN"/>
                    </w:rPr>
                    <w:t>80</w:t>
                  </w:r>
                </w:p>
              </w:tc>
              <w:tc>
                <w:tcPr>
                  <w:tcW w:w="600" w:type="dxa"/>
                  <w:tcBorders>
                    <w:tl2br w:val="nil"/>
                    <w:tr2bl w:val="nil"/>
                  </w:tcBorders>
                  <w:vAlign w:val="center"/>
                </w:tcPr>
                <w:p w14:paraId="61783F98">
                  <w:pPr>
                    <w:jc w:val="center"/>
                    <w:rPr>
                      <w:rFonts w:hint="eastAsia" w:eastAsia="宋体"/>
                      <w:color w:val="auto"/>
                      <w:sz w:val="21"/>
                      <w:szCs w:val="21"/>
                      <w:lang w:val="en-US" w:eastAsia="zh-CN"/>
                    </w:rPr>
                  </w:pPr>
                  <w:r>
                    <w:rPr>
                      <w:rFonts w:hint="eastAsia"/>
                      <w:color w:val="auto"/>
                      <w:sz w:val="21"/>
                      <w:szCs w:val="21"/>
                      <w:lang w:val="en-US" w:eastAsia="zh-CN"/>
                    </w:rPr>
                    <w:t>是</w:t>
                  </w:r>
                </w:p>
              </w:tc>
              <w:tc>
                <w:tcPr>
                  <w:tcW w:w="690" w:type="dxa"/>
                  <w:tcBorders>
                    <w:tl2br w:val="nil"/>
                    <w:tr2bl w:val="nil"/>
                  </w:tcBorders>
                  <w:vAlign w:val="center"/>
                </w:tcPr>
                <w:p w14:paraId="6117896E">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7.284</w:t>
                  </w:r>
                </w:p>
              </w:tc>
              <w:tc>
                <w:tcPr>
                  <w:tcW w:w="825" w:type="dxa"/>
                  <w:tcBorders>
                    <w:tl2br w:val="nil"/>
                    <w:tr2bl w:val="nil"/>
                  </w:tcBorders>
                  <w:vAlign w:val="center"/>
                </w:tcPr>
                <w:p w14:paraId="64C22E5B">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0.0219</w:t>
                  </w:r>
                </w:p>
              </w:tc>
              <w:tc>
                <w:tcPr>
                  <w:tcW w:w="773" w:type="dxa"/>
                  <w:tcBorders>
                    <w:tl2br w:val="nil"/>
                    <w:tr2bl w:val="nil"/>
                  </w:tcBorders>
                  <w:vAlign w:val="center"/>
                </w:tcPr>
                <w:p w14:paraId="02501283">
                  <w:pPr>
                    <w:jc w:val="center"/>
                    <w:rPr>
                      <w:rFonts w:hint="default" w:eastAsia="宋体"/>
                      <w:color w:val="auto"/>
                      <w:sz w:val="21"/>
                      <w:szCs w:val="21"/>
                      <w:highlight w:val="none"/>
                      <w:lang w:val="en-US" w:eastAsia="zh-CN"/>
                    </w:rPr>
                  </w:pPr>
                  <w:r>
                    <w:rPr>
                      <w:color w:val="auto"/>
                      <w:sz w:val="21"/>
                      <w:szCs w:val="21"/>
                      <w:highlight w:val="none"/>
                    </w:rPr>
                    <w:t>0.0</w:t>
                  </w:r>
                  <w:r>
                    <w:rPr>
                      <w:rFonts w:hint="eastAsia"/>
                      <w:color w:val="auto"/>
                      <w:sz w:val="21"/>
                      <w:szCs w:val="21"/>
                      <w:highlight w:val="none"/>
                      <w:lang w:val="en-US" w:eastAsia="zh-CN"/>
                    </w:rPr>
                    <w:t>472</w:t>
                  </w:r>
                </w:p>
              </w:tc>
            </w:tr>
            <w:tr w14:paraId="748C77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344" w:type="dxa"/>
                  <w:vMerge w:val="continue"/>
                  <w:tcBorders>
                    <w:tl2br w:val="nil"/>
                    <w:tr2bl w:val="nil"/>
                  </w:tcBorders>
                  <w:vAlign w:val="center"/>
                </w:tcPr>
                <w:p w14:paraId="353C9E14">
                  <w:pPr>
                    <w:jc w:val="center"/>
                    <w:rPr>
                      <w:rFonts w:hint="eastAsia"/>
                      <w:color w:val="auto"/>
                      <w:sz w:val="21"/>
                      <w:szCs w:val="21"/>
                      <w:lang w:val="en-US" w:eastAsia="zh-CN"/>
                    </w:rPr>
                  </w:pPr>
                </w:p>
              </w:tc>
              <w:tc>
                <w:tcPr>
                  <w:tcW w:w="645" w:type="dxa"/>
                  <w:tcBorders>
                    <w:tl2br w:val="nil"/>
                    <w:tr2bl w:val="nil"/>
                  </w:tcBorders>
                  <w:shd w:val="clear" w:color="auto" w:fill="auto"/>
                  <w:vAlign w:val="center"/>
                </w:tcPr>
                <w:p w14:paraId="52BA1DC7">
                  <w:pPr>
                    <w:jc w:val="center"/>
                    <w:rPr>
                      <w:rFonts w:ascii="Times New Roman" w:hAnsi="Times New Roman" w:eastAsia="宋体" w:cs="Times New Roman"/>
                      <w:color w:val="auto"/>
                      <w:kern w:val="2"/>
                      <w:sz w:val="21"/>
                      <w:szCs w:val="21"/>
                      <w:lang w:val="en-US" w:eastAsia="zh-CN" w:bidi="ar-SA"/>
                    </w:rPr>
                  </w:pPr>
                  <w:r>
                    <w:rPr>
                      <w:color w:val="auto"/>
                      <w:sz w:val="21"/>
                      <w:szCs w:val="21"/>
                    </w:rPr>
                    <w:t>非甲烷总烃</w:t>
                  </w:r>
                </w:p>
              </w:tc>
              <w:tc>
                <w:tcPr>
                  <w:tcW w:w="435" w:type="dxa"/>
                  <w:tcBorders>
                    <w:tl2br w:val="nil"/>
                    <w:tr2bl w:val="nil"/>
                  </w:tcBorders>
                  <w:shd w:val="clear" w:color="auto" w:fill="auto"/>
                  <w:vAlign w:val="center"/>
                </w:tcPr>
                <w:p w14:paraId="755BBD26">
                  <w:pPr>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无组织</w:t>
                  </w:r>
                </w:p>
              </w:tc>
              <w:tc>
                <w:tcPr>
                  <w:tcW w:w="705" w:type="dxa"/>
                  <w:tcBorders>
                    <w:tl2br w:val="nil"/>
                    <w:tr2bl w:val="nil"/>
                  </w:tcBorders>
                  <w:vAlign w:val="center"/>
                </w:tcPr>
                <w:p w14:paraId="3978130D">
                  <w:pPr>
                    <w:jc w:val="center"/>
                    <w:rPr>
                      <w:rFonts w:hint="eastAsia" w:eastAsia="宋体"/>
                      <w:color w:val="auto"/>
                      <w:sz w:val="21"/>
                      <w:szCs w:val="21"/>
                      <w:lang w:val="en-US" w:eastAsia="zh-CN"/>
                    </w:rPr>
                  </w:pPr>
                  <w:r>
                    <w:rPr>
                      <w:rFonts w:hint="eastAsia"/>
                      <w:color w:val="auto"/>
                      <w:sz w:val="21"/>
                      <w:szCs w:val="21"/>
                      <w:lang w:val="en-US" w:eastAsia="zh-CN"/>
                    </w:rPr>
                    <w:t>/</w:t>
                  </w:r>
                </w:p>
              </w:tc>
              <w:tc>
                <w:tcPr>
                  <w:tcW w:w="780" w:type="dxa"/>
                  <w:tcBorders>
                    <w:tl2br w:val="nil"/>
                    <w:tr2bl w:val="nil"/>
                  </w:tcBorders>
                  <w:vAlign w:val="center"/>
                </w:tcPr>
                <w:p w14:paraId="2E44300B">
                  <w:pPr>
                    <w:jc w:val="center"/>
                    <w:rPr>
                      <w:rFonts w:hint="default" w:eastAsia="宋体"/>
                      <w:color w:val="auto"/>
                      <w:sz w:val="21"/>
                      <w:szCs w:val="21"/>
                      <w:lang w:val="en-US" w:eastAsia="zh-CN"/>
                    </w:rPr>
                  </w:pPr>
                  <w:r>
                    <w:rPr>
                      <w:rFonts w:hint="eastAsia"/>
                      <w:color w:val="auto"/>
                      <w:sz w:val="21"/>
                      <w:szCs w:val="21"/>
                      <w:lang w:val="en-US" w:eastAsia="zh-CN"/>
                    </w:rPr>
                    <w:t>0.0262</w:t>
                  </w:r>
                </w:p>
              </w:tc>
              <w:tc>
                <w:tcPr>
                  <w:tcW w:w="675" w:type="dxa"/>
                  <w:tcBorders>
                    <w:tl2br w:val="nil"/>
                    <w:tr2bl w:val="nil"/>
                  </w:tcBorders>
                  <w:vAlign w:val="center"/>
                </w:tcPr>
                <w:p w14:paraId="10758F8D">
                  <w:pPr>
                    <w:jc w:val="center"/>
                    <w:rPr>
                      <w:rFonts w:hint="default"/>
                      <w:color w:val="auto"/>
                      <w:sz w:val="21"/>
                      <w:szCs w:val="21"/>
                      <w:lang w:val="en-US" w:eastAsia="zh-CN"/>
                    </w:rPr>
                  </w:pPr>
                  <w:r>
                    <w:rPr>
                      <w:rFonts w:hint="eastAsia"/>
                      <w:color w:val="auto"/>
                      <w:sz w:val="21"/>
                      <w:szCs w:val="21"/>
                      <w:lang w:val="en-US" w:eastAsia="zh-CN"/>
                    </w:rPr>
                    <w:t>/</w:t>
                  </w:r>
                </w:p>
              </w:tc>
              <w:tc>
                <w:tcPr>
                  <w:tcW w:w="660" w:type="dxa"/>
                  <w:tcBorders>
                    <w:tl2br w:val="nil"/>
                    <w:tr2bl w:val="nil"/>
                  </w:tcBorders>
                  <w:vAlign w:val="center"/>
                </w:tcPr>
                <w:p w14:paraId="7971EF8F">
                  <w:pPr>
                    <w:jc w:val="center"/>
                    <w:rPr>
                      <w:rFonts w:hint="eastAsia" w:eastAsia="宋体"/>
                      <w:color w:val="auto"/>
                      <w:sz w:val="21"/>
                      <w:szCs w:val="21"/>
                      <w:lang w:val="en-US" w:eastAsia="zh-CN"/>
                    </w:rPr>
                  </w:pPr>
                  <w:r>
                    <w:rPr>
                      <w:rFonts w:hint="eastAsia"/>
                      <w:color w:val="auto"/>
                      <w:sz w:val="21"/>
                      <w:szCs w:val="21"/>
                      <w:lang w:val="en-US" w:eastAsia="zh-CN"/>
                    </w:rPr>
                    <w:t>/</w:t>
                  </w:r>
                </w:p>
              </w:tc>
              <w:tc>
                <w:tcPr>
                  <w:tcW w:w="435" w:type="dxa"/>
                  <w:tcBorders>
                    <w:tl2br w:val="nil"/>
                    <w:tr2bl w:val="nil"/>
                  </w:tcBorders>
                  <w:vAlign w:val="center"/>
                </w:tcPr>
                <w:p w14:paraId="19CC4604">
                  <w:pPr>
                    <w:jc w:val="center"/>
                    <w:rPr>
                      <w:rFonts w:hint="eastAsia" w:eastAsia="宋体"/>
                      <w:color w:val="auto"/>
                      <w:sz w:val="21"/>
                      <w:szCs w:val="21"/>
                      <w:lang w:val="en-US" w:eastAsia="zh-CN"/>
                    </w:rPr>
                  </w:pPr>
                  <w:r>
                    <w:rPr>
                      <w:rFonts w:hint="eastAsia"/>
                      <w:color w:val="auto"/>
                      <w:sz w:val="21"/>
                      <w:szCs w:val="21"/>
                      <w:lang w:val="en-US" w:eastAsia="zh-CN"/>
                    </w:rPr>
                    <w:t>/</w:t>
                  </w:r>
                </w:p>
              </w:tc>
              <w:tc>
                <w:tcPr>
                  <w:tcW w:w="450" w:type="dxa"/>
                  <w:tcBorders>
                    <w:tl2br w:val="nil"/>
                    <w:tr2bl w:val="nil"/>
                  </w:tcBorders>
                  <w:vAlign w:val="center"/>
                </w:tcPr>
                <w:p w14:paraId="63BD2058">
                  <w:pPr>
                    <w:jc w:val="center"/>
                    <w:rPr>
                      <w:rFonts w:hint="eastAsia" w:eastAsia="宋体"/>
                      <w:color w:val="auto"/>
                      <w:sz w:val="21"/>
                      <w:szCs w:val="21"/>
                      <w:lang w:val="en-US" w:eastAsia="zh-CN"/>
                    </w:rPr>
                  </w:pPr>
                  <w:r>
                    <w:rPr>
                      <w:rFonts w:hint="eastAsia"/>
                      <w:color w:val="auto"/>
                      <w:sz w:val="21"/>
                      <w:szCs w:val="21"/>
                      <w:lang w:val="en-US" w:eastAsia="zh-CN"/>
                    </w:rPr>
                    <w:t>/</w:t>
                  </w:r>
                </w:p>
              </w:tc>
              <w:tc>
                <w:tcPr>
                  <w:tcW w:w="600" w:type="dxa"/>
                  <w:tcBorders>
                    <w:tl2br w:val="nil"/>
                    <w:tr2bl w:val="nil"/>
                  </w:tcBorders>
                  <w:vAlign w:val="center"/>
                </w:tcPr>
                <w:p w14:paraId="35B0A5CB">
                  <w:pPr>
                    <w:jc w:val="center"/>
                    <w:rPr>
                      <w:rFonts w:hint="eastAsia" w:eastAsia="宋体"/>
                      <w:color w:val="auto"/>
                      <w:sz w:val="21"/>
                      <w:szCs w:val="21"/>
                      <w:lang w:val="en-US" w:eastAsia="zh-CN"/>
                    </w:rPr>
                  </w:pPr>
                  <w:r>
                    <w:rPr>
                      <w:rFonts w:hint="eastAsia"/>
                      <w:color w:val="auto"/>
                      <w:sz w:val="21"/>
                      <w:szCs w:val="21"/>
                      <w:lang w:val="en-US" w:eastAsia="zh-CN"/>
                    </w:rPr>
                    <w:t>/</w:t>
                  </w:r>
                </w:p>
              </w:tc>
              <w:tc>
                <w:tcPr>
                  <w:tcW w:w="690" w:type="dxa"/>
                  <w:tcBorders>
                    <w:tl2br w:val="nil"/>
                    <w:tr2bl w:val="nil"/>
                  </w:tcBorders>
                  <w:vAlign w:val="center"/>
                </w:tcPr>
                <w:p w14:paraId="332EC009">
                  <w:pPr>
                    <w:jc w:val="center"/>
                    <w:rPr>
                      <w:rFonts w:hint="default"/>
                      <w:color w:val="auto"/>
                      <w:sz w:val="21"/>
                      <w:szCs w:val="21"/>
                      <w:lang w:val="en-US" w:eastAsia="zh-CN"/>
                    </w:rPr>
                  </w:pPr>
                  <w:r>
                    <w:rPr>
                      <w:rFonts w:hint="eastAsia"/>
                      <w:color w:val="auto"/>
                      <w:sz w:val="21"/>
                      <w:szCs w:val="21"/>
                      <w:lang w:val="en-US" w:eastAsia="zh-CN"/>
                    </w:rPr>
                    <w:t>/</w:t>
                  </w:r>
                </w:p>
              </w:tc>
              <w:tc>
                <w:tcPr>
                  <w:tcW w:w="825" w:type="dxa"/>
                  <w:tcBorders>
                    <w:tl2br w:val="nil"/>
                    <w:tr2bl w:val="nil"/>
                  </w:tcBorders>
                  <w:vAlign w:val="center"/>
                </w:tcPr>
                <w:p w14:paraId="54E6E655">
                  <w:pPr>
                    <w:jc w:val="center"/>
                    <w:rPr>
                      <w:rFonts w:hint="default" w:eastAsia="宋体"/>
                      <w:color w:val="auto"/>
                      <w:sz w:val="21"/>
                      <w:szCs w:val="21"/>
                      <w:lang w:val="en-US" w:eastAsia="zh-CN"/>
                    </w:rPr>
                  </w:pPr>
                  <w:r>
                    <w:rPr>
                      <w:rFonts w:hint="eastAsia"/>
                      <w:color w:val="auto"/>
                      <w:sz w:val="21"/>
                      <w:szCs w:val="21"/>
                      <w:lang w:val="en-US" w:eastAsia="zh-CN"/>
                    </w:rPr>
                    <w:t>0.0121</w:t>
                  </w:r>
                </w:p>
              </w:tc>
              <w:tc>
                <w:tcPr>
                  <w:tcW w:w="773" w:type="dxa"/>
                  <w:tcBorders>
                    <w:tl2br w:val="nil"/>
                    <w:tr2bl w:val="nil"/>
                  </w:tcBorders>
                  <w:vAlign w:val="center"/>
                </w:tcPr>
                <w:p w14:paraId="16EF3A11">
                  <w:pPr>
                    <w:jc w:val="center"/>
                    <w:rPr>
                      <w:rFonts w:hint="default" w:eastAsia="宋体"/>
                      <w:color w:val="auto"/>
                      <w:sz w:val="21"/>
                      <w:szCs w:val="21"/>
                      <w:lang w:val="en-US" w:eastAsia="zh-CN"/>
                    </w:rPr>
                  </w:pPr>
                  <w:r>
                    <w:rPr>
                      <w:rFonts w:hint="eastAsia"/>
                      <w:color w:val="auto"/>
                      <w:sz w:val="21"/>
                      <w:szCs w:val="21"/>
                      <w:lang w:val="en-US" w:eastAsia="zh-CN"/>
                    </w:rPr>
                    <w:t>0.0262</w:t>
                  </w:r>
                </w:p>
              </w:tc>
            </w:tr>
          </w:tbl>
          <w:p w14:paraId="77C76B2D">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由以上可知，</w:t>
            </w:r>
            <w:r>
              <w:rPr>
                <w:rFonts w:hint="eastAsia" w:ascii="Times New Roman" w:hAnsi="Times New Roman" w:eastAsia="宋体" w:cs="Times New Roman"/>
                <w:color w:val="auto"/>
                <w:sz w:val="24"/>
                <w:highlight w:val="none"/>
                <w:lang w:val="en-US" w:eastAsia="zh-CN"/>
              </w:rPr>
              <w:t>本项目</w:t>
            </w:r>
            <w:r>
              <w:rPr>
                <w:rFonts w:hint="eastAsia" w:cs="Times New Roman"/>
                <w:color w:val="auto"/>
                <w:sz w:val="24"/>
                <w:highlight w:val="none"/>
                <w:lang w:val="en-US" w:eastAsia="zh-CN"/>
              </w:rPr>
              <w:t>涂胶、热压工段</w:t>
            </w:r>
            <w:r>
              <w:rPr>
                <w:rFonts w:hint="eastAsia" w:ascii="Times New Roman" w:hAnsi="Times New Roman" w:eastAsia="宋体" w:cs="Times New Roman"/>
                <w:color w:val="auto"/>
                <w:sz w:val="24"/>
                <w:highlight w:val="none"/>
                <w:lang w:val="en-US" w:eastAsia="zh-CN"/>
              </w:rPr>
              <w:t>产生的有组织非甲烷总烃排放</w:t>
            </w:r>
            <w:r>
              <w:rPr>
                <w:rFonts w:hint="eastAsia" w:cs="Times New Roman"/>
                <w:color w:val="auto"/>
                <w:sz w:val="24"/>
                <w:highlight w:val="none"/>
                <w:lang w:val="en-US" w:eastAsia="zh-CN"/>
              </w:rPr>
              <w:t>情况满足</w:t>
            </w:r>
            <w:r>
              <w:rPr>
                <w:rFonts w:hint="default" w:ascii="Times New Roman" w:hAnsi="Times New Roman" w:eastAsia="宋体" w:cs="Times New Roman"/>
                <w:color w:val="auto"/>
                <w:sz w:val="24"/>
                <w:highlight w:val="none"/>
                <w:lang w:val="en-US" w:eastAsia="zh-CN"/>
              </w:rPr>
              <w:t>《大气污染物综合排放标准》（GB16297-1996）</w:t>
            </w:r>
            <w:r>
              <w:rPr>
                <w:rFonts w:hint="eastAsia" w:ascii="Times New Roman" w:hAnsi="Times New Roman" w:eastAsia="宋体" w:cs="Times New Roman"/>
                <w:color w:val="auto"/>
                <w:sz w:val="24"/>
                <w:highlight w:val="none"/>
                <w:lang w:val="en-US" w:eastAsia="zh-CN"/>
              </w:rPr>
              <w:t>表2中</w:t>
            </w:r>
            <w:r>
              <w:rPr>
                <w:rFonts w:hint="eastAsia" w:cs="Times New Roman"/>
                <w:color w:val="auto"/>
                <w:sz w:val="24"/>
                <w:highlight w:val="none"/>
                <w:lang w:val="en-US" w:eastAsia="zh-CN"/>
              </w:rPr>
              <w:t>最高允许</w:t>
            </w:r>
            <w:r>
              <w:rPr>
                <w:rFonts w:hint="eastAsia" w:ascii="Times New Roman" w:hAnsi="Times New Roman" w:eastAsia="宋体" w:cs="Times New Roman"/>
                <w:color w:val="auto"/>
                <w:sz w:val="24"/>
                <w:highlight w:val="none"/>
                <w:lang w:val="en-US" w:eastAsia="zh-CN"/>
              </w:rPr>
              <w:t>排放浓度限值</w:t>
            </w:r>
            <w:r>
              <w:rPr>
                <w:rFonts w:hint="eastAsia" w:cs="Times New Roman"/>
                <w:color w:val="auto"/>
                <w:sz w:val="24"/>
                <w:highlight w:val="none"/>
                <w:lang w:val="en-US" w:eastAsia="zh-CN"/>
              </w:rPr>
              <w:t>（</w:t>
            </w:r>
            <w:r>
              <w:rPr>
                <w:rFonts w:hint="eastAsia" w:ascii="微软雅黑" w:hAnsi="微软雅黑" w:eastAsia="微软雅黑" w:cs="微软雅黑"/>
                <w:color w:val="auto"/>
                <w:sz w:val="24"/>
                <w:highlight w:val="none"/>
                <w:lang w:val="en-US" w:eastAsia="zh-CN"/>
              </w:rPr>
              <w:t>≤</w:t>
            </w:r>
            <w:r>
              <w:rPr>
                <w:rFonts w:hint="eastAsia" w:cs="Times New Roman"/>
                <w:color w:val="auto"/>
                <w:sz w:val="24"/>
                <w:highlight w:val="none"/>
                <w:lang w:val="en-US" w:eastAsia="zh-CN"/>
              </w:rPr>
              <w:t>120mg/m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）和速率限值（</w:t>
            </w:r>
            <w:r>
              <w:rPr>
                <w:rFonts w:hint="eastAsia" w:ascii="微软雅黑" w:hAnsi="微软雅黑" w:eastAsia="微软雅黑" w:cs="微软雅黑"/>
                <w:color w:val="auto"/>
                <w:sz w:val="24"/>
                <w:highlight w:val="none"/>
                <w:lang w:val="en-US" w:eastAsia="zh-CN"/>
              </w:rPr>
              <w:t>≤</w:t>
            </w:r>
            <w:r>
              <w:rPr>
                <w:rFonts w:hint="eastAsia" w:cs="Times New Roman"/>
                <w:color w:val="auto"/>
                <w:sz w:val="24"/>
                <w:highlight w:val="none"/>
                <w:lang w:val="en-US" w:eastAsia="zh-CN"/>
              </w:rPr>
              <w:t>10kg/h），无组织排放速率满足4.0kg/h限值要求；厂区内厂房外无组织非甲烷总烃排放废气满足《挥发性有机物无组织排放控制标准》（GB37822-2019）附录A 表A.1排放限值要求。</w:t>
            </w:r>
          </w:p>
          <w:p w14:paraId="1C1DF226">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w:t>
            </w:r>
            <w:r>
              <w:rPr>
                <w:rFonts w:hint="eastAsia" w:ascii="Times New Roman" w:hAnsi="Times New Roman" w:eastAsia="宋体" w:cs="Times New Roman"/>
                <w:color w:val="auto"/>
                <w:sz w:val="24"/>
                <w:highlight w:val="none"/>
                <w:lang w:val="en-US" w:eastAsia="zh-CN"/>
              </w:rPr>
              <w:t>锯切、仿形工序产生的颗粒物</w:t>
            </w:r>
          </w:p>
          <w:p w14:paraId="67F3DCD3">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本项目板条</w:t>
            </w:r>
            <w:r>
              <w:rPr>
                <w:rFonts w:hint="eastAsia" w:cs="Times New Roman"/>
                <w:color w:val="auto"/>
                <w:sz w:val="24"/>
                <w:highlight w:val="none"/>
                <w:lang w:val="en-US" w:eastAsia="zh-CN"/>
              </w:rPr>
              <w:t>锯切、仿形</w:t>
            </w:r>
            <w:r>
              <w:rPr>
                <w:rFonts w:hint="eastAsia" w:ascii="Times New Roman" w:hAnsi="Times New Roman" w:eastAsia="宋体" w:cs="Times New Roman"/>
                <w:color w:val="auto"/>
                <w:sz w:val="24"/>
                <w:highlight w:val="none"/>
                <w:lang w:val="en-US" w:eastAsia="zh-CN"/>
              </w:rPr>
              <w:t>工序会产生粉尘，主要成分木屑和颗粒物，根据《排放源统计调查产排污核算方法和系数手册》工业污染源中的201木材加工行业系数手册，木材</w:t>
            </w:r>
            <w:r>
              <w:rPr>
                <w:rFonts w:hint="eastAsia" w:cs="Times New Roman"/>
                <w:color w:val="auto"/>
                <w:sz w:val="24"/>
                <w:highlight w:val="none"/>
                <w:lang w:val="en-US" w:eastAsia="zh-CN"/>
              </w:rPr>
              <w:t>锯切、仿形</w:t>
            </w:r>
            <w:r>
              <w:rPr>
                <w:rFonts w:hint="eastAsia" w:ascii="Times New Roman" w:hAnsi="Times New Roman" w:eastAsia="宋体" w:cs="Times New Roman"/>
                <w:color w:val="auto"/>
                <w:sz w:val="24"/>
                <w:highlight w:val="none"/>
                <w:lang w:val="en-US" w:eastAsia="zh-CN"/>
              </w:rPr>
              <w:t>过程粉尘产生系数为0.243kg/m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-产品，本项目年产</w:t>
            </w:r>
            <w:r>
              <w:rPr>
                <w:rFonts w:hint="eastAsia" w:cs="Times New Roman"/>
                <w:color w:val="auto"/>
                <w:sz w:val="24"/>
                <w:highlight w:val="none"/>
                <w:lang w:val="en-US" w:eastAsia="zh-CN"/>
              </w:rPr>
              <w:t>11000</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板芯，则项目</w:t>
            </w:r>
            <w:r>
              <w:rPr>
                <w:rFonts w:hint="eastAsia" w:cs="Times New Roman"/>
                <w:color w:val="auto"/>
                <w:sz w:val="24"/>
                <w:highlight w:val="none"/>
                <w:lang w:val="en-US" w:eastAsia="zh-CN"/>
              </w:rPr>
              <w:t>锯切、仿形两道</w:t>
            </w:r>
            <w:r>
              <w:rPr>
                <w:rFonts w:hint="eastAsia" w:ascii="Times New Roman" w:hAnsi="Times New Roman" w:eastAsia="宋体" w:cs="Times New Roman"/>
                <w:color w:val="auto"/>
                <w:sz w:val="24"/>
                <w:highlight w:val="none"/>
                <w:lang w:val="en-US" w:eastAsia="zh-CN"/>
              </w:rPr>
              <w:t>工序的粉尘产生量为</w:t>
            </w:r>
            <w:r>
              <w:rPr>
                <w:rFonts w:hint="eastAsia" w:cs="Times New Roman"/>
                <w:color w:val="auto"/>
                <w:sz w:val="24"/>
                <w:highlight w:val="none"/>
                <w:lang w:val="en-US" w:eastAsia="zh-CN"/>
              </w:rPr>
              <w:t>5.346</w:t>
            </w:r>
            <w:r>
              <w:rPr>
                <w:rFonts w:hint="eastAsia" w:ascii="Times New Roman" w:hAnsi="Times New Roman" w:eastAsia="宋体" w:cs="Times New Roman"/>
                <w:color w:val="auto"/>
                <w:sz w:val="24"/>
                <w:highlight w:val="none"/>
                <w:lang w:val="en-US" w:eastAsia="zh-CN"/>
              </w:rPr>
              <w:t>t/a。各个产尘环节均进行集气罩收集，收集(收集效率为90%)后送至</w:t>
            </w:r>
            <w:r>
              <w:rPr>
                <w:rFonts w:hint="eastAsia" w:cs="Times New Roman"/>
                <w:color w:val="auto"/>
                <w:sz w:val="24"/>
                <w:highlight w:val="none"/>
                <w:lang w:val="en-US" w:eastAsia="zh-CN"/>
              </w:rPr>
              <w:t>旋风</w:t>
            </w:r>
            <w:r>
              <w:rPr>
                <w:rFonts w:hint="eastAsia" w:ascii="Times New Roman" w:hAnsi="Times New Roman" w:eastAsia="宋体" w:cs="Times New Roman"/>
                <w:color w:val="auto"/>
                <w:sz w:val="24"/>
                <w:highlight w:val="none"/>
                <w:lang w:val="en-US" w:eastAsia="zh-CN"/>
              </w:rPr>
              <w:t>除尘器</w:t>
            </w:r>
            <w:r>
              <w:rPr>
                <w:rFonts w:hint="eastAsia" w:cs="Times New Roman"/>
                <w:color w:val="auto"/>
                <w:sz w:val="24"/>
                <w:highlight w:val="none"/>
                <w:lang w:val="en-US" w:eastAsia="zh-CN"/>
              </w:rPr>
              <w:t>（处理效率80%）</w:t>
            </w:r>
            <w:r>
              <w:rPr>
                <w:rFonts w:hint="eastAsia" w:ascii="Times New Roman" w:hAnsi="Times New Roman" w:eastAsia="宋体" w:cs="Times New Roman"/>
                <w:color w:val="auto"/>
                <w:sz w:val="24"/>
                <w:highlight w:val="none"/>
                <w:lang w:val="en-US" w:eastAsia="zh-CN"/>
              </w:rPr>
              <w:t>处理后经</w:t>
            </w:r>
            <w:r>
              <w:rPr>
                <w:rFonts w:hint="eastAsia" w:cs="Times New Roman"/>
                <w:color w:val="auto"/>
                <w:sz w:val="24"/>
                <w:highlight w:val="none"/>
                <w:lang w:val="en-US" w:eastAsia="zh-CN"/>
              </w:rPr>
              <w:t>无组织</w:t>
            </w:r>
            <w:r>
              <w:rPr>
                <w:rFonts w:hint="eastAsia" w:ascii="Times New Roman" w:hAnsi="Times New Roman" w:eastAsia="宋体" w:cs="Times New Roman"/>
                <w:color w:val="auto"/>
                <w:sz w:val="24"/>
                <w:highlight w:val="none"/>
                <w:lang w:val="en-US" w:eastAsia="zh-CN"/>
              </w:rPr>
              <w:t>排放，粉尘排放量为0.</w:t>
            </w:r>
            <w:r>
              <w:rPr>
                <w:rFonts w:hint="eastAsia" w:cs="Times New Roman"/>
                <w:color w:val="auto"/>
                <w:sz w:val="24"/>
                <w:highlight w:val="none"/>
                <w:lang w:val="en-US" w:eastAsia="zh-CN"/>
              </w:rPr>
              <w:t>962</w:t>
            </w:r>
            <w:r>
              <w:rPr>
                <w:rFonts w:hint="eastAsia" w:ascii="Times New Roman" w:hAnsi="Times New Roman" w:eastAsia="宋体" w:cs="Times New Roman"/>
                <w:color w:val="auto"/>
                <w:sz w:val="24"/>
                <w:highlight w:val="none"/>
                <w:lang w:val="en-US" w:eastAsia="zh-CN"/>
              </w:rPr>
              <w:t>t/a，</w:t>
            </w:r>
            <w:r>
              <w:rPr>
                <w:rFonts w:hint="eastAsia" w:cs="Times New Roman"/>
                <w:color w:val="auto"/>
                <w:sz w:val="24"/>
                <w:highlight w:val="none"/>
                <w:lang w:val="en-US" w:eastAsia="zh-CN"/>
              </w:rPr>
              <w:t>产生的粉尘多为大颗粒物，多自然沉降，</w:t>
            </w:r>
            <w:r>
              <w:rPr>
                <w:rFonts w:hint="eastAsia" w:ascii="Times New Roman" w:hAnsi="Times New Roman" w:eastAsia="宋体" w:cs="Times New Roman"/>
                <w:color w:val="auto"/>
                <w:sz w:val="24"/>
                <w:highlight w:val="none"/>
                <w:lang w:val="en-US" w:eastAsia="zh-CN"/>
              </w:rPr>
              <w:t>对周围环境影响较小。</w:t>
            </w:r>
          </w:p>
          <w:p w14:paraId="3955D467">
            <w:pPr>
              <w:keepNext w:val="0"/>
              <w:keepLines w:val="0"/>
              <w:pageBreakBefore w:val="0"/>
              <w:widowControl w:val="0"/>
              <w:kinsoku/>
              <w:wordWrap/>
              <w:overflowPunct/>
              <w:topLinePunct w:val="0"/>
              <w:autoSpaceDE/>
              <w:autoSpaceDN/>
              <w:bidi w:val="0"/>
              <w:adjustRightInd/>
              <w:snapToGrid/>
              <w:spacing w:before="157" w:beforeLines="50" w:line="240" w:lineRule="auto"/>
              <w:ind w:firstLine="0"/>
              <w:jc w:val="center"/>
              <w:textAlignment w:val="auto"/>
              <w:rPr>
                <w:rFonts w:hint="eastAsia" w:eastAsia="宋体"/>
                <w:color w:val="auto"/>
                <w:highlight w:val="none"/>
                <w:lang w:val="en-US" w:eastAsia="zh-CN"/>
              </w:rPr>
            </w:pPr>
            <w:r>
              <w:rPr>
                <w:rFonts w:ascii="Times New Roman" w:hAnsi="Times New Roman" w:eastAsia="宋体" w:cs="Times New Roman"/>
                <w:b/>
                <w:snapToGrid w:val="0"/>
                <w:color w:val="auto"/>
                <w:kern w:val="0"/>
                <w:sz w:val="24"/>
                <w:szCs w:val="24"/>
                <w:highlight w:val="none"/>
              </w:rPr>
              <w:t>表4-</w:t>
            </w:r>
            <w:r>
              <w:rPr>
                <w:rFonts w:hint="eastAsia" w:ascii="Times New Roman" w:hAnsi="Times New Roman" w:eastAsia="宋体" w:cs="Times New Roman"/>
                <w:b/>
                <w:snapToGrid w:val="0"/>
                <w:color w:val="auto"/>
                <w:kern w:val="0"/>
                <w:sz w:val="24"/>
                <w:szCs w:val="24"/>
                <w:highlight w:val="none"/>
                <w:lang w:val="en-US" w:eastAsia="zh-CN"/>
              </w:rPr>
              <w:t>2</w:t>
            </w:r>
            <w:r>
              <w:rPr>
                <w:rFonts w:ascii="Times New Roman" w:hAnsi="Times New Roman" w:eastAsia="宋体" w:cs="Times New Roman"/>
                <w:b/>
                <w:snapToGrid w:val="0"/>
                <w:color w:val="auto"/>
                <w:kern w:val="0"/>
                <w:sz w:val="24"/>
                <w:szCs w:val="24"/>
                <w:highlight w:val="none"/>
              </w:rPr>
              <w:t>废气污染源源强核算结果</w:t>
            </w:r>
            <w:r>
              <w:rPr>
                <w:rFonts w:hint="eastAsia" w:cs="Times New Roman"/>
                <w:b/>
                <w:snapToGrid w:val="0"/>
                <w:color w:val="auto"/>
                <w:kern w:val="0"/>
                <w:sz w:val="24"/>
                <w:szCs w:val="24"/>
                <w:highlight w:val="none"/>
                <w:lang w:val="en-US" w:eastAsia="zh-CN"/>
              </w:rPr>
              <w:t>一览表</w:t>
            </w:r>
          </w:p>
          <w:tbl>
            <w:tblPr>
              <w:tblStyle w:val="31"/>
              <w:tblW w:w="80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4"/>
              <w:gridCol w:w="420"/>
              <w:gridCol w:w="435"/>
              <w:gridCol w:w="750"/>
              <w:gridCol w:w="720"/>
              <w:gridCol w:w="660"/>
              <w:gridCol w:w="660"/>
              <w:gridCol w:w="675"/>
              <w:gridCol w:w="495"/>
              <w:gridCol w:w="675"/>
              <w:gridCol w:w="795"/>
              <w:gridCol w:w="645"/>
              <w:gridCol w:w="743"/>
            </w:tblGrid>
            <w:tr w14:paraId="59ABD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344" w:type="dxa"/>
                  <w:vMerge w:val="restart"/>
                  <w:tcBorders>
                    <w:tl2br w:val="nil"/>
                    <w:tr2bl w:val="nil"/>
                  </w:tcBorders>
                  <w:vAlign w:val="center"/>
                </w:tcPr>
                <w:p w14:paraId="45BB06CA">
                  <w:pPr>
                    <w:jc w:val="center"/>
                    <w:rPr>
                      <w:color w:val="auto"/>
                      <w:sz w:val="21"/>
                      <w:szCs w:val="21"/>
                    </w:rPr>
                  </w:pPr>
                  <w:r>
                    <w:rPr>
                      <w:color w:val="auto"/>
                      <w:sz w:val="21"/>
                      <w:szCs w:val="21"/>
                    </w:rPr>
                    <w:t>产污环节</w:t>
                  </w:r>
                </w:p>
              </w:tc>
              <w:tc>
                <w:tcPr>
                  <w:tcW w:w="420" w:type="dxa"/>
                  <w:vMerge w:val="restart"/>
                  <w:tcBorders>
                    <w:tl2br w:val="nil"/>
                    <w:tr2bl w:val="nil"/>
                  </w:tcBorders>
                  <w:vAlign w:val="center"/>
                </w:tcPr>
                <w:p w14:paraId="1BCC7F48">
                  <w:pPr>
                    <w:jc w:val="center"/>
                    <w:rPr>
                      <w:color w:val="auto"/>
                      <w:sz w:val="21"/>
                      <w:szCs w:val="21"/>
                    </w:rPr>
                  </w:pPr>
                  <w:r>
                    <w:rPr>
                      <w:color w:val="auto"/>
                      <w:sz w:val="21"/>
                      <w:szCs w:val="21"/>
                    </w:rPr>
                    <w:t>污染物</w:t>
                  </w:r>
                </w:p>
              </w:tc>
              <w:tc>
                <w:tcPr>
                  <w:tcW w:w="435" w:type="dxa"/>
                  <w:vMerge w:val="restart"/>
                  <w:tcBorders>
                    <w:tl2br w:val="nil"/>
                    <w:tr2bl w:val="nil"/>
                  </w:tcBorders>
                  <w:vAlign w:val="center"/>
                </w:tcPr>
                <w:p w14:paraId="367643A7">
                  <w:pPr>
                    <w:jc w:val="center"/>
                    <w:rPr>
                      <w:rFonts w:hint="eastAsia" w:eastAsia="宋体"/>
                      <w:color w:val="auto"/>
                      <w:sz w:val="21"/>
                      <w:szCs w:val="21"/>
                      <w:lang w:val="en-US" w:eastAsia="zh-CN"/>
                    </w:rPr>
                  </w:pPr>
                  <w:r>
                    <w:rPr>
                      <w:rFonts w:hint="eastAsia"/>
                      <w:color w:val="auto"/>
                      <w:sz w:val="21"/>
                      <w:szCs w:val="21"/>
                      <w:lang w:val="en-US" w:eastAsia="zh-CN"/>
                    </w:rPr>
                    <w:t>排放方式</w:t>
                  </w:r>
                </w:p>
              </w:tc>
              <w:tc>
                <w:tcPr>
                  <w:tcW w:w="1470" w:type="dxa"/>
                  <w:gridSpan w:val="2"/>
                  <w:tcBorders>
                    <w:tl2br w:val="nil"/>
                    <w:tr2bl w:val="nil"/>
                  </w:tcBorders>
                  <w:vAlign w:val="center"/>
                </w:tcPr>
                <w:p w14:paraId="10D1DB4B">
                  <w:pPr>
                    <w:jc w:val="center"/>
                    <w:rPr>
                      <w:color w:val="auto"/>
                      <w:sz w:val="21"/>
                      <w:szCs w:val="21"/>
                    </w:rPr>
                  </w:pPr>
                  <w:r>
                    <w:rPr>
                      <w:color w:val="auto"/>
                      <w:sz w:val="21"/>
                      <w:szCs w:val="21"/>
                    </w:rPr>
                    <w:t>污染物产生</w:t>
                  </w:r>
                </w:p>
              </w:tc>
              <w:tc>
                <w:tcPr>
                  <w:tcW w:w="3165" w:type="dxa"/>
                  <w:gridSpan w:val="5"/>
                  <w:tcBorders>
                    <w:tl2br w:val="nil"/>
                    <w:tr2bl w:val="nil"/>
                  </w:tcBorders>
                  <w:vAlign w:val="center"/>
                </w:tcPr>
                <w:p w14:paraId="34D85171">
                  <w:pPr>
                    <w:jc w:val="center"/>
                    <w:rPr>
                      <w:rFonts w:hint="eastAsia" w:eastAsia="宋体"/>
                      <w:color w:val="auto"/>
                      <w:sz w:val="21"/>
                      <w:szCs w:val="21"/>
                      <w:lang w:val="en-US" w:eastAsia="zh-CN"/>
                    </w:rPr>
                  </w:pPr>
                  <w:r>
                    <w:rPr>
                      <w:rFonts w:hint="eastAsia"/>
                      <w:color w:val="auto"/>
                      <w:sz w:val="21"/>
                      <w:szCs w:val="21"/>
                      <w:lang w:val="en-US" w:eastAsia="zh-CN"/>
                    </w:rPr>
                    <w:t>治理措施</w:t>
                  </w:r>
                </w:p>
              </w:tc>
              <w:tc>
                <w:tcPr>
                  <w:tcW w:w="2183" w:type="dxa"/>
                  <w:gridSpan w:val="3"/>
                  <w:tcBorders>
                    <w:tl2br w:val="nil"/>
                    <w:tr2bl w:val="nil"/>
                  </w:tcBorders>
                  <w:vAlign w:val="center"/>
                </w:tcPr>
                <w:p w14:paraId="2E233FA4">
                  <w:pPr>
                    <w:jc w:val="center"/>
                    <w:rPr>
                      <w:rFonts w:hint="eastAsia" w:eastAsia="宋体"/>
                      <w:color w:val="auto"/>
                      <w:sz w:val="21"/>
                      <w:szCs w:val="21"/>
                      <w:lang w:val="en-US" w:eastAsia="zh-CN"/>
                    </w:rPr>
                  </w:pPr>
                  <w:r>
                    <w:rPr>
                      <w:rFonts w:hint="eastAsia"/>
                      <w:color w:val="auto"/>
                      <w:sz w:val="21"/>
                      <w:szCs w:val="21"/>
                      <w:lang w:val="en-US" w:eastAsia="zh-CN"/>
                    </w:rPr>
                    <w:t>污染物排放</w:t>
                  </w:r>
                </w:p>
              </w:tc>
            </w:tr>
            <w:tr w14:paraId="2C5CA1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344" w:type="dxa"/>
                  <w:vMerge w:val="continue"/>
                  <w:tcBorders>
                    <w:tl2br w:val="nil"/>
                    <w:tr2bl w:val="nil"/>
                  </w:tcBorders>
                  <w:vAlign w:val="center"/>
                </w:tcPr>
                <w:p w14:paraId="0FA5080C">
                  <w:pPr>
                    <w:pStyle w:val="97"/>
                    <w:ind w:firstLine="360"/>
                    <w:jc w:val="center"/>
                    <w:rPr>
                      <w:rFonts w:hAnsi="Times New Roman" w:cs="Times New Roman"/>
                      <w:color w:val="auto"/>
                      <w:sz w:val="21"/>
                      <w:szCs w:val="21"/>
                    </w:rPr>
                  </w:pPr>
                </w:p>
              </w:tc>
              <w:tc>
                <w:tcPr>
                  <w:tcW w:w="420" w:type="dxa"/>
                  <w:vMerge w:val="continue"/>
                  <w:tcBorders>
                    <w:tl2br w:val="nil"/>
                    <w:tr2bl w:val="nil"/>
                  </w:tcBorders>
                  <w:vAlign w:val="center"/>
                </w:tcPr>
                <w:p w14:paraId="41EA59E6">
                  <w:pPr>
                    <w:pStyle w:val="97"/>
                    <w:ind w:firstLine="360"/>
                    <w:jc w:val="center"/>
                    <w:rPr>
                      <w:rFonts w:hAnsi="Times New Roman" w:cs="Times New Roman"/>
                      <w:color w:val="auto"/>
                      <w:sz w:val="21"/>
                      <w:szCs w:val="21"/>
                    </w:rPr>
                  </w:pPr>
                </w:p>
              </w:tc>
              <w:tc>
                <w:tcPr>
                  <w:tcW w:w="435" w:type="dxa"/>
                  <w:vMerge w:val="continue"/>
                  <w:tcBorders>
                    <w:tl2br w:val="nil"/>
                    <w:tr2bl w:val="nil"/>
                  </w:tcBorders>
                  <w:vAlign w:val="center"/>
                </w:tcPr>
                <w:p w14:paraId="1244615F">
                  <w:pPr>
                    <w:pStyle w:val="97"/>
                    <w:ind w:firstLine="360"/>
                    <w:jc w:val="center"/>
                    <w:rPr>
                      <w:rFonts w:hAnsi="Times New Roman" w:cs="Times New Roman"/>
                      <w:color w:val="auto"/>
                      <w:sz w:val="21"/>
                      <w:szCs w:val="21"/>
                    </w:rPr>
                  </w:pPr>
                </w:p>
              </w:tc>
              <w:tc>
                <w:tcPr>
                  <w:tcW w:w="750" w:type="dxa"/>
                  <w:tcBorders>
                    <w:tl2br w:val="nil"/>
                    <w:tr2bl w:val="nil"/>
                  </w:tcBorders>
                  <w:vAlign w:val="center"/>
                </w:tcPr>
                <w:p w14:paraId="6A9C2C11">
                  <w:pPr>
                    <w:jc w:val="center"/>
                    <w:rPr>
                      <w:color w:val="auto"/>
                      <w:sz w:val="21"/>
                      <w:szCs w:val="21"/>
                    </w:rPr>
                  </w:pPr>
                  <w:r>
                    <w:rPr>
                      <w:rFonts w:hint="eastAsia"/>
                      <w:color w:val="auto"/>
                      <w:sz w:val="21"/>
                      <w:szCs w:val="21"/>
                      <w:lang w:val="en-US" w:eastAsia="zh-CN"/>
                    </w:rPr>
                    <w:t>产生</w:t>
                  </w:r>
                  <w:r>
                    <w:rPr>
                      <w:color w:val="auto"/>
                      <w:sz w:val="21"/>
                      <w:szCs w:val="21"/>
                    </w:rPr>
                    <w:t>浓度mg/m</w:t>
                  </w:r>
                  <w:r>
                    <w:rPr>
                      <w:color w:val="auto"/>
                      <w:sz w:val="21"/>
                      <w:szCs w:val="21"/>
                      <w:vertAlign w:val="superscript"/>
                    </w:rPr>
                    <w:t>3</w:t>
                  </w:r>
                </w:p>
              </w:tc>
              <w:tc>
                <w:tcPr>
                  <w:tcW w:w="720" w:type="dxa"/>
                  <w:tcBorders>
                    <w:tl2br w:val="nil"/>
                    <w:tr2bl w:val="nil"/>
                  </w:tcBorders>
                  <w:vAlign w:val="center"/>
                </w:tcPr>
                <w:p w14:paraId="5891CD2E">
                  <w:pPr>
                    <w:jc w:val="center"/>
                    <w:rPr>
                      <w:color w:val="auto"/>
                      <w:sz w:val="21"/>
                      <w:szCs w:val="21"/>
                    </w:rPr>
                  </w:pPr>
                  <w:r>
                    <w:rPr>
                      <w:color w:val="auto"/>
                      <w:sz w:val="21"/>
                      <w:szCs w:val="21"/>
                    </w:rPr>
                    <w:t>产生量</w:t>
                  </w:r>
                  <w:r>
                    <w:rPr>
                      <w:rFonts w:hint="eastAsia"/>
                      <w:color w:val="auto"/>
                      <w:sz w:val="21"/>
                      <w:szCs w:val="21"/>
                      <w:lang w:val="en-US" w:eastAsia="zh-CN"/>
                    </w:rPr>
                    <w:t>t</w:t>
                  </w:r>
                  <w:r>
                    <w:rPr>
                      <w:color w:val="auto"/>
                      <w:sz w:val="21"/>
                      <w:szCs w:val="21"/>
                    </w:rPr>
                    <w:t>/</w:t>
                  </w:r>
                  <w:r>
                    <w:rPr>
                      <w:rFonts w:hint="eastAsia"/>
                      <w:color w:val="auto"/>
                      <w:sz w:val="21"/>
                      <w:szCs w:val="21"/>
                      <w:lang w:val="en-US" w:eastAsia="zh-CN"/>
                    </w:rPr>
                    <w:t>a</w:t>
                  </w:r>
                </w:p>
              </w:tc>
              <w:tc>
                <w:tcPr>
                  <w:tcW w:w="660" w:type="dxa"/>
                  <w:tcBorders>
                    <w:tl2br w:val="nil"/>
                    <w:tr2bl w:val="nil"/>
                  </w:tcBorders>
                  <w:vAlign w:val="center"/>
                </w:tcPr>
                <w:p w14:paraId="762EE972">
                  <w:pPr>
                    <w:jc w:val="center"/>
                    <w:rPr>
                      <w:rFonts w:hint="eastAsia" w:eastAsia="宋体"/>
                      <w:color w:val="auto"/>
                      <w:sz w:val="21"/>
                      <w:szCs w:val="21"/>
                      <w:lang w:val="en-US" w:eastAsia="zh-CN"/>
                    </w:rPr>
                  </w:pPr>
                  <w:r>
                    <w:rPr>
                      <w:rFonts w:hint="eastAsia"/>
                      <w:color w:val="auto"/>
                      <w:sz w:val="21"/>
                      <w:szCs w:val="21"/>
                      <w:lang w:val="en-US" w:eastAsia="zh-CN"/>
                    </w:rPr>
                    <w:t>处理措施</w:t>
                  </w:r>
                </w:p>
              </w:tc>
              <w:tc>
                <w:tcPr>
                  <w:tcW w:w="660" w:type="dxa"/>
                  <w:tcBorders>
                    <w:tl2br w:val="nil"/>
                    <w:tr2bl w:val="nil"/>
                  </w:tcBorders>
                  <w:vAlign w:val="center"/>
                </w:tcPr>
                <w:p w14:paraId="3C1AD58B">
                  <w:pPr>
                    <w:jc w:val="center"/>
                    <w:rPr>
                      <w:rFonts w:hint="default" w:eastAsia="宋体"/>
                      <w:color w:val="auto"/>
                      <w:sz w:val="21"/>
                      <w:szCs w:val="21"/>
                      <w:lang w:val="en-US" w:eastAsia="zh-CN"/>
                    </w:rPr>
                  </w:pPr>
                  <w:r>
                    <w:rPr>
                      <w:rFonts w:hint="eastAsia"/>
                      <w:color w:val="auto"/>
                      <w:sz w:val="21"/>
                      <w:szCs w:val="21"/>
                      <w:lang w:val="en-US" w:eastAsia="zh-CN"/>
                    </w:rPr>
                    <w:t>处理能力m</w:t>
                  </w:r>
                  <w:r>
                    <w:rPr>
                      <w:rFonts w:hint="eastAsia"/>
                      <w:color w:val="auto"/>
                      <w:sz w:val="21"/>
                      <w:szCs w:val="21"/>
                      <w:vertAlign w:val="superscript"/>
                      <w:lang w:val="en-US" w:eastAsia="zh-CN"/>
                    </w:rPr>
                    <w:t>3</w:t>
                  </w:r>
                  <w:r>
                    <w:rPr>
                      <w:rFonts w:hint="eastAsia"/>
                      <w:color w:val="auto"/>
                      <w:sz w:val="21"/>
                      <w:szCs w:val="21"/>
                      <w:lang w:val="en-US" w:eastAsia="zh-CN"/>
                    </w:rPr>
                    <w:t>/h</w:t>
                  </w:r>
                </w:p>
              </w:tc>
              <w:tc>
                <w:tcPr>
                  <w:tcW w:w="675" w:type="dxa"/>
                  <w:tcBorders>
                    <w:tl2br w:val="nil"/>
                    <w:tr2bl w:val="nil"/>
                  </w:tcBorders>
                  <w:vAlign w:val="center"/>
                </w:tcPr>
                <w:p w14:paraId="6754F57C">
                  <w:pPr>
                    <w:jc w:val="center"/>
                    <w:rPr>
                      <w:rFonts w:hint="default" w:eastAsia="宋体"/>
                      <w:color w:val="auto"/>
                      <w:sz w:val="21"/>
                      <w:szCs w:val="21"/>
                      <w:lang w:val="en-US" w:eastAsia="zh-CN"/>
                    </w:rPr>
                  </w:pPr>
                  <w:r>
                    <w:rPr>
                      <w:rFonts w:hint="eastAsia"/>
                      <w:color w:val="auto"/>
                      <w:sz w:val="21"/>
                      <w:szCs w:val="21"/>
                      <w:lang w:val="en-US" w:eastAsia="zh-CN"/>
                    </w:rPr>
                    <w:t>收集效率%</w:t>
                  </w:r>
                </w:p>
              </w:tc>
              <w:tc>
                <w:tcPr>
                  <w:tcW w:w="495" w:type="dxa"/>
                  <w:tcBorders>
                    <w:tl2br w:val="nil"/>
                    <w:tr2bl w:val="nil"/>
                  </w:tcBorders>
                  <w:vAlign w:val="center"/>
                </w:tcPr>
                <w:p w14:paraId="12424551">
                  <w:pPr>
                    <w:jc w:val="center"/>
                    <w:rPr>
                      <w:rFonts w:hint="default" w:eastAsia="宋体"/>
                      <w:color w:val="auto"/>
                      <w:sz w:val="21"/>
                      <w:szCs w:val="21"/>
                      <w:lang w:val="en-US" w:eastAsia="zh-CN"/>
                    </w:rPr>
                  </w:pPr>
                  <w:r>
                    <w:rPr>
                      <w:rFonts w:hint="eastAsia"/>
                      <w:color w:val="auto"/>
                      <w:sz w:val="21"/>
                      <w:szCs w:val="21"/>
                      <w:lang w:val="en-US" w:eastAsia="zh-CN"/>
                    </w:rPr>
                    <w:t>去除率%</w:t>
                  </w:r>
                </w:p>
              </w:tc>
              <w:tc>
                <w:tcPr>
                  <w:tcW w:w="675" w:type="dxa"/>
                  <w:tcBorders>
                    <w:tl2br w:val="nil"/>
                    <w:tr2bl w:val="nil"/>
                  </w:tcBorders>
                  <w:vAlign w:val="center"/>
                </w:tcPr>
                <w:p w14:paraId="548B6F4C">
                  <w:pPr>
                    <w:jc w:val="center"/>
                    <w:rPr>
                      <w:rFonts w:hint="eastAsia" w:eastAsia="宋体"/>
                      <w:color w:val="auto"/>
                      <w:sz w:val="21"/>
                      <w:szCs w:val="21"/>
                      <w:lang w:val="en-US" w:eastAsia="zh-CN"/>
                    </w:rPr>
                  </w:pPr>
                  <w:r>
                    <w:rPr>
                      <w:rFonts w:hint="eastAsia"/>
                      <w:color w:val="auto"/>
                      <w:sz w:val="21"/>
                      <w:szCs w:val="21"/>
                      <w:lang w:val="en-US" w:eastAsia="zh-CN"/>
                    </w:rPr>
                    <w:t>是否为可行技术</w:t>
                  </w:r>
                </w:p>
              </w:tc>
              <w:tc>
                <w:tcPr>
                  <w:tcW w:w="795" w:type="dxa"/>
                  <w:tcBorders>
                    <w:tl2br w:val="nil"/>
                    <w:tr2bl w:val="nil"/>
                  </w:tcBorders>
                  <w:vAlign w:val="center"/>
                </w:tcPr>
                <w:p w14:paraId="76878ABB">
                  <w:pPr>
                    <w:jc w:val="center"/>
                    <w:rPr>
                      <w:color w:val="auto"/>
                      <w:sz w:val="21"/>
                      <w:szCs w:val="21"/>
                    </w:rPr>
                  </w:pPr>
                  <w:r>
                    <w:rPr>
                      <w:rFonts w:hint="eastAsia"/>
                      <w:color w:val="auto"/>
                      <w:sz w:val="21"/>
                      <w:szCs w:val="21"/>
                      <w:lang w:eastAsia="zh-CN"/>
                    </w:rPr>
                    <w:t>排放</w:t>
                  </w:r>
                  <w:r>
                    <w:rPr>
                      <w:color w:val="auto"/>
                      <w:sz w:val="21"/>
                      <w:szCs w:val="21"/>
                    </w:rPr>
                    <w:t>浓度mg/m</w:t>
                  </w:r>
                  <w:r>
                    <w:rPr>
                      <w:color w:val="auto"/>
                      <w:sz w:val="21"/>
                      <w:szCs w:val="21"/>
                      <w:vertAlign w:val="superscript"/>
                    </w:rPr>
                    <w:t>3</w:t>
                  </w:r>
                </w:p>
              </w:tc>
              <w:tc>
                <w:tcPr>
                  <w:tcW w:w="645" w:type="dxa"/>
                  <w:tcBorders>
                    <w:tl2br w:val="nil"/>
                    <w:tr2bl w:val="nil"/>
                  </w:tcBorders>
                  <w:vAlign w:val="center"/>
                </w:tcPr>
                <w:p w14:paraId="07A358A4">
                  <w:pPr>
                    <w:jc w:val="center"/>
                    <w:rPr>
                      <w:color w:val="auto"/>
                      <w:sz w:val="21"/>
                      <w:szCs w:val="21"/>
                    </w:rPr>
                  </w:pPr>
                  <w:r>
                    <w:rPr>
                      <w:color w:val="auto"/>
                      <w:sz w:val="21"/>
                      <w:szCs w:val="21"/>
                    </w:rPr>
                    <w:t>排放速率kg/h</w:t>
                  </w:r>
                </w:p>
              </w:tc>
              <w:tc>
                <w:tcPr>
                  <w:tcW w:w="743" w:type="dxa"/>
                  <w:tcBorders>
                    <w:tl2br w:val="nil"/>
                    <w:tr2bl w:val="nil"/>
                  </w:tcBorders>
                  <w:vAlign w:val="center"/>
                </w:tcPr>
                <w:p w14:paraId="0FCFEA0A">
                  <w:pPr>
                    <w:jc w:val="center"/>
                    <w:rPr>
                      <w:color w:val="auto"/>
                      <w:sz w:val="21"/>
                      <w:szCs w:val="21"/>
                    </w:rPr>
                  </w:pPr>
                  <w:r>
                    <w:rPr>
                      <w:rFonts w:hint="eastAsia"/>
                      <w:color w:val="auto"/>
                      <w:sz w:val="21"/>
                      <w:szCs w:val="21"/>
                      <w:lang w:val="en-US" w:eastAsia="zh-CN"/>
                    </w:rPr>
                    <w:t>排放</w:t>
                  </w:r>
                  <w:r>
                    <w:rPr>
                      <w:color w:val="auto"/>
                      <w:sz w:val="21"/>
                      <w:szCs w:val="21"/>
                    </w:rPr>
                    <w:t>量</w:t>
                  </w:r>
                  <w:r>
                    <w:rPr>
                      <w:rFonts w:hint="eastAsia"/>
                      <w:color w:val="auto"/>
                      <w:sz w:val="21"/>
                      <w:szCs w:val="21"/>
                      <w:lang w:val="en-US" w:eastAsia="zh-CN"/>
                    </w:rPr>
                    <w:t>t</w:t>
                  </w:r>
                  <w:r>
                    <w:rPr>
                      <w:color w:val="auto"/>
                      <w:sz w:val="21"/>
                      <w:szCs w:val="21"/>
                    </w:rPr>
                    <w:t>/</w:t>
                  </w:r>
                  <w:r>
                    <w:rPr>
                      <w:rFonts w:hint="eastAsia"/>
                      <w:color w:val="auto"/>
                      <w:sz w:val="21"/>
                      <w:szCs w:val="21"/>
                      <w:lang w:val="en-US" w:eastAsia="zh-CN"/>
                    </w:rPr>
                    <w:t>a</w:t>
                  </w:r>
                </w:p>
              </w:tc>
            </w:tr>
            <w:tr w14:paraId="3328CA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7" w:hRule="atLeast"/>
                <w:jc w:val="center"/>
              </w:trPr>
              <w:tc>
                <w:tcPr>
                  <w:tcW w:w="344" w:type="dxa"/>
                  <w:vMerge w:val="restart"/>
                  <w:tcBorders>
                    <w:tl2br w:val="nil"/>
                    <w:tr2bl w:val="nil"/>
                  </w:tcBorders>
                  <w:vAlign w:val="center"/>
                </w:tcPr>
                <w:p w14:paraId="459F5C22">
                  <w:pPr>
                    <w:jc w:val="center"/>
                    <w:rPr>
                      <w:rFonts w:hint="eastAsia" w:eastAsia="宋体"/>
                      <w:color w:val="auto"/>
                      <w:sz w:val="21"/>
                      <w:szCs w:val="21"/>
                      <w:lang w:eastAsia="zh-CN"/>
                    </w:rPr>
                  </w:pPr>
                  <w:r>
                    <w:rPr>
                      <w:rFonts w:hint="eastAsia"/>
                      <w:color w:val="auto"/>
                      <w:sz w:val="21"/>
                      <w:szCs w:val="21"/>
                      <w:lang w:val="en-US" w:eastAsia="zh-CN"/>
                    </w:rPr>
                    <w:t>生产车间</w:t>
                  </w:r>
                </w:p>
              </w:tc>
              <w:tc>
                <w:tcPr>
                  <w:tcW w:w="420" w:type="dxa"/>
                  <w:vMerge w:val="restart"/>
                  <w:tcBorders>
                    <w:tl2br w:val="nil"/>
                    <w:tr2bl w:val="nil"/>
                  </w:tcBorders>
                  <w:vAlign w:val="center"/>
                </w:tcPr>
                <w:p w14:paraId="3D05C869">
                  <w:pPr>
                    <w:jc w:val="center"/>
                    <w:rPr>
                      <w:rFonts w:hint="default" w:eastAsia="宋体"/>
                      <w:color w:val="auto"/>
                      <w:sz w:val="21"/>
                      <w:szCs w:val="21"/>
                      <w:lang w:val="en-US" w:eastAsia="zh-CN"/>
                    </w:rPr>
                  </w:pPr>
                  <w:r>
                    <w:rPr>
                      <w:rFonts w:hint="eastAsia"/>
                      <w:color w:val="auto"/>
                      <w:sz w:val="21"/>
                      <w:szCs w:val="21"/>
                      <w:lang w:val="en-US" w:eastAsia="zh-CN"/>
                    </w:rPr>
                    <w:t>颗粒物</w:t>
                  </w:r>
                </w:p>
              </w:tc>
              <w:tc>
                <w:tcPr>
                  <w:tcW w:w="435" w:type="dxa"/>
                  <w:tcBorders>
                    <w:tl2br w:val="nil"/>
                    <w:tr2bl w:val="nil"/>
                  </w:tcBorders>
                  <w:vAlign w:val="center"/>
                </w:tcPr>
                <w:p w14:paraId="2C93DA37">
                  <w:pPr>
                    <w:jc w:val="center"/>
                    <w:rPr>
                      <w:rFonts w:hint="eastAsia" w:eastAsia="宋体"/>
                      <w:color w:val="auto"/>
                      <w:sz w:val="21"/>
                      <w:szCs w:val="21"/>
                      <w:lang w:val="en-US" w:eastAsia="zh-CN"/>
                    </w:rPr>
                  </w:pPr>
                  <w:r>
                    <w:rPr>
                      <w:rFonts w:hint="eastAsia"/>
                      <w:color w:val="auto"/>
                      <w:sz w:val="21"/>
                      <w:szCs w:val="21"/>
                      <w:lang w:val="en-US" w:eastAsia="zh-CN"/>
                    </w:rPr>
                    <w:t>无组织</w:t>
                  </w:r>
                </w:p>
              </w:tc>
              <w:tc>
                <w:tcPr>
                  <w:tcW w:w="750" w:type="dxa"/>
                  <w:tcBorders>
                    <w:tl2br w:val="nil"/>
                    <w:tr2bl w:val="nil"/>
                  </w:tcBorders>
                  <w:vAlign w:val="center"/>
                </w:tcPr>
                <w:p w14:paraId="47314871">
                  <w:pPr>
                    <w:jc w:val="center"/>
                    <w:rPr>
                      <w:rFonts w:hint="default" w:eastAsia="宋体"/>
                      <w:color w:val="auto"/>
                      <w:sz w:val="21"/>
                      <w:szCs w:val="21"/>
                      <w:lang w:val="en-US" w:eastAsia="zh-CN"/>
                    </w:rPr>
                  </w:pPr>
                  <w:r>
                    <w:rPr>
                      <w:rFonts w:hint="eastAsia"/>
                      <w:color w:val="auto"/>
                      <w:sz w:val="21"/>
                      <w:szCs w:val="21"/>
                      <w:lang w:val="en-US" w:eastAsia="zh-CN"/>
                    </w:rPr>
                    <w:t>/</w:t>
                  </w:r>
                </w:p>
              </w:tc>
              <w:tc>
                <w:tcPr>
                  <w:tcW w:w="720" w:type="dxa"/>
                  <w:tcBorders>
                    <w:tl2br w:val="nil"/>
                    <w:tr2bl w:val="nil"/>
                  </w:tcBorders>
                  <w:vAlign w:val="center"/>
                </w:tcPr>
                <w:p w14:paraId="66B7F934">
                  <w:pPr>
                    <w:jc w:val="center"/>
                    <w:rPr>
                      <w:rFonts w:hint="default" w:eastAsia="宋体"/>
                      <w:color w:val="auto"/>
                      <w:sz w:val="21"/>
                      <w:szCs w:val="21"/>
                      <w:lang w:val="en-US" w:eastAsia="zh-CN"/>
                    </w:rPr>
                  </w:pPr>
                  <w:r>
                    <w:rPr>
                      <w:rFonts w:hint="eastAsia"/>
                      <w:color w:val="auto"/>
                      <w:sz w:val="21"/>
                      <w:szCs w:val="21"/>
                      <w:lang w:val="en-US" w:eastAsia="zh-CN"/>
                    </w:rPr>
                    <w:t>5.346</w:t>
                  </w:r>
                </w:p>
              </w:tc>
              <w:tc>
                <w:tcPr>
                  <w:tcW w:w="660" w:type="dxa"/>
                  <w:tcBorders>
                    <w:tl2br w:val="nil"/>
                    <w:tr2bl w:val="nil"/>
                  </w:tcBorders>
                  <w:vAlign w:val="center"/>
                </w:tcPr>
                <w:p w14:paraId="399A53DE">
                  <w:pPr>
                    <w:jc w:val="center"/>
                    <w:rPr>
                      <w:rFonts w:hint="default" w:eastAsia="宋体"/>
                      <w:color w:val="auto"/>
                      <w:sz w:val="21"/>
                      <w:szCs w:val="21"/>
                      <w:lang w:val="en-US" w:eastAsia="zh-CN"/>
                    </w:rPr>
                  </w:pPr>
                  <w:r>
                    <w:rPr>
                      <w:rFonts w:hint="eastAsia"/>
                      <w:color w:val="auto"/>
                      <w:sz w:val="21"/>
                      <w:szCs w:val="21"/>
                      <w:lang w:val="en-US" w:eastAsia="zh-CN"/>
                    </w:rPr>
                    <w:t>集气罩、旋风除尘</w:t>
                  </w:r>
                </w:p>
              </w:tc>
              <w:tc>
                <w:tcPr>
                  <w:tcW w:w="660" w:type="dxa"/>
                  <w:tcBorders>
                    <w:tl2br w:val="nil"/>
                    <w:tr2bl w:val="nil"/>
                  </w:tcBorders>
                  <w:vAlign w:val="center"/>
                </w:tcPr>
                <w:p w14:paraId="3E8B4E75">
                  <w:pPr>
                    <w:jc w:val="center"/>
                    <w:rPr>
                      <w:rFonts w:hint="default" w:eastAsia="宋体"/>
                      <w:color w:val="auto"/>
                      <w:sz w:val="21"/>
                      <w:szCs w:val="21"/>
                      <w:lang w:val="en-US" w:eastAsia="zh-CN"/>
                    </w:rPr>
                  </w:pPr>
                  <w:r>
                    <w:rPr>
                      <w:rFonts w:hint="eastAsia"/>
                      <w:color w:val="auto"/>
                      <w:sz w:val="21"/>
                      <w:szCs w:val="21"/>
                      <w:lang w:val="en-US" w:eastAsia="zh-CN"/>
                    </w:rPr>
                    <w:t>/</w:t>
                  </w:r>
                </w:p>
              </w:tc>
              <w:tc>
                <w:tcPr>
                  <w:tcW w:w="675" w:type="dxa"/>
                  <w:tcBorders>
                    <w:tl2br w:val="nil"/>
                    <w:tr2bl w:val="nil"/>
                  </w:tcBorders>
                  <w:vAlign w:val="center"/>
                </w:tcPr>
                <w:p w14:paraId="4D3C4492">
                  <w:pPr>
                    <w:jc w:val="center"/>
                    <w:rPr>
                      <w:rFonts w:hint="default" w:eastAsia="宋体"/>
                      <w:color w:val="auto"/>
                      <w:sz w:val="21"/>
                      <w:szCs w:val="21"/>
                      <w:lang w:val="en-US" w:eastAsia="zh-CN"/>
                    </w:rPr>
                  </w:pPr>
                  <w:r>
                    <w:rPr>
                      <w:rFonts w:hint="eastAsia"/>
                      <w:color w:val="auto"/>
                      <w:sz w:val="21"/>
                      <w:szCs w:val="21"/>
                      <w:lang w:val="en-US" w:eastAsia="zh-CN"/>
                    </w:rPr>
                    <w:t>90</w:t>
                  </w:r>
                </w:p>
              </w:tc>
              <w:tc>
                <w:tcPr>
                  <w:tcW w:w="495" w:type="dxa"/>
                  <w:tcBorders>
                    <w:tl2br w:val="nil"/>
                    <w:tr2bl w:val="nil"/>
                  </w:tcBorders>
                  <w:vAlign w:val="center"/>
                </w:tcPr>
                <w:p w14:paraId="6349619B">
                  <w:pPr>
                    <w:jc w:val="center"/>
                    <w:rPr>
                      <w:rFonts w:hint="default" w:eastAsia="宋体"/>
                      <w:color w:val="auto"/>
                      <w:sz w:val="21"/>
                      <w:szCs w:val="21"/>
                      <w:lang w:val="en-US" w:eastAsia="zh-CN"/>
                    </w:rPr>
                  </w:pPr>
                  <w:r>
                    <w:rPr>
                      <w:rFonts w:hint="eastAsia"/>
                      <w:color w:val="auto"/>
                      <w:sz w:val="21"/>
                      <w:szCs w:val="21"/>
                      <w:lang w:val="en-US" w:eastAsia="zh-CN"/>
                    </w:rPr>
                    <w:t>80</w:t>
                  </w:r>
                </w:p>
              </w:tc>
              <w:tc>
                <w:tcPr>
                  <w:tcW w:w="675" w:type="dxa"/>
                  <w:tcBorders>
                    <w:tl2br w:val="nil"/>
                    <w:tr2bl w:val="nil"/>
                  </w:tcBorders>
                  <w:vAlign w:val="center"/>
                </w:tcPr>
                <w:p w14:paraId="1FFC7920">
                  <w:pPr>
                    <w:jc w:val="center"/>
                    <w:rPr>
                      <w:rFonts w:hint="eastAsia" w:eastAsia="宋体"/>
                      <w:color w:val="auto"/>
                      <w:sz w:val="21"/>
                      <w:szCs w:val="21"/>
                      <w:lang w:val="en-US" w:eastAsia="zh-CN"/>
                    </w:rPr>
                  </w:pPr>
                  <w:r>
                    <w:rPr>
                      <w:rFonts w:hint="eastAsia"/>
                      <w:color w:val="auto"/>
                      <w:sz w:val="21"/>
                      <w:szCs w:val="21"/>
                      <w:lang w:val="en-US" w:eastAsia="zh-CN"/>
                    </w:rPr>
                    <w:t>是</w:t>
                  </w:r>
                </w:p>
              </w:tc>
              <w:tc>
                <w:tcPr>
                  <w:tcW w:w="795" w:type="dxa"/>
                  <w:tcBorders>
                    <w:tl2br w:val="nil"/>
                    <w:tr2bl w:val="nil"/>
                  </w:tcBorders>
                  <w:vAlign w:val="center"/>
                </w:tcPr>
                <w:p w14:paraId="3C7F3341">
                  <w:pPr>
                    <w:jc w:val="center"/>
                    <w:rPr>
                      <w:rFonts w:hint="default" w:eastAsia="宋体"/>
                      <w:color w:val="auto"/>
                      <w:sz w:val="21"/>
                      <w:szCs w:val="21"/>
                      <w:lang w:val="en-US" w:eastAsia="zh-CN"/>
                    </w:rPr>
                  </w:pPr>
                  <w:r>
                    <w:rPr>
                      <w:rFonts w:hint="eastAsia"/>
                      <w:color w:val="auto"/>
                      <w:sz w:val="21"/>
                      <w:szCs w:val="21"/>
                      <w:lang w:val="en-US" w:eastAsia="zh-CN"/>
                    </w:rPr>
                    <w:t>/</w:t>
                  </w:r>
                </w:p>
              </w:tc>
              <w:tc>
                <w:tcPr>
                  <w:tcW w:w="645" w:type="dxa"/>
                  <w:tcBorders>
                    <w:tl2br w:val="nil"/>
                    <w:tr2bl w:val="nil"/>
                  </w:tcBorders>
                  <w:vAlign w:val="center"/>
                </w:tcPr>
                <w:p w14:paraId="490DFA31">
                  <w:pPr>
                    <w:jc w:val="center"/>
                    <w:rPr>
                      <w:rFonts w:hint="default" w:eastAsia="宋体"/>
                      <w:color w:val="auto"/>
                      <w:sz w:val="21"/>
                      <w:szCs w:val="21"/>
                      <w:lang w:val="en-US" w:eastAsia="zh-CN"/>
                    </w:rPr>
                  </w:pPr>
                  <w:r>
                    <w:rPr>
                      <w:rFonts w:hint="eastAsia"/>
                      <w:color w:val="auto"/>
                      <w:sz w:val="21"/>
                      <w:szCs w:val="21"/>
                      <w:lang w:val="en-US" w:eastAsia="zh-CN"/>
                    </w:rPr>
                    <w:t>/</w:t>
                  </w:r>
                </w:p>
              </w:tc>
              <w:tc>
                <w:tcPr>
                  <w:tcW w:w="743" w:type="dxa"/>
                  <w:tcBorders>
                    <w:tl2br w:val="nil"/>
                    <w:tr2bl w:val="nil"/>
                  </w:tcBorders>
                  <w:vAlign w:val="center"/>
                </w:tcPr>
                <w:p w14:paraId="1F89646B">
                  <w:pPr>
                    <w:jc w:val="center"/>
                    <w:rPr>
                      <w:rFonts w:hint="default" w:eastAsia="宋体"/>
                      <w:color w:val="auto"/>
                      <w:sz w:val="21"/>
                      <w:szCs w:val="21"/>
                      <w:lang w:val="en-US" w:eastAsia="zh-CN"/>
                    </w:rPr>
                  </w:pPr>
                  <w:r>
                    <w:rPr>
                      <w:color w:val="auto"/>
                      <w:sz w:val="21"/>
                      <w:szCs w:val="21"/>
                    </w:rPr>
                    <w:t>0.</w:t>
                  </w:r>
                  <w:r>
                    <w:rPr>
                      <w:rFonts w:hint="eastAsia"/>
                      <w:color w:val="auto"/>
                      <w:sz w:val="21"/>
                      <w:szCs w:val="21"/>
                      <w:lang w:val="en-US" w:eastAsia="zh-CN"/>
                    </w:rPr>
                    <w:t>962</w:t>
                  </w:r>
                </w:p>
              </w:tc>
            </w:tr>
            <w:tr w14:paraId="5FBE43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344" w:type="dxa"/>
                  <w:vMerge w:val="continue"/>
                  <w:tcBorders>
                    <w:tl2br w:val="nil"/>
                    <w:tr2bl w:val="nil"/>
                  </w:tcBorders>
                  <w:vAlign w:val="center"/>
                </w:tcPr>
                <w:p w14:paraId="1E34201A">
                  <w:pPr>
                    <w:jc w:val="center"/>
                    <w:rPr>
                      <w:rFonts w:hint="eastAsia"/>
                      <w:color w:val="auto"/>
                      <w:sz w:val="21"/>
                      <w:szCs w:val="21"/>
                      <w:lang w:val="en-US" w:eastAsia="zh-CN"/>
                    </w:rPr>
                  </w:pPr>
                </w:p>
              </w:tc>
              <w:tc>
                <w:tcPr>
                  <w:tcW w:w="420" w:type="dxa"/>
                  <w:vMerge w:val="continue"/>
                  <w:tcBorders>
                    <w:tl2br w:val="nil"/>
                    <w:tr2bl w:val="nil"/>
                  </w:tcBorders>
                  <w:vAlign w:val="center"/>
                </w:tcPr>
                <w:p w14:paraId="7E72A83C">
                  <w:pPr>
                    <w:jc w:val="center"/>
                    <w:rPr>
                      <w:rFonts w:hint="eastAsia"/>
                      <w:color w:val="auto"/>
                      <w:sz w:val="21"/>
                      <w:szCs w:val="21"/>
                      <w:lang w:val="en-US" w:eastAsia="zh-CN"/>
                    </w:rPr>
                  </w:pPr>
                </w:p>
              </w:tc>
              <w:tc>
                <w:tcPr>
                  <w:tcW w:w="435" w:type="dxa"/>
                  <w:tcBorders>
                    <w:tl2br w:val="nil"/>
                    <w:tr2bl w:val="nil"/>
                  </w:tcBorders>
                  <w:vAlign w:val="center"/>
                </w:tcPr>
                <w:p w14:paraId="36B6FC70">
                  <w:pPr>
                    <w:jc w:val="center"/>
                    <w:rPr>
                      <w:rFonts w:hint="default"/>
                      <w:color w:val="auto"/>
                      <w:sz w:val="21"/>
                      <w:szCs w:val="21"/>
                      <w:lang w:val="en-US" w:eastAsia="zh-CN"/>
                    </w:rPr>
                  </w:pPr>
                  <w:r>
                    <w:rPr>
                      <w:rFonts w:hint="eastAsia"/>
                      <w:color w:val="auto"/>
                      <w:sz w:val="21"/>
                      <w:szCs w:val="21"/>
                      <w:lang w:val="en-US" w:eastAsia="zh-CN"/>
                    </w:rPr>
                    <w:t>无组织</w:t>
                  </w:r>
                </w:p>
              </w:tc>
              <w:tc>
                <w:tcPr>
                  <w:tcW w:w="750" w:type="dxa"/>
                  <w:tcBorders>
                    <w:tl2br w:val="nil"/>
                    <w:tr2bl w:val="nil"/>
                  </w:tcBorders>
                  <w:vAlign w:val="center"/>
                </w:tcPr>
                <w:p w14:paraId="3B789A91">
                  <w:pPr>
                    <w:jc w:val="center"/>
                    <w:rPr>
                      <w:rFonts w:hint="default"/>
                      <w:color w:val="auto"/>
                      <w:sz w:val="21"/>
                      <w:szCs w:val="21"/>
                      <w:lang w:val="en-US" w:eastAsia="zh-CN"/>
                    </w:rPr>
                  </w:pPr>
                  <w:r>
                    <w:rPr>
                      <w:rFonts w:hint="eastAsia"/>
                      <w:color w:val="auto"/>
                      <w:sz w:val="21"/>
                      <w:szCs w:val="21"/>
                      <w:lang w:val="en-US" w:eastAsia="zh-CN"/>
                    </w:rPr>
                    <w:t>/</w:t>
                  </w:r>
                </w:p>
              </w:tc>
              <w:tc>
                <w:tcPr>
                  <w:tcW w:w="720" w:type="dxa"/>
                  <w:tcBorders>
                    <w:tl2br w:val="nil"/>
                    <w:tr2bl w:val="nil"/>
                  </w:tcBorders>
                  <w:vAlign w:val="center"/>
                </w:tcPr>
                <w:p w14:paraId="0F836671">
                  <w:pPr>
                    <w:jc w:val="center"/>
                    <w:rPr>
                      <w:rFonts w:hint="default"/>
                      <w:color w:val="auto"/>
                      <w:sz w:val="21"/>
                      <w:szCs w:val="21"/>
                      <w:lang w:val="en-US" w:eastAsia="zh-CN"/>
                    </w:rPr>
                  </w:pPr>
                  <w:r>
                    <w:rPr>
                      <w:rFonts w:hint="eastAsia"/>
                      <w:color w:val="auto"/>
                      <w:sz w:val="21"/>
                      <w:szCs w:val="21"/>
                      <w:lang w:val="en-US" w:eastAsia="zh-CN"/>
                    </w:rPr>
                    <w:t>0.535</w:t>
                  </w:r>
                </w:p>
              </w:tc>
              <w:tc>
                <w:tcPr>
                  <w:tcW w:w="660" w:type="dxa"/>
                  <w:tcBorders>
                    <w:tl2br w:val="nil"/>
                    <w:tr2bl w:val="nil"/>
                  </w:tcBorders>
                  <w:vAlign w:val="center"/>
                </w:tcPr>
                <w:p w14:paraId="6A023188">
                  <w:pPr>
                    <w:jc w:val="center"/>
                    <w:rPr>
                      <w:rFonts w:hint="default"/>
                      <w:color w:val="auto"/>
                      <w:sz w:val="21"/>
                      <w:szCs w:val="21"/>
                      <w:lang w:val="en-US" w:eastAsia="zh-CN"/>
                    </w:rPr>
                  </w:pPr>
                  <w:r>
                    <w:rPr>
                      <w:rFonts w:hint="eastAsia"/>
                      <w:color w:val="auto"/>
                      <w:sz w:val="21"/>
                      <w:szCs w:val="21"/>
                      <w:lang w:val="en-US" w:eastAsia="zh-CN"/>
                    </w:rPr>
                    <w:t>/</w:t>
                  </w:r>
                </w:p>
              </w:tc>
              <w:tc>
                <w:tcPr>
                  <w:tcW w:w="660" w:type="dxa"/>
                  <w:tcBorders>
                    <w:tl2br w:val="nil"/>
                    <w:tr2bl w:val="nil"/>
                  </w:tcBorders>
                  <w:vAlign w:val="center"/>
                </w:tcPr>
                <w:p w14:paraId="5B32C6D0">
                  <w:pPr>
                    <w:jc w:val="center"/>
                    <w:rPr>
                      <w:rFonts w:hint="default"/>
                      <w:color w:val="auto"/>
                      <w:sz w:val="21"/>
                      <w:szCs w:val="21"/>
                      <w:lang w:val="en-US" w:eastAsia="zh-CN"/>
                    </w:rPr>
                  </w:pPr>
                  <w:r>
                    <w:rPr>
                      <w:rFonts w:hint="eastAsia"/>
                      <w:color w:val="auto"/>
                      <w:sz w:val="21"/>
                      <w:szCs w:val="21"/>
                      <w:lang w:val="en-US" w:eastAsia="zh-CN"/>
                    </w:rPr>
                    <w:t>/</w:t>
                  </w:r>
                </w:p>
              </w:tc>
              <w:tc>
                <w:tcPr>
                  <w:tcW w:w="675" w:type="dxa"/>
                  <w:tcBorders>
                    <w:tl2br w:val="nil"/>
                    <w:tr2bl w:val="nil"/>
                  </w:tcBorders>
                  <w:vAlign w:val="center"/>
                </w:tcPr>
                <w:p w14:paraId="28ACC2EB">
                  <w:pPr>
                    <w:jc w:val="center"/>
                    <w:rPr>
                      <w:rFonts w:hint="default"/>
                      <w:color w:val="auto"/>
                      <w:sz w:val="21"/>
                      <w:szCs w:val="21"/>
                      <w:lang w:val="en-US" w:eastAsia="zh-CN"/>
                    </w:rPr>
                  </w:pPr>
                  <w:r>
                    <w:rPr>
                      <w:rFonts w:hint="eastAsia"/>
                      <w:color w:val="auto"/>
                      <w:sz w:val="21"/>
                      <w:szCs w:val="21"/>
                      <w:lang w:val="en-US" w:eastAsia="zh-CN"/>
                    </w:rPr>
                    <w:t>/</w:t>
                  </w:r>
                </w:p>
              </w:tc>
              <w:tc>
                <w:tcPr>
                  <w:tcW w:w="495" w:type="dxa"/>
                  <w:tcBorders>
                    <w:tl2br w:val="nil"/>
                    <w:tr2bl w:val="nil"/>
                  </w:tcBorders>
                  <w:vAlign w:val="center"/>
                </w:tcPr>
                <w:p w14:paraId="6DABAA6F">
                  <w:pPr>
                    <w:jc w:val="center"/>
                    <w:rPr>
                      <w:rFonts w:hint="default"/>
                      <w:color w:val="auto"/>
                      <w:sz w:val="21"/>
                      <w:szCs w:val="21"/>
                      <w:lang w:val="en-US" w:eastAsia="zh-CN"/>
                    </w:rPr>
                  </w:pPr>
                  <w:r>
                    <w:rPr>
                      <w:rFonts w:hint="eastAsia"/>
                      <w:color w:val="auto"/>
                      <w:sz w:val="21"/>
                      <w:szCs w:val="21"/>
                      <w:lang w:val="en-US" w:eastAsia="zh-CN"/>
                    </w:rPr>
                    <w:t>/</w:t>
                  </w:r>
                </w:p>
              </w:tc>
              <w:tc>
                <w:tcPr>
                  <w:tcW w:w="675" w:type="dxa"/>
                  <w:tcBorders>
                    <w:tl2br w:val="nil"/>
                    <w:tr2bl w:val="nil"/>
                  </w:tcBorders>
                  <w:vAlign w:val="center"/>
                </w:tcPr>
                <w:p w14:paraId="1037717E">
                  <w:pPr>
                    <w:jc w:val="center"/>
                    <w:rPr>
                      <w:rFonts w:hint="default"/>
                      <w:color w:val="auto"/>
                      <w:sz w:val="21"/>
                      <w:szCs w:val="21"/>
                      <w:lang w:val="en-US" w:eastAsia="zh-CN"/>
                    </w:rPr>
                  </w:pPr>
                  <w:r>
                    <w:rPr>
                      <w:rFonts w:hint="eastAsia"/>
                      <w:color w:val="auto"/>
                      <w:sz w:val="21"/>
                      <w:szCs w:val="21"/>
                      <w:lang w:val="en-US" w:eastAsia="zh-CN"/>
                    </w:rPr>
                    <w:t>/</w:t>
                  </w:r>
                </w:p>
              </w:tc>
              <w:tc>
                <w:tcPr>
                  <w:tcW w:w="795" w:type="dxa"/>
                  <w:tcBorders>
                    <w:tl2br w:val="nil"/>
                    <w:tr2bl w:val="nil"/>
                  </w:tcBorders>
                  <w:vAlign w:val="center"/>
                </w:tcPr>
                <w:p w14:paraId="6D865977">
                  <w:pPr>
                    <w:jc w:val="center"/>
                    <w:rPr>
                      <w:rFonts w:hint="default"/>
                      <w:color w:val="auto"/>
                      <w:sz w:val="21"/>
                      <w:szCs w:val="21"/>
                      <w:lang w:val="en-US" w:eastAsia="zh-CN"/>
                    </w:rPr>
                  </w:pPr>
                  <w:r>
                    <w:rPr>
                      <w:rFonts w:hint="eastAsia"/>
                      <w:color w:val="auto"/>
                      <w:sz w:val="21"/>
                      <w:szCs w:val="21"/>
                      <w:lang w:val="en-US" w:eastAsia="zh-CN"/>
                    </w:rPr>
                    <w:t>/</w:t>
                  </w:r>
                </w:p>
              </w:tc>
              <w:tc>
                <w:tcPr>
                  <w:tcW w:w="645" w:type="dxa"/>
                  <w:tcBorders>
                    <w:tl2br w:val="nil"/>
                    <w:tr2bl w:val="nil"/>
                  </w:tcBorders>
                  <w:vAlign w:val="center"/>
                </w:tcPr>
                <w:p w14:paraId="603F2ADD">
                  <w:pPr>
                    <w:jc w:val="center"/>
                    <w:rPr>
                      <w:rFonts w:hint="default"/>
                      <w:color w:val="auto"/>
                      <w:sz w:val="21"/>
                      <w:szCs w:val="21"/>
                      <w:lang w:val="en-US" w:eastAsia="zh-CN"/>
                    </w:rPr>
                  </w:pPr>
                  <w:r>
                    <w:rPr>
                      <w:rFonts w:hint="eastAsia"/>
                      <w:color w:val="auto"/>
                      <w:sz w:val="21"/>
                      <w:szCs w:val="21"/>
                      <w:lang w:val="en-US" w:eastAsia="zh-CN"/>
                    </w:rPr>
                    <w:t>/</w:t>
                  </w:r>
                </w:p>
              </w:tc>
              <w:tc>
                <w:tcPr>
                  <w:tcW w:w="743" w:type="dxa"/>
                  <w:tcBorders>
                    <w:tl2br w:val="nil"/>
                    <w:tr2bl w:val="nil"/>
                  </w:tcBorders>
                  <w:vAlign w:val="center"/>
                </w:tcPr>
                <w:p w14:paraId="72E514F8">
                  <w:pPr>
                    <w:jc w:val="center"/>
                    <w:rPr>
                      <w:rFonts w:hint="default" w:eastAsia="宋体"/>
                      <w:color w:val="auto"/>
                      <w:sz w:val="21"/>
                      <w:szCs w:val="21"/>
                      <w:lang w:val="en-US" w:eastAsia="zh-CN"/>
                    </w:rPr>
                  </w:pPr>
                  <w:r>
                    <w:rPr>
                      <w:rFonts w:hint="eastAsia"/>
                      <w:color w:val="auto"/>
                      <w:sz w:val="21"/>
                      <w:szCs w:val="21"/>
                      <w:lang w:val="en-US" w:eastAsia="zh-CN"/>
                    </w:rPr>
                    <w:t>0.535</w:t>
                  </w:r>
                </w:p>
              </w:tc>
            </w:tr>
          </w:tbl>
          <w:p w14:paraId="18CB9CFB">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bCs/>
                <w:snapToGrid w:val="0"/>
                <w:color w:val="auto"/>
                <w:kern w:val="0"/>
                <w:sz w:val="24"/>
                <w:szCs w:val="24"/>
              </w:rPr>
            </w:pPr>
            <w:r>
              <w:rPr>
                <w:rFonts w:hint="default" w:ascii="Times New Roman" w:hAnsi="Times New Roman" w:cs="Times New Roman"/>
                <w:bCs/>
                <w:snapToGrid w:val="0"/>
                <w:color w:val="auto"/>
                <w:kern w:val="0"/>
                <w:sz w:val="24"/>
                <w:szCs w:val="24"/>
              </w:rPr>
              <w:t>③</w:t>
            </w:r>
            <w:r>
              <w:rPr>
                <w:bCs/>
                <w:snapToGrid w:val="0"/>
                <w:color w:val="auto"/>
                <w:kern w:val="0"/>
                <w:sz w:val="24"/>
                <w:szCs w:val="24"/>
              </w:rPr>
              <w:t>锅炉烟气</w:t>
            </w:r>
          </w:p>
          <w:p w14:paraId="7D821252">
            <w:pPr>
              <w:adjustRightInd w:val="0"/>
              <w:snapToGrid w:val="0"/>
              <w:spacing w:line="360" w:lineRule="auto"/>
              <w:ind w:firstLine="480" w:firstLineChars="200"/>
              <w:rPr>
                <w:bCs/>
                <w:snapToGrid w:val="0"/>
                <w:color w:val="auto"/>
                <w:kern w:val="0"/>
                <w:sz w:val="24"/>
                <w:szCs w:val="24"/>
              </w:rPr>
            </w:pPr>
            <w:r>
              <w:rPr>
                <w:bCs/>
                <w:snapToGrid w:val="0"/>
                <w:color w:val="auto"/>
                <w:kern w:val="0"/>
                <w:sz w:val="24"/>
                <w:szCs w:val="24"/>
              </w:rPr>
              <w:t>本项目</w:t>
            </w:r>
            <w:r>
              <w:rPr>
                <w:rFonts w:hint="eastAsia"/>
                <w:bCs/>
                <w:snapToGrid w:val="0"/>
                <w:color w:val="auto"/>
                <w:kern w:val="0"/>
                <w:sz w:val="24"/>
                <w:szCs w:val="24"/>
                <w:lang w:val="en-US" w:eastAsia="zh-CN"/>
              </w:rPr>
              <w:t>生产</w:t>
            </w:r>
            <w:r>
              <w:rPr>
                <w:bCs/>
                <w:snapToGrid w:val="0"/>
                <w:color w:val="auto"/>
                <w:kern w:val="0"/>
                <w:sz w:val="24"/>
                <w:szCs w:val="24"/>
              </w:rPr>
              <w:t>由1台</w:t>
            </w:r>
            <w:r>
              <w:rPr>
                <w:rFonts w:hint="eastAsia"/>
                <w:bCs/>
                <w:snapToGrid w:val="0"/>
                <w:color w:val="auto"/>
                <w:kern w:val="0"/>
                <w:sz w:val="24"/>
                <w:szCs w:val="24"/>
                <w:lang w:val="en-US" w:eastAsia="zh-CN"/>
              </w:rPr>
              <w:t>1.75MW燃</w:t>
            </w:r>
            <w:r>
              <w:rPr>
                <w:bCs/>
                <w:snapToGrid w:val="0"/>
                <w:color w:val="auto"/>
                <w:kern w:val="0"/>
                <w:sz w:val="24"/>
                <w:szCs w:val="24"/>
              </w:rPr>
              <w:t>生物质</w:t>
            </w:r>
            <w:r>
              <w:rPr>
                <w:rFonts w:hint="eastAsia"/>
                <w:bCs/>
                <w:snapToGrid w:val="0"/>
                <w:color w:val="auto"/>
                <w:kern w:val="0"/>
                <w:sz w:val="24"/>
                <w:szCs w:val="24"/>
                <w:lang w:val="en-US" w:eastAsia="zh-CN"/>
              </w:rPr>
              <w:t>导热油</w:t>
            </w:r>
            <w:r>
              <w:rPr>
                <w:bCs/>
                <w:snapToGrid w:val="0"/>
                <w:color w:val="auto"/>
                <w:kern w:val="0"/>
                <w:sz w:val="24"/>
                <w:szCs w:val="24"/>
              </w:rPr>
              <w:t>锅炉提供，根据</w:t>
            </w:r>
            <w:r>
              <w:rPr>
                <w:rFonts w:hint="eastAsia"/>
                <w:bCs/>
                <w:snapToGrid w:val="0"/>
                <w:color w:val="auto"/>
                <w:kern w:val="0"/>
                <w:sz w:val="24"/>
                <w:szCs w:val="24"/>
                <w:lang w:val="en-US" w:eastAsia="zh-CN"/>
              </w:rPr>
              <w:t>计算</w:t>
            </w:r>
            <w:r>
              <w:rPr>
                <w:bCs/>
                <w:snapToGrid w:val="0"/>
                <w:color w:val="auto"/>
                <w:kern w:val="0"/>
                <w:sz w:val="24"/>
                <w:szCs w:val="24"/>
              </w:rPr>
              <w:t>，年用生物质量为</w:t>
            </w:r>
            <w:r>
              <w:rPr>
                <w:rFonts w:hint="eastAsia"/>
                <w:bCs/>
                <w:snapToGrid w:val="0"/>
                <w:color w:val="auto"/>
                <w:kern w:val="0"/>
                <w:sz w:val="24"/>
                <w:szCs w:val="24"/>
                <w:lang w:val="en-US" w:eastAsia="zh-CN"/>
              </w:rPr>
              <w:t>1530</w:t>
            </w:r>
            <w:r>
              <w:rPr>
                <w:bCs/>
                <w:snapToGrid w:val="0"/>
                <w:color w:val="auto"/>
                <w:kern w:val="0"/>
                <w:sz w:val="24"/>
                <w:szCs w:val="24"/>
              </w:rPr>
              <w:t>t。</w:t>
            </w:r>
          </w:p>
          <w:p w14:paraId="2F7306A6">
            <w:pPr>
              <w:adjustRightInd w:val="0"/>
              <w:snapToGrid w:val="0"/>
              <w:spacing w:line="360" w:lineRule="auto"/>
              <w:ind w:firstLine="480" w:firstLineChars="200"/>
              <w:rPr>
                <w:bCs/>
                <w:snapToGrid w:val="0"/>
                <w:color w:val="auto"/>
                <w:kern w:val="0"/>
                <w:sz w:val="24"/>
                <w:szCs w:val="24"/>
              </w:rPr>
            </w:pPr>
            <w:r>
              <w:rPr>
                <w:bCs/>
                <w:snapToGrid w:val="0"/>
                <w:color w:val="auto"/>
                <w:kern w:val="0"/>
                <w:sz w:val="24"/>
                <w:szCs w:val="24"/>
              </w:rPr>
              <w:t>根据《污染源源强核算技术指南 锅炉》(HJ 991</w:t>
            </w:r>
            <w:r>
              <w:rPr>
                <w:rFonts w:hint="eastAsia"/>
                <w:bCs/>
                <w:snapToGrid w:val="0"/>
                <w:color w:val="auto"/>
                <w:kern w:val="0"/>
                <w:sz w:val="24"/>
                <w:szCs w:val="24"/>
                <w:lang w:val="en-US" w:eastAsia="zh-CN"/>
              </w:rPr>
              <w:t>-</w:t>
            </w:r>
            <w:r>
              <w:rPr>
                <w:bCs/>
                <w:snapToGrid w:val="0"/>
                <w:color w:val="auto"/>
                <w:kern w:val="0"/>
                <w:sz w:val="24"/>
                <w:szCs w:val="24"/>
              </w:rPr>
              <w:t>2018)中4.1.1核算方法选取原则的一般原则</w:t>
            </w:r>
            <w:r>
              <w:rPr>
                <w:rFonts w:hint="eastAsia"/>
                <w:bCs/>
                <w:snapToGrid w:val="0"/>
                <w:color w:val="auto"/>
                <w:kern w:val="0"/>
                <w:sz w:val="24"/>
                <w:szCs w:val="24"/>
                <w:lang w:eastAsia="zh-CN"/>
              </w:rPr>
              <w:t>“</w:t>
            </w:r>
            <w:r>
              <w:rPr>
                <w:bCs/>
                <w:snapToGrid w:val="0"/>
                <w:color w:val="auto"/>
                <w:kern w:val="0"/>
                <w:sz w:val="24"/>
                <w:szCs w:val="24"/>
              </w:rPr>
              <w:t>锅炉污染源源强核算方法包括实测法、类比法、物料衡算法和产污系数法等</w:t>
            </w:r>
            <w:r>
              <w:rPr>
                <w:rFonts w:hint="eastAsia"/>
                <w:bCs/>
                <w:snapToGrid w:val="0"/>
                <w:color w:val="auto"/>
                <w:kern w:val="0"/>
                <w:sz w:val="24"/>
                <w:szCs w:val="24"/>
                <w:lang w:eastAsia="zh-CN"/>
              </w:rPr>
              <w:t>”</w:t>
            </w:r>
            <w:r>
              <w:rPr>
                <w:bCs/>
                <w:snapToGrid w:val="0"/>
                <w:color w:val="auto"/>
                <w:kern w:val="0"/>
                <w:sz w:val="24"/>
                <w:szCs w:val="24"/>
              </w:rPr>
              <w:t>根据指南中表1规定</w:t>
            </w:r>
            <w:r>
              <w:rPr>
                <w:rFonts w:hint="eastAsia"/>
                <w:bCs/>
                <w:snapToGrid w:val="0"/>
                <w:color w:val="auto"/>
                <w:kern w:val="0"/>
                <w:sz w:val="24"/>
                <w:szCs w:val="24"/>
                <w:lang w:eastAsia="zh-CN"/>
              </w:rPr>
              <w:t>“</w:t>
            </w:r>
            <w:r>
              <w:rPr>
                <w:bCs/>
                <w:snapToGrid w:val="0"/>
                <w:color w:val="auto"/>
                <w:kern w:val="0"/>
                <w:sz w:val="24"/>
                <w:szCs w:val="24"/>
              </w:rPr>
              <w:t>正常情况下有组织废气</w:t>
            </w:r>
            <w:r>
              <w:rPr>
                <w:rFonts w:hint="eastAsia"/>
                <w:bCs/>
                <w:snapToGrid w:val="0"/>
                <w:color w:val="auto"/>
                <w:kern w:val="0"/>
                <w:sz w:val="24"/>
                <w:szCs w:val="24"/>
                <w:lang w:eastAsia="zh-CN"/>
              </w:rPr>
              <w:t>”</w:t>
            </w:r>
            <w:r>
              <w:rPr>
                <w:bCs/>
                <w:snapToGrid w:val="0"/>
                <w:color w:val="auto"/>
                <w:kern w:val="0"/>
                <w:sz w:val="24"/>
                <w:szCs w:val="24"/>
              </w:rPr>
              <w:t>核算方法应优先采取顺序为物料衡算法、类比法、产污系数法，本次源强核算采取物料衡算法进行锅炉</w:t>
            </w:r>
            <w:r>
              <w:rPr>
                <w:rFonts w:hint="eastAsia"/>
                <w:bCs/>
                <w:snapToGrid w:val="0"/>
                <w:color w:val="auto"/>
                <w:kern w:val="0"/>
                <w:sz w:val="24"/>
                <w:szCs w:val="24"/>
                <w:lang w:eastAsia="zh-CN"/>
              </w:rPr>
              <w:t>“</w:t>
            </w:r>
            <w:r>
              <w:rPr>
                <w:bCs/>
                <w:snapToGrid w:val="0"/>
                <w:color w:val="auto"/>
                <w:kern w:val="0"/>
                <w:sz w:val="24"/>
                <w:szCs w:val="24"/>
              </w:rPr>
              <w:t>正常情况下有组织废气</w:t>
            </w:r>
            <w:r>
              <w:rPr>
                <w:rFonts w:hint="eastAsia"/>
                <w:bCs/>
                <w:snapToGrid w:val="0"/>
                <w:color w:val="auto"/>
                <w:kern w:val="0"/>
                <w:sz w:val="24"/>
                <w:szCs w:val="24"/>
                <w:lang w:eastAsia="zh-CN"/>
              </w:rPr>
              <w:t>”</w:t>
            </w:r>
            <w:r>
              <w:rPr>
                <w:bCs/>
                <w:snapToGrid w:val="0"/>
                <w:color w:val="auto"/>
                <w:kern w:val="0"/>
                <w:sz w:val="24"/>
                <w:szCs w:val="24"/>
              </w:rPr>
              <w:t>的源强核算。</w:t>
            </w:r>
          </w:p>
          <w:p w14:paraId="720E1428">
            <w:pPr>
              <w:keepNext w:val="0"/>
              <w:keepLines w:val="0"/>
              <w:pageBreakBefore w:val="0"/>
              <w:kinsoku/>
              <w:wordWrap/>
              <w:overflowPunct/>
              <w:topLinePunct w:val="0"/>
              <w:autoSpaceDE/>
              <w:autoSpaceDN/>
              <w:bidi w:val="0"/>
              <w:spacing w:line="360" w:lineRule="auto"/>
              <w:ind w:firstLine="480"/>
              <w:jc w:val="both"/>
              <w:textAlignment w:val="auto"/>
              <w:rPr>
                <w:rFonts w:hint="default" w:eastAsia="宋体"/>
                <w:color w:val="auto"/>
                <w:sz w:val="24"/>
                <w:lang w:val="en-US" w:eastAsia="zh-CN"/>
              </w:rPr>
            </w:pPr>
            <w:r>
              <w:rPr>
                <w:rFonts w:hint="eastAsia" w:ascii="宋体" w:hAnsi="宋体" w:eastAsia="宋体" w:cs="宋体"/>
                <w:b/>
                <w:bCs/>
                <w:color w:val="auto"/>
                <w:sz w:val="24"/>
                <w:lang w:val="en-US" w:eastAsia="zh-CN"/>
              </w:rPr>
              <w:t>生物质燃料用量：</w:t>
            </w:r>
            <w:r>
              <w:rPr>
                <w:color w:val="auto"/>
                <w:sz w:val="24"/>
              </w:rPr>
              <w:t>本</w:t>
            </w:r>
            <w:r>
              <w:rPr>
                <w:rFonts w:hint="eastAsia"/>
                <w:color w:val="auto"/>
                <w:sz w:val="24"/>
              </w:rPr>
              <w:t>项目</w:t>
            </w:r>
            <w:r>
              <w:rPr>
                <w:color w:val="auto"/>
                <w:sz w:val="24"/>
              </w:rPr>
              <w:t>新建一台</w:t>
            </w:r>
            <w:r>
              <w:rPr>
                <w:rFonts w:hint="eastAsia"/>
                <w:color w:val="auto"/>
                <w:sz w:val="24"/>
                <w:shd w:val="clear"/>
                <w:lang w:val="en-US" w:eastAsia="zh-CN"/>
              </w:rPr>
              <w:t>1.75MW</w:t>
            </w:r>
            <w:r>
              <w:rPr>
                <w:color w:val="auto"/>
                <w:sz w:val="24"/>
              </w:rPr>
              <w:t>生物质</w:t>
            </w:r>
            <w:r>
              <w:rPr>
                <w:rFonts w:hint="eastAsia"/>
                <w:color w:val="auto"/>
                <w:sz w:val="24"/>
                <w:lang w:val="en-US" w:eastAsia="zh-CN"/>
              </w:rPr>
              <w:t>导热油锅炉</w:t>
            </w:r>
            <w:r>
              <w:rPr>
                <w:color w:val="auto"/>
                <w:sz w:val="24"/>
              </w:rPr>
              <w:t>，</w:t>
            </w:r>
            <w:r>
              <w:rPr>
                <w:rFonts w:hint="default"/>
                <w:color w:val="auto"/>
                <w:sz w:val="24"/>
                <w:lang w:val="en-US" w:eastAsia="zh-CN"/>
              </w:rPr>
              <w:t>根据项目需要，</w:t>
            </w:r>
            <w:r>
              <w:rPr>
                <w:rFonts w:hint="eastAsia"/>
                <w:color w:val="auto"/>
                <w:sz w:val="24"/>
                <w:lang w:val="en-US" w:eastAsia="zh-CN"/>
              </w:rPr>
              <w:t>锅炉</w:t>
            </w:r>
            <w:r>
              <w:rPr>
                <w:rFonts w:hint="default"/>
                <w:color w:val="auto"/>
                <w:sz w:val="24"/>
                <w:lang w:val="en-US" w:eastAsia="zh-CN"/>
              </w:rPr>
              <w:t>满负荷运行时间为</w:t>
            </w:r>
            <w:r>
              <w:rPr>
                <w:rFonts w:hint="eastAsia"/>
                <w:color w:val="auto"/>
                <w:sz w:val="24"/>
                <w:lang w:val="en-US" w:eastAsia="zh-CN"/>
              </w:rPr>
              <w:t>8</w:t>
            </w:r>
            <w:r>
              <w:rPr>
                <w:rFonts w:hint="default"/>
                <w:color w:val="auto"/>
                <w:sz w:val="24"/>
                <w:lang w:val="en-US" w:eastAsia="zh-CN"/>
              </w:rPr>
              <w:t>h/d、</w:t>
            </w:r>
            <w:r>
              <w:rPr>
                <w:rFonts w:hint="eastAsia"/>
                <w:color w:val="auto"/>
                <w:sz w:val="24"/>
                <w:lang w:val="en-US" w:eastAsia="zh-CN"/>
              </w:rPr>
              <w:t>270</w:t>
            </w:r>
            <w:r>
              <w:rPr>
                <w:rFonts w:hint="default"/>
                <w:color w:val="auto"/>
                <w:sz w:val="24"/>
                <w:lang w:val="en-US" w:eastAsia="zh-CN"/>
              </w:rPr>
              <w:t>d/a</w:t>
            </w:r>
            <w:r>
              <w:rPr>
                <w:rFonts w:hint="eastAsia"/>
                <w:color w:val="auto"/>
                <w:sz w:val="24"/>
                <w:lang w:val="en-US" w:eastAsia="zh-CN"/>
              </w:rPr>
              <w:t>、2160</w:t>
            </w:r>
            <w:r>
              <w:rPr>
                <w:rFonts w:hint="default"/>
                <w:color w:val="auto"/>
                <w:sz w:val="24"/>
                <w:lang w:val="en-US" w:eastAsia="zh-CN"/>
              </w:rPr>
              <w:t>h/a</w:t>
            </w:r>
            <w:r>
              <w:rPr>
                <w:rFonts w:hint="eastAsia"/>
                <w:color w:val="auto"/>
                <w:sz w:val="24"/>
                <w:lang w:val="en-US" w:eastAsia="zh-CN"/>
              </w:rPr>
              <w:t>，</w:t>
            </w:r>
            <w:r>
              <w:rPr>
                <w:color w:val="auto"/>
                <w:sz w:val="24"/>
              </w:rPr>
              <w:t>生物质</w:t>
            </w:r>
            <w:r>
              <w:rPr>
                <w:rFonts w:hint="eastAsia"/>
                <w:color w:val="auto"/>
                <w:sz w:val="24"/>
                <w:lang w:val="en-US" w:eastAsia="zh-CN"/>
              </w:rPr>
              <w:t>锅炉工作效率为1.75</w:t>
            </w:r>
            <w:r>
              <w:rPr>
                <w:rFonts w:hint="default" w:ascii="Times New Roman" w:hAnsi="Times New Roman" w:cs="Times New Roman"/>
                <w:color w:val="auto"/>
                <w:highlight w:val="none"/>
                <w:lang w:val="en-US" w:eastAsia="zh-CN"/>
              </w:rPr>
              <w:t>MW</w:t>
            </w:r>
            <w:r>
              <w:rPr>
                <w:rFonts w:hint="eastAsia" w:ascii="Times New Roman" w:hAnsi="Times New Roman" w:cs="Times New Roman"/>
                <w:color w:val="auto"/>
                <w:highlight w:val="none"/>
                <w:lang w:val="en-US" w:eastAsia="zh-CN"/>
              </w:rPr>
              <w:t>。</w:t>
            </w:r>
            <w:r>
              <w:rPr>
                <w:color w:val="auto"/>
                <w:sz w:val="24"/>
              </w:rPr>
              <w:t>根据</w:t>
            </w:r>
            <w:r>
              <w:rPr>
                <w:rFonts w:hint="eastAsia"/>
                <w:color w:val="auto"/>
                <w:sz w:val="24"/>
              </w:rPr>
              <w:t>本项目</w:t>
            </w:r>
            <w:r>
              <w:rPr>
                <w:rFonts w:hint="eastAsia"/>
                <w:color w:val="auto"/>
                <w:sz w:val="24"/>
                <w:lang w:val="en-US" w:eastAsia="zh-CN"/>
              </w:rPr>
              <w:t>生物质燃料厂家提供</w:t>
            </w:r>
            <w:r>
              <w:rPr>
                <w:color w:val="auto"/>
                <w:sz w:val="24"/>
              </w:rPr>
              <w:t>生物质成型燃料分析报告，生物质压块燃料热值取1</w:t>
            </w:r>
            <w:r>
              <w:rPr>
                <w:rFonts w:hint="eastAsia"/>
                <w:color w:val="auto"/>
                <w:sz w:val="24"/>
                <w:lang w:val="en-US" w:eastAsia="zh-CN"/>
              </w:rPr>
              <w:t>1.116M</w:t>
            </w:r>
            <w:r>
              <w:rPr>
                <w:color w:val="auto"/>
                <w:sz w:val="24"/>
              </w:rPr>
              <w:t>J/kg（见附件），</w:t>
            </w:r>
            <w:r>
              <w:rPr>
                <w:rFonts w:hint="eastAsia"/>
                <w:color w:val="auto"/>
                <w:sz w:val="24"/>
                <w:lang w:val="en-US" w:eastAsia="zh-CN"/>
              </w:rPr>
              <w:t>锅炉</w:t>
            </w:r>
            <w:r>
              <w:rPr>
                <w:color w:val="auto"/>
                <w:sz w:val="24"/>
              </w:rPr>
              <w:t>热效率为80%，</w:t>
            </w:r>
            <w:r>
              <w:rPr>
                <w:rFonts w:hint="eastAsia"/>
                <w:color w:val="auto"/>
                <w:sz w:val="24"/>
                <w:lang w:val="en-US" w:eastAsia="zh-CN"/>
              </w:rPr>
              <w:t>根据锅炉厂家提供的锅炉燃料年消耗量公式：锅炉年燃料消耗量=锅炉功率</w:t>
            </w:r>
            <w:r>
              <w:rPr>
                <w:color w:val="auto"/>
                <w:sz w:val="24"/>
              </w:rPr>
              <w:t>×</w:t>
            </w:r>
            <w:r>
              <w:rPr>
                <w:rFonts w:hint="eastAsia"/>
                <w:color w:val="auto"/>
                <w:sz w:val="24"/>
                <w:lang w:val="en-US" w:eastAsia="zh-CN"/>
              </w:rPr>
              <w:t>时间</w:t>
            </w:r>
            <w:r>
              <w:rPr>
                <w:color w:val="auto"/>
                <w:sz w:val="24"/>
              </w:rPr>
              <w:t>/</w:t>
            </w:r>
            <w:r>
              <w:rPr>
                <w:rFonts w:hint="eastAsia"/>
                <w:color w:val="auto"/>
                <w:sz w:val="24"/>
                <w:lang w:val="en-US" w:eastAsia="zh-CN"/>
              </w:rPr>
              <w:t>燃料热值</w:t>
            </w:r>
            <w:r>
              <w:rPr>
                <w:color w:val="auto"/>
                <w:sz w:val="24"/>
              </w:rPr>
              <w:t>/</w:t>
            </w:r>
            <w:r>
              <w:rPr>
                <w:rFonts w:hint="eastAsia"/>
                <w:color w:val="auto"/>
                <w:sz w:val="24"/>
                <w:lang w:val="en-US" w:eastAsia="zh-CN"/>
              </w:rPr>
              <w:t>锅炉热值利用率，</w:t>
            </w:r>
            <w:r>
              <w:rPr>
                <w:rFonts w:hint="eastAsia"/>
                <w:color w:val="auto"/>
                <w:sz w:val="24"/>
                <w:highlight w:val="none"/>
                <w:lang w:val="en-US" w:eastAsia="zh-CN"/>
              </w:rPr>
              <w:t>及热量与功率间的转换，可知</w:t>
            </w:r>
            <w:r>
              <w:rPr>
                <w:rFonts w:hint="eastAsia"/>
                <w:color w:val="auto"/>
                <w:sz w:val="24"/>
                <w:highlight w:val="none"/>
                <w:shd w:val="clear"/>
                <w:lang w:val="en-US" w:eastAsia="zh-CN"/>
              </w:rPr>
              <w:t>1MW输出功率所需热量为3.6</w:t>
            </w:r>
            <w:r>
              <w:rPr>
                <w:color w:val="auto"/>
                <w:sz w:val="24"/>
                <w:highlight w:val="none"/>
              </w:rPr>
              <w:t>×</w:t>
            </w:r>
            <w:r>
              <w:rPr>
                <w:rFonts w:hint="eastAsia"/>
                <w:color w:val="auto"/>
                <w:sz w:val="24"/>
                <w:highlight w:val="none"/>
                <w:lang w:val="en-US" w:eastAsia="zh-CN"/>
              </w:rPr>
              <w:t>10</w:t>
            </w:r>
            <w:r>
              <w:rPr>
                <w:rFonts w:hint="eastAsia"/>
                <w:color w:val="auto"/>
                <w:sz w:val="24"/>
                <w:highlight w:val="none"/>
                <w:vertAlign w:val="superscript"/>
                <w:lang w:val="en-US" w:eastAsia="zh-CN"/>
              </w:rPr>
              <w:t>3</w:t>
            </w:r>
            <w:r>
              <w:rPr>
                <w:rFonts w:hint="eastAsia"/>
                <w:color w:val="auto"/>
                <w:sz w:val="24"/>
                <w:highlight w:val="none"/>
                <w:shd w:val="clear"/>
                <w:lang w:val="en-US" w:eastAsia="zh-CN"/>
              </w:rPr>
              <w:t>MJ。综上</w:t>
            </w:r>
            <w:r>
              <w:rPr>
                <w:rFonts w:hint="eastAsia"/>
                <w:color w:val="auto"/>
                <w:sz w:val="24"/>
                <w:shd w:val="clear"/>
                <w:lang w:val="en-US" w:eastAsia="zh-CN"/>
              </w:rPr>
              <w:t>所述，本项目生物质锅炉所需消耗成型生物质量</w:t>
            </w:r>
            <w:r>
              <w:rPr>
                <w:rFonts w:hint="eastAsia"/>
                <w:color w:val="auto"/>
                <w:sz w:val="24"/>
                <w:lang w:val="en-US" w:eastAsia="zh-CN"/>
              </w:rPr>
              <w:t>计算公式如下：</w:t>
            </w:r>
          </w:p>
          <w:p w14:paraId="4CB28843">
            <w:pPr>
              <w:keepNext w:val="0"/>
              <w:keepLines w:val="0"/>
              <w:pageBreakBefore w:val="0"/>
              <w:kinsoku/>
              <w:wordWrap/>
              <w:overflowPunct/>
              <w:topLinePunct w:val="0"/>
              <w:autoSpaceDE/>
              <w:autoSpaceDN/>
              <w:bidi w:val="0"/>
              <w:adjustRightInd/>
              <w:snapToGrid/>
              <w:spacing w:line="360" w:lineRule="auto"/>
              <w:ind w:left="0" w:firstLine="480" w:firstLineChars="200"/>
              <w:jc w:val="both"/>
              <w:textAlignment w:val="auto"/>
              <w:rPr>
                <w:color w:val="auto"/>
                <w:sz w:val="24"/>
              </w:rPr>
            </w:pPr>
            <w:r>
              <w:rPr>
                <w:rFonts w:hint="eastAsia"/>
                <w:color w:val="auto"/>
                <w:sz w:val="24"/>
                <w:lang w:val="en-US" w:eastAsia="zh-CN"/>
              </w:rPr>
              <w:t>锅炉年燃料消耗量=1.75</w:t>
            </w:r>
            <w:r>
              <w:rPr>
                <w:rFonts w:hint="default" w:ascii="Times New Roman" w:hAnsi="Times New Roman" w:cs="Times New Roman"/>
                <w:color w:val="auto"/>
                <w:highlight w:val="none"/>
                <w:lang w:val="en-US" w:eastAsia="zh-CN"/>
              </w:rPr>
              <w:t>MW</w:t>
            </w:r>
            <w:r>
              <w:rPr>
                <w:color w:val="auto"/>
                <w:sz w:val="24"/>
              </w:rPr>
              <w:t>×</w:t>
            </w:r>
            <w:r>
              <w:rPr>
                <w:rFonts w:hint="eastAsia"/>
                <w:color w:val="auto"/>
                <w:sz w:val="24"/>
                <w:lang w:val="en-US" w:eastAsia="zh-CN"/>
              </w:rPr>
              <w:t>3600</w:t>
            </w:r>
            <w:r>
              <w:rPr>
                <w:color w:val="auto"/>
                <w:sz w:val="24"/>
              </w:rPr>
              <w:t>×</w:t>
            </w:r>
            <w:r>
              <w:rPr>
                <w:rFonts w:hint="eastAsia"/>
                <w:color w:val="auto"/>
                <w:sz w:val="24"/>
                <w:lang w:val="en-US" w:eastAsia="zh-CN"/>
              </w:rPr>
              <w:t>2160</w:t>
            </w:r>
            <w:r>
              <w:rPr>
                <w:color w:val="auto"/>
                <w:sz w:val="24"/>
              </w:rPr>
              <w:t>/</w:t>
            </w:r>
            <w:r>
              <w:rPr>
                <w:rFonts w:hint="eastAsia"/>
                <w:color w:val="auto"/>
                <w:sz w:val="24"/>
                <w:lang w:val="en-US" w:eastAsia="zh-CN"/>
              </w:rPr>
              <w:t>11.116</w:t>
            </w:r>
            <w:r>
              <w:rPr>
                <w:color w:val="auto"/>
                <w:sz w:val="24"/>
              </w:rPr>
              <w:t>/</w:t>
            </w:r>
            <w:r>
              <w:rPr>
                <w:rFonts w:hint="eastAsia"/>
                <w:color w:val="auto"/>
                <w:sz w:val="24"/>
                <w:lang w:val="en-US" w:eastAsia="zh-CN"/>
              </w:rPr>
              <w:t>80%</w:t>
            </w:r>
            <w:r>
              <w:rPr>
                <w:color w:val="auto"/>
                <w:sz w:val="24"/>
              </w:rPr>
              <w:t>/</w:t>
            </w:r>
            <w:r>
              <w:rPr>
                <w:rFonts w:hint="eastAsia"/>
                <w:color w:val="auto"/>
                <w:sz w:val="24"/>
                <w:lang w:val="en-US" w:eastAsia="zh-CN"/>
              </w:rPr>
              <w:t>1000</w:t>
            </w:r>
            <w:r>
              <w:rPr>
                <w:color w:val="auto"/>
                <w:sz w:val="24"/>
              </w:rPr>
              <w:t>=</w:t>
            </w:r>
            <w:r>
              <w:rPr>
                <w:rFonts w:hint="eastAsia"/>
                <w:color w:val="auto"/>
                <w:sz w:val="24"/>
                <w:lang w:val="en-US" w:eastAsia="zh-CN"/>
              </w:rPr>
              <w:t>1530</w:t>
            </w:r>
            <w:r>
              <w:rPr>
                <w:color w:val="auto"/>
                <w:sz w:val="24"/>
              </w:rPr>
              <w:t>t</w:t>
            </w:r>
          </w:p>
          <w:p w14:paraId="0EAC85CD">
            <w:pPr>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eastAsia" w:eastAsia="宋体"/>
                <w:color w:val="auto"/>
                <w:sz w:val="24"/>
                <w:lang w:val="en-US" w:eastAsia="zh-CN"/>
              </w:rPr>
            </w:pPr>
            <w:r>
              <w:rPr>
                <w:rFonts w:hint="eastAsia"/>
                <w:color w:val="auto"/>
                <w:sz w:val="24"/>
                <w:lang w:val="en-US" w:eastAsia="zh-CN"/>
              </w:rPr>
              <w:t>则本项目共需成型生物质燃料1530</w:t>
            </w:r>
            <w:r>
              <w:rPr>
                <w:color w:val="auto"/>
                <w:sz w:val="24"/>
              </w:rPr>
              <w:t>t</w:t>
            </w:r>
            <w:r>
              <w:rPr>
                <w:rFonts w:hint="eastAsia"/>
                <w:color w:val="auto"/>
                <w:sz w:val="24"/>
                <w:lang w:eastAsia="zh-CN"/>
              </w:rPr>
              <w:t>。</w:t>
            </w:r>
          </w:p>
          <w:p w14:paraId="45FA7F68">
            <w:pPr>
              <w:adjustRightInd w:val="0"/>
              <w:snapToGrid w:val="0"/>
              <w:spacing w:line="360" w:lineRule="auto"/>
              <w:ind w:firstLine="480" w:firstLineChars="200"/>
              <w:rPr>
                <w:bCs/>
                <w:snapToGrid w:val="0"/>
                <w:color w:val="auto"/>
                <w:kern w:val="0"/>
                <w:sz w:val="24"/>
                <w:szCs w:val="24"/>
              </w:rPr>
            </w:pPr>
            <w:r>
              <w:rPr>
                <w:bCs/>
                <w:snapToGrid w:val="0"/>
                <w:color w:val="auto"/>
                <w:kern w:val="0"/>
                <w:sz w:val="24"/>
                <w:szCs w:val="24"/>
              </w:rPr>
              <w:t>A、烟气量计算：</w:t>
            </w:r>
          </w:p>
          <w:p w14:paraId="01F23461">
            <w:pPr>
              <w:adjustRightInd w:val="0"/>
              <w:snapToGrid w:val="0"/>
              <w:spacing w:line="360" w:lineRule="auto"/>
              <w:ind w:firstLine="480" w:firstLineChars="200"/>
              <w:rPr>
                <w:bCs/>
                <w:snapToGrid w:val="0"/>
                <w:color w:val="auto"/>
                <w:kern w:val="0"/>
                <w:sz w:val="24"/>
                <w:szCs w:val="24"/>
              </w:rPr>
            </w:pPr>
            <w:r>
              <w:rPr>
                <w:bCs/>
                <w:snapToGrid w:val="0"/>
                <w:color w:val="auto"/>
                <w:kern w:val="0"/>
                <w:sz w:val="24"/>
                <w:szCs w:val="24"/>
              </w:rPr>
              <w:t>由于本项目无元素分析，根据《污染源源强核算技术指南 锅炉》（HJ991-2018）中附录C中要求，无元素分析时，干烟气排放量的经验计算公式参照HJ953。</w:t>
            </w:r>
          </w:p>
          <w:p w14:paraId="125B0DEC">
            <w:pPr>
              <w:adjustRightInd w:val="0"/>
              <w:snapToGrid w:val="0"/>
              <w:spacing w:line="360" w:lineRule="auto"/>
              <w:ind w:firstLine="480" w:firstLineChars="200"/>
              <w:rPr>
                <w:bCs/>
                <w:snapToGrid w:val="0"/>
                <w:color w:val="auto"/>
                <w:kern w:val="0"/>
                <w:sz w:val="24"/>
                <w:szCs w:val="24"/>
              </w:rPr>
            </w:pPr>
            <w:r>
              <w:rPr>
                <w:bCs/>
                <w:snapToGrid w:val="0"/>
                <w:color w:val="auto"/>
                <w:kern w:val="0"/>
                <w:sz w:val="24"/>
                <w:szCs w:val="24"/>
              </w:rPr>
              <w:t>根据《排污许可证申请与核发技术规范  锅炉》（HJ 953-2018），本项目烟气量计算如下：</w:t>
            </w:r>
          </w:p>
          <w:p w14:paraId="0F996EF2">
            <w:pPr>
              <w:adjustRightInd w:val="0"/>
              <w:snapToGrid w:val="0"/>
              <w:spacing w:line="360" w:lineRule="auto"/>
              <w:jc w:val="center"/>
              <w:rPr>
                <w:bCs/>
                <w:snapToGrid w:val="0"/>
                <w:color w:val="auto"/>
                <w:kern w:val="0"/>
                <w:szCs w:val="21"/>
              </w:rPr>
            </w:pPr>
            <w:r>
              <w:rPr>
                <w:snapToGrid w:val="0"/>
                <w:color w:val="auto"/>
                <w:kern w:val="0"/>
                <w:szCs w:val="21"/>
              </w:rPr>
              <w:drawing>
                <wp:inline distT="0" distB="0" distL="114300" distR="114300">
                  <wp:extent cx="4291965" cy="2673985"/>
                  <wp:effectExtent l="0" t="0" r="13335" b="12065"/>
                  <wp:docPr id="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
                          <pic:cNvPicPr>
                            <a:picLocks noChangeAspect="1"/>
                          </pic:cNvPicPr>
                        </pic:nvPicPr>
                        <pic:blipFill>
                          <a:blip r:embed="rId14"/>
                          <a:stretch>
                            <a:fillRect/>
                          </a:stretch>
                        </pic:blipFill>
                        <pic:spPr>
                          <a:xfrm>
                            <a:off x="0" y="0"/>
                            <a:ext cx="4291965" cy="2673985"/>
                          </a:xfrm>
                          <a:prstGeom prst="rect">
                            <a:avLst/>
                          </a:prstGeom>
                          <a:noFill/>
                          <a:ln>
                            <a:noFill/>
                          </a:ln>
                        </pic:spPr>
                      </pic:pic>
                    </a:graphicData>
                  </a:graphic>
                </wp:inline>
              </w:drawing>
            </w:r>
          </w:p>
          <w:p w14:paraId="6E2C24E3">
            <w:pPr>
              <w:adjustRightInd w:val="0"/>
              <w:snapToGrid w:val="0"/>
              <w:spacing w:line="360" w:lineRule="auto"/>
              <w:ind w:firstLine="480" w:firstLineChars="200"/>
              <w:rPr>
                <w:snapToGrid w:val="0"/>
                <w:color w:val="auto"/>
                <w:kern w:val="0"/>
                <w:sz w:val="24"/>
                <w:szCs w:val="24"/>
              </w:rPr>
            </w:pPr>
            <w:r>
              <w:rPr>
                <w:snapToGrid w:val="0"/>
                <w:color w:val="auto"/>
                <w:kern w:val="0"/>
                <w:sz w:val="24"/>
                <w:szCs w:val="24"/>
              </w:rPr>
              <w:t>本项目生物质Qnet,ar=11.116MJ/kg＜12.54MJ/kg；</w:t>
            </w:r>
          </w:p>
          <w:p w14:paraId="4B4795F8">
            <w:pPr>
              <w:adjustRightInd w:val="0"/>
              <w:snapToGrid w:val="0"/>
              <w:spacing w:line="360" w:lineRule="auto"/>
              <w:ind w:firstLine="480" w:firstLineChars="200"/>
              <w:rPr>
                <w:snapToGrid w:val="0"/>
                <w:color w:val="auto"/>
                <w:kern w:val="0"/>
                <w:sz w:val="24"/>
                <w:szCs w:val="24"/>
              </w:rPr>
            </w:pPr>
            <w:r>
              <w:rPr>
                <w:snapToGrid w:val="0"/>
                <w:color w:val="auto"/>
                <w:kern w:val="0"/>
                <w:sz w:val="24"/>
                <w:szCs w:val="24"/>
              </w:rPr>
              <w:t>其本项目基准烟气量计算如下：</w:t>
            </w:r>
          </w:p>
          <w:p w14:paraId="0A2E69A4">
            <w:pPr>
              <w:adjustRightInd w:val="0"/>
              <w:snapToGrid w:val="0"/>
              <w:spacing w:line="360" w:lineRule="auto"/>
              <w:ind w:firstLine="480" w:firstLineChars="200"/>
              <w:rPr>
                <w:snapToGrid w:val="0"/>
                <w:color w:val="auto"/>
                <w:kern w:val="0"/>
                <w:sz w:val="24"/>
                <w:szCs w:val="24"/>
              </w:rPr>
            </w:pPr>
            <w:r>
              <w:rPr>
                <w:snapToGrid w:val="0"/>
                <w:color w:val="auto"/>
                <w:kern w:val="0"/>
                <w:sz w:val="24"/>
                <w:szCs w:val="24"/>
              </w:rPr>
              <w:t>Vgy=0.3</w:t>
            </w:r>
            <w:r>
              <w:rPr>
                <w:rFonts w:hint="eastAsia"/>
                <w:snapToGrid w:val="0"/>
                <w:color w:val="auto"/>
                <w:kern w:val="0"/>
                <w:sz w:val="24"/>
                <w:szCs w:val="24"/>
                <w:lang w:val="en-US" w:eastAsia="zh-CN"/>
              </w:rPr>
              <w:t>93</w:t>
            </w:r>
            <w:r>
              <w:rPr>
                <w:snapToGrid w:val="0"/>
                <w:color w:val="auto"/>
                <w:kern w:val="0"/>
                <w:sz w:val="24"/>
                <w:szCs w:val="24"/>
              </w:rPr>
              <w:t>Qnet,ar+0.</w:t>
            </w:r>
            <w:r>
              <w:rPr>
                <w:rFonts w:hint="eastAsia"/>
                <w:snapToGrid w:val="0"/>
                <w:color w:val="auto"/>
                <w:kern w:val="0"/>
                <w:sz w:val="24"/>
                <w:szCs w:val="24"/>
                <w:lang w:val="en-US" w:eastAsia="zh-CN"/>
              </w:rPr>
              <w:t>876</w:t>
            </w:r>
            <w:r>
              <w:rPr>
                <w:snapToGrid w:val="0"/>
                <w:color w:val="auto"/>
                <w:kern w:val="0"/>
                <w:sz w:val="24"/>
                <w:szCs w:val="24"/>
              </w:rPr>
              <w:t>=0.3</w:t>
            </w:r>
            <w:r>
              <w:rPr>
                <w:rFonts w:hint="eastAsia"/>
                <w:snapToGrid w:val="0"/>
                <w:color w:val="auto"/>
                <w:kern w:val="0"/>
                <w:sz w:val="24"/>
                <w:szCs w:val="24"/>
                <w:lang w:val="en-US" w:eastAsia="zh-CN"/>
              </w:rPr>
              <w:t>93</w:t>
            </w:r>
            <w:r>
              <w:rPr>
                <w:snapToGrid w:val="0"/>
                <w:color w:val="auto"/>
                <w:kern w:val="0"/>
                <w:sz w:val="24"/>
                <w:szCs w:val="24"/>
              </w:rPr>
              <w:t>×11.116MJ/kg+0.</w:t>
            </w:r>
            <w:r>
              <w:rPr>
                <w:rFonts w:hint="eastAsia"/>
                <w:snapToGrid w:val="0"/>
                <w:color w:val="auto"/>
                <w:kern w:val="0"/>
                <w:sz w:val="24"/>
                <w:szCs w:val="24"/>
                <w:lang w:val="en-US" w:eastAsia="zh-CN"/>
              </w:rPr>
              <w:t>876</w:t>
            </w:r>
            <w:r>
              <w:rPr>
                <w:snapToGrid w:val="0"/>
                <w:color w:val="auto"/>
                <w:kern w:val="0"/>
                <w:sz w:val="24"/>
                <w:szCs w:val="24"/>
              </w:rPr>
              <w:t>=5.</w:t>
            </w:r>
            <w:r>
              <w:rPr>
                <w:rFonts w:hint="eastAsia"/>
                <w:snapToGrid w:val="0"/>
                <w:color w:val="auto"/>
                <w:kern w:val="0"/>
                <w:sz w:val="24"/>
                <w:szCs w:val="24"/>
                <w:lang w:val="en-US" w:eastAsia="zh-CN"/>
              </w:rPr>
              <w:t>2446</w:t>
            </w:r>
            <w:r>
              <w:rPr>
                <w:snapToGrid w:val="0"/>
                <w:color w:val="auto"/>
                <w:kern w:val="0"/>
                <w:sz w:val="24"/>
                <w:szCs w:val="24"/>
              </w:rPr>
              <w:t>Nm</w:t>
            </w:r>
            <w:r>
              <w:rPr>
                <w:snapToGrid w:val="0"/>
                <w:color w:val="auto"/>
                <w:kern w:val="0"/>
                <w:sz w:val="24"/>
                <w:szCs w:val="24"/>
                <w:vertAlign w:val="superscript"/>
              </w:rPr>
              <w:t>3</w:t>
            </w:r>
            <w:r>
              <w:rPr>
                <w:snapToGrid w:val="0"/>
                <w:color w:val="auto"/>
                <w:kern w:val="0"/>
                <w:sz w:val="24"/>
                <w:szCs w:val="24"/>
              </w:rPr>
              <w:t>/kg；</w:t>
            </w:r>
          </w:p>
          <w:p w14:paraId="19A0DA2B">
            <w:pPr>
              <w:adjustRightInd w:val="0"/>
              <w:snapToGrid w:val="0"/>
              <w:spacing w:line="360" w:lineRule="auto"/>
              <w:ind w:firstLine="720" w:firstLineChars="300"/>
              <w:rPr>
                <w:snapToGrid w:val="0"/>
                <w:color w:val="auto"/>
                <w:kern w:val="0"/>
                <w:sz w:val="24"/>
                <w:szCs w:val="24"/>
                <w:highlight w:val="none"/>
              </w:rPr>
            </w:pPr>
            <w:r>
              <w:rPr>
                <w:snapToGrid w:val="0"/>
                <w:color w:val="auto"/>
                <w:kern w:val="0"/>
                <w:sz w:val="24"/>
                <w:szCs w:val="24"/>
              </w:rPr>
              <w:t>本项目年燃生物质量为</w:t>
            </w:r>
            <w:r>
              <w:rPr>
                <w:rFonts w:hint="eastAsia"/>
                <w:bCs/>
                <w:snapToGrid w:val="0"/>
                <w:color w:val="auto"/>
                <w:kern w:val="0"/>
                <w:sz w:val="24"/>
                <w:szCs w:val="24"/>
                <w:lang w:val="en-US" w:eastAsia="zh-CN"/>
              </w:rPr>
              <w:t>1530</w:t>
            </w:r>
            <w:r>
              <w:rPr>
                <w:snapToGrid w:val="0"/>
                <w:color w:val="auto"/>
                <w:kern w:val="0"/>
                <w:sz w:val="24"/>
                <w:szCs w:val="24"/>
              </w:rPr>
              <w:t>t，小时生物质量约为</w:t>
            </w:r>
            <w:r>
              <w:rPr>
                <w:rFonts w:hint="eastAsia"/>
                <w:snapToGrid w:val="0"/>
                <w:color w:val="auto"/>
                <w:kern w:val="0"/>
                <w:sz w:val="24"/>
                <w:szCs w:val="24"/>
                <w:lang w:val="en-US" w:eastAsia="zh-CN"/>
              </w:rPr>
              <w:t>708.33</w:t>
            </w:r>
            <w:r>
              <w:rPr>
                <w:snapToGrid w:val="0"/>
                <w:color w:val="auto"/>
                <w:kern w:val="0"/>
                <w:sz w:val="24"/>
                <w:szCs w:val="24"/>
              </w:rPr>
              <w:t>kg/h，则本项目</w:t>
            </w:r>
            <w:r>
              <w:rPr>
                <w:snapToGrid w:val="0"/>
                <w:color w:val="auto"/>
                <w:kern w:val="0"/>
                <w:sz w:val="24"/>
                <w:szCs w:val="24"/>
                <w:highlight w:val="none"/>
              </w:rPr>
              <w:t>最大小时烟气量约为</w:t>
            </w:r>
            <w:r>
              <w:rPr>
                <w:rFonts w:hint="eastAsia"/>
                <w:snapToGrid w:val="0"/>
                <w:color w:val="auto"/>
                <w:kern w:val="0"/>
                <w:sz w:val="24"/>
                <w:szCs w:val="24"/>
                <w:highlight w:val="none"/>
                <w:lang w:val="en-US" w:eastAsia="zh-CN"/>
              </w:rPr>
              <w:t>3714.91</w:t>
            </w:r>
            <w:r>
              <w:rPr>
                <w:snapToGrid w:val="0"/>
                <w:color w:val="auto"/>
                <w:kern w:val="0"/>
                <w:sz w:val="24"/>
                <w:szCs w:val="24"/>
                <w:highlight w:val="none"/>
              </w:rPr>
              <w:t>Nm</w:t>
            </w:r>
            <w:r>
              <w:rPr>
                <w:snapToGrid w:val="0"/>
                <w:color w:val="auto"/>
                <w:kern w:val="0"/>
                <w:sz w:val="24"/>
                <w:szCs w:val="24"/>
                <w:highlight w:val="none"/>
                <w:vertAlign w:val="superscript"/>
              </w:rPr>
              <w:t>3</w:t>
            </w:r>
            <w:r>
              <w:rPr>
                <w:snapToGrid w:val="0"/>
                <w:color w:val="auto"/>
                <w:kern w:val="0"/>
                <w:sz w:val="24"/>
                <w:szCs w:val="24"/>
                <w:highlight w:val="none"/>
              </w:rPr>
              <w:t>/h。</w:t>
            </w:r>
          </w:p>
          <w:p w14:paraId="75FC0455">
            <w:pPr>
              <w:adjustRightInd w:val="0"/>
              <w:snapToGrid w:val="0"/>
              <w:spacing w:line="360" w:lineRule="auto"/>
              <w:ind w:firstLine="480" w:firstLineChars="200"/>
              <w:rPr>
                <w:snapToGrid w:val="0"/>
                <w:color w:val="auto"/>
                <w:kern w:val="0"/>
                <w:sz w:val="24"/>
                <w:szCs w:val="24"/>
                <w:highlight w:val="none"/>
                <w:vertAlign w:val="subscript"/>
              </w:rPr>
            </w:pPr>
            <w:r>
              <w:rPr>
                <w:snapToGrid w:val="0"/>
                <w:color w:val="auto"/>
                <w:kern w:val="0"/>
                <w:sz w:val="24"/>
                <w:szCs w:val="24"/>
                <w:highlight w:val="none"/>
              </w:rPr>
              <w:t>B、SO</w:t>
            </w:r>
            <w:r>
              <w:rPr>
                <w:snapToGrid w:val="0"/>
                <w:color w:val="auto"/>
                <w:kern w:val="0"/>
                <w:sz w:val="24"/>
                <w:szCs w:val="24"/>
                <w:highlight w:val="none"/>
                <w:vertAlign w:val="subscript"/>
              </w:rPr>
              <w:t>2</w:t>
            </w:r>
          </w:p>
          <w:p w14:paraId="4F3BB2F6">
            <w:pPr>
              <w:adjustRightInd w:val="0"/>
              <w:snapToGrid w:val="0"/>
              <w:spacing w:line="360" w:lineRule="auto"/>
              <w:jc w:val="center"/>
              <w:rPr>
                <w:snapToGrid w:val="0"/>
                <w:color w:val="auto"/>
                <w:kern w:val="0"/>
                <w:sz w:val="24"/>
                <w:szCs w:val="24"/>
              </w:rPr>
            </w:pPr>
            <w:r>
              <w:rPr>
                <w:snapToGrid w:val="0"/>
                <w:color w:val="auto"/>
                <w:kern w:val="0"/>
                <w:sz w:val="24"/>
                <w:szCs w:val="24"/>
              </w:rPr>
              <w:drawing>
                <wp:inline distT="0" distB="0" distL="114300" distR="114300">
                  <wp:extent cx="3220085" cy="417830"/>
                  <wp:effectExtent l="0" t="0" r="18415" b="1270"/>
                  <wp:docPr id="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pic:cNvPicPr>
                            <a:picLocks noChangeAspect="1"/>
                          </pic:cNvPicPr>
                        </pic:nvPicPr>
                        <pic:blipFill>
                          <a:blip r:embed="rId15"/>
                          <a:stretch>
                            <a:fillRect/>
                          </a:stretch>
                        </pic:blipFill>
                        <pic:spPr>
                          <a:xfrm>
                            <a:off x="0" y="0"/>
                            <a:ext cx="3220085" cy="417830"/>
                          </a:xfrm>
                          <a:prstGeom prst="rect">
                            <a:avLst/>
                          </a:prstGeom>
                          <a:noFill/>
                          <a:ln>
                            <a:noFill/>
                          </a:ln>
                        </pic:spPr>
                      </pic:pic>
                    </a:graphicData>
                  </a:graphic>
                </wp:inline>
              </w:drawing>
            </w:r>
          </w:p>
          <w:p w14:paraId="1ABEAB3B">
            <w:pPr>
              <w:adjustRightInd w:val="0"/>
              <w:snapToGrid w:val="0"/>
              <w:spacing w:line="360" w:lineRule="auto"/>
              <w:ind w:firstLine="480" w:firstLineChars="200"/>
              <w:textAlignment w:val="center"/>
              <w:rPr>
                <w:snapToGrid w:val="0"/>
                <w:color w:val="auto"/>
                <w:kern w:val="0"/>
                <w:sz w:val="24"/>
                <w:szCs w:val="24"/>
              </w:rPr>
            </w:pPr>
            <w:r>
              <w:rPr>
                <w:snapToGrid w:val="0"/>
                <w:color w:val="auto"/>
                <w:kern w:val="0"/>
                <w:sz w:val="24"/>
                <w:szCs w:val="24"/>
              </w:rPr>
              <w:t>式中：E</w:t>
            </w:r>
            <w:r>
              <w:rPr>
                <w:snapToGrid w:val="0"/>
                <w:color w:val="auto"/>
                <w:kern w:val="0"/>
                <w:sz w:val="24"/>
                <w:szCs w:val="24"/>
                <w:vertAlign w:val="subscript"/>
              </w:rPr>
              <w:t>SO2</w:t>
            </w:r>
            <w:r>
              <w:rPr>
                <w:snapToGrid w:val="0"/>
                <w:color w:val="auto"/>
                <w:kern w:val="0"/>
                <w:sz w:val="24"/>
                <w:szCs w:val="24"/>
              </w:rPr>
              <w:t>——核算时段内二氧化硫排放量，t；</w:t>
            </w:r>
          </w:p>
          <w:p w14:paraId="5D0EEF43">
            <w:pPr>
              <w:adjustRightInd w:val="0"/>
              <w:snapToGrid w:val="0"/>
              <w:spacing w:line="360" w:lineRule="auto"/>
              <w:ind w:firstLine="480" w:firstLineChars="200"/>
              <w:textAlignment w:val="center"/>
              <w:rPr>
                <w:snapToGrid w:val="0"/>
                <w:color w:val="auto"/>
                <w:kern w:val="0"/>
                <w:sz w:val="24"/>
                <w:szCs w:val="24"/>
              </w:rPr>
            </w:pPr>
            <w:r>
              <w:rPr>
                <w:snapToGrid w:val="0"/>
                <w:color w:val="auto"/>
                <w:kern w:val="0"/>
                <w:sz w:val="24"/>
                <w:szCs w:val="24"/>
              </w:rPr>
              <w:t xml:space="preserve">     R ——核算时段内锅炉燃料消耗量，t，本次评价取</w:t>
            </w:r>
            <w:r>
              <w:rPr>
                <w:rFonts w:hint="eastAsia"/>
                <w:snapToGrid w:val="0"/>
                <w:color w:val="auto"/>
                <w:kern w:val="0"/>
                <w:sz w:val="24"/>
                <w:szCs w:val="24"/>
                <w:lang w:val="en-US" w:eastAsia="zh-CN"/>
              </w:rPr>
              <w:t>1530</w:t>
            </w:r>
            <w:r>
              <w:rPr>
                <w:snapToGrid w:val="0"/>
                <w:color w:val="auto"/>
                <w:kern w:val="0"/>
                <w:sz w:val="24"/>
                <w:szCs w:val="24"/>
              </w:rPr>
              <w:t>t/a；</w:t>
            </w:r>
          </w:p>
          <w:p w14:paraId="3C566102">
            <w:pPr>
              <w:adjustRightInd w:val="0"/>
              <w:snapToGrid w:val="0"/>
              <w:spacing w:line="360" w:lineRule="auto"/>
              <w:ind w:firstLine="480" w:firstLineChars="200"/>
              <w:textAlignment w:val="center"/>
              <w:rPr>
                <w:snapToGrid w:val="0"/>
                <w:color w:val="auto"/>
                <w:kern w:val="0"/>
                <w:sz w:val="24"/>
                <w:szCs w:val="24"/>
              </w:rPr>
            </w:pPr>
            <w:r>
              <w:rPr>
                <w:snapToGrid w:val="0"/>
                <w:color w:val="auto"/>
                <w:kern w:val="0"/>
                <w:sz w:val="24"/>
                <w:szCs w:val="24"/>
              </w:rPr>
              <w:t xml:space="preserve">     </w:t>
            </w:r>
            <w:r>
              <w:rPr>
                <w:rFonts w:hint="eastAsia"/>
                <w:snapToGrid w:val="0"/>
                <w:color w:val="auto"/>
                <w:kern w:val="0"/>
                <w:sz w:val="24"/>
                <w:szCs w:val="24"/>
                <w:lang w:val="en-US" w:eastAsia="zh-CN"/>
              </w:rPr>
              <w:t>S</w:t>
            </w:r>
            <w:r>
              <w:rPr>
                <w:rFonts w:hint="eastAsia"/>
                <w:snapToGrid w:val="0"/>
                <w:color w:val="auto"/>
                <w:kern w:val="0"/>
                <w:sz w:val="24"/>
                <w:szCs w:val="24"/>
                <w:vertAlign w:val="subscript"/>
                <w:lang w:val="en-US" w:eastAsia="zh-CN"/>
              </w:rPr>
              <w:t>ar</w:t>
            </w:r>
            <w:r>
              <w:rPr>
                <w:snapToGrid w:val="0"/>
                <w:color w:val="auto"/>
                <w:kern w:val="0"/>
                <w:sz w:val="24"/>
                <w:szCs w:val="24"/>
              </w:rPr>
              <w:t xml:space="preserve"> ——</w:t>
            </w:r>
            <w:r>
              <w:rPr>
                <w:rFonts w:hint="eastAsia"/>
                <w:snapToGrid w:val="0"/>
                <w:color w:val="auto"/>
                <w:kern w:val="0"/>
                <w:sz w:val="24"/>
                <w:szCs w:val="24"/>
                <w:lang w:val="en-US" w:eastAsia="zh-CN"/>
              </w:rPr>
              <w:t>收到基硫的质量分数</w:t>
            </w:r>
            <w:r>
              <w:rPr>
                <w:snapToGrid w:val="0"/>
                <w:color w:val="auto"/>
                <w:kern w:val="0"/>
                <w:sz w:val="24"/>
                <w:szCs w:val="24"/>
              </w:rPr>
              <w:t>，%</w:t>
            </w:r>
            <w:r>
              <w:rPr>
                <w:rFonts w:hint="eastAsia"/>
                <w:snapToGrid w:val="0"/>
                <w:color w:val="auto"/>
                <w:kern w:val="0"/>
                <w:sz w:val="24"/>
                <w:szCs w:val="24"/>
                <w:lang w:eastAsia="zh-CN"/>
              </w:rPr>
              <w:t>，</w:t>
            </w:r>
            <w:r>
              <w:rPr>
                <w:snapToGrid w:val="0"/>
                <w:color w:val="auto"/>
                <w:kern w:val="0"/>
                <w:sz w:val="24"/>
                <w:szCs w:val="24"/>
              </w:rPr>
              <w:t>本次评价取0.0</w:t>
            </w:r>
            <w:r>
              <w:rPr>
                <w:rFonts w:hint="eastAsia"/>
                <w:snapToGrid w:val="0"/>
                <w:color w:val="auto"/>
                <w:kern w:val="0"/>
                <w:sz w:val="24"/>
                <w:szCs w:val="24"/>
                <w:lang w:val="en-US" w:eastAsia="zh-CN"/>
              </w:rPr>
              <w:t>3</w:t>
            </w:r>
            <w:r>
              <w:rPr>
                <w:snapToGrid w:val="0"/>
                <w:color w:val="auto"/>
                <w:kern w:val="0"/>
                <w:sz w:val="24"/>
                <w:szCs w:val="24"/>
              </w:rPr>
              <w:t>；</w:t>
            </w:r>
          </w:p>
          <w:p w14:paraId="41F1CA6B">
            <w:pPr>
              <w:adjustRightInd w:val="0"/>
              <w:snapToGrid w:val="0"/>
              <w:spacing w:line="360" w:lineRule="auto"/>
              <w:ind w:firstLine="480" w:firstLineChars="200"/>
              <w:textAlignment w:val="center"/>
              <w:rPr>
                <w:snapToGrid w:val="0"/>
                <w:color w:val="auto"/>
                <w:kern w:val="0"/>
                <w:sz w:val="24"/>
                <w:szCs w:val="24"/>
              </w:rPr>
            </w:pPr>
            <w:r>
              <w:rPr>
                <w:snapToGrid w:val="0"/>
                <w:color w:val="auto"/>
                <w:kern w:val="0"/>
                <w:sz w:val="24"/>
                <w:szCs w:val="24"/>
              </w:rPr>
              <w:t xml:space="preserve">    </w:t>
            </w:r>
            <w:r>
              <w:rPr>
                <w:color w:val="auto"/>
              </w:rPr>
              <w:drawing>
                <wp:inline distT="0" distB="0" distL="114300" distR="114300">
                  <wp:extent cx="171450" cy="161925"/>
                  <wp:effectExtent l="0" t="0" r="0" b="7620"/>
                  <wp:docPr id="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
                          <pic:cNvPicPr>
                            <a:picLocks noChangeAspect="1"/>
                          </pic:cNvPicPr>
                        </pic:nvPicPr>
                        <pic:blipFill>
                          <a:blip r:embed="rId16"/>
                          <a:stretch>
                            <a:fillRect/>
                          </a:stretch>
                        </pic:blipFill>
                        <pic:spPr>
                          <a:xfrm>
                            <a:off x="0" y="0"/>
                            <a:ext cx="171450" cy="161925"/>
                          </a:xfrm>
                          <a:prstGeom prst="rect">
                            <a:avLst/>
                          </a:prstGeom>
                          <a:noFill/>
                          <a:ln>
                            <a:noFill/>
                          </a:ln>
                        </pic:spPr>
                      </pic:pic>
                    </a:graphicData>
                  </a:graphic>
                </wp:inline>
              </w:drawing>
            </w:r>
            <w:r>
              <w:rPr>
                <w:snapToGrid w:val="0"/>
                <w:color w:val="auto"/>
                <w:kern w:val="0"/>
                <w:sz w:val="24"/>
                <w:szCs w:val="24"/>
              </w:rPr>
              <w:t xml:space="preserve"> ——脱硫效率，%，本次评价取0；</w:t>
            </w:r>
          </w:p>
          <w:p w14:paraId="678306CC">
            <w:pPr>
              <w:adjustRightInd w:val="0"/>
              <w:snapToGrid w:val="0"/>
              <w:spacing w:line="360" w:lineRule="auto"/>
              <w:ind w:firstLine="720" w:firstLineChars="300"/>
              <w:textAlignment w:val="center"/>
              <w:rPr>
                <w:snapToGrid w:val="0"/>
                <w:color w:val="auto"/>
                <w:kern w:val="0"/>
                <w:sz w:val="24"/>
                <w:szCs w:val="24"/>
              </w:rPr>
            </w:pPr>
            <w:r>
              <w:rPr>
                <w:snapToGrid w:val="0"/>
                <w:color w:val="auto"/>
                <w:kern w:val="0"/>
                <w:sz w:val="24"/>
                <w:szCs w:val="24"/>
              </w:rPr>
              <w:t xml:space="preserve">  </w:t>
            </w:r>
            <w:r>
              <w:rPr>
                <w:color w:val="auto"/>
              </w:rPr>
              <w:drawing>
                <wp:inline distT="0" distB="0" distL="114300" distR="114300">
                  <wp:extent cx="171450" cy="209550"/>
                  <wp:effectExtent l="0" t="0" r="0" b="0"/>
                  <wp:docPr id="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pic:cNvPicPr>
                            <a:picLocks noChangeAspect="1"/>
                          </pic:cNvPicPr>
                        </pic:nvPicPr>
                        <pic:blipFill>
                          <a:blip r:embed="rId17"/>
                          <a:stretch>
                            <a:fillRect/>
                          </a:stretch>
                        </pic:blipFill>
                        <pic:spPr>
                          <a:xfrm>
                            <a:off x="0" y="0"/>
                            <a:ext cx="171450" cy="209550"/>
                          </a:xfrm>
                          <a:prstGeom prst="rect">
                            <a:avLst/>
                          </a:prstGeom>
                          <a:noFill/>
                          <a:ln>
                            <a:noFill/>
                          </a:ln>
                        </pic:spPr>
                      </pic:pic>
                    </a:graphicData>
                  </a:graphic>
                </wp:inline>
              </w:drawing>
            </w:r>
            <w:r>
              <w:rPr>
                <w:snapToGrid w:val="0"/>
                <w:color w:val="auto"/>
                <w:kern w:val="0"/>
                <w:sz w:val="24"/>
                <w:szCs w:val="24"/>
              </w:rPr>
              <w:t xml:space="preserve"> ——锅炉机械未完全燃烧热损失，%，本次评价取10；</w:t>
            </w:r>
          </w:p>
          <w:p w14:paraId="39871114">
            <w:pPr>
              <w:adjustRightInd w:val="0"/>
              <w:snapToGrid w:val="0"/>
              <w:spacing w:line="360" w:lineRule="auto"/>
              <w:ind w:firstLine="960" w:firstLineChars="400"/>
              <w:textAlignment w:val="center"/>
              <w:rPr>
                <w:snapToGrid w:val="0"/>
                <w:color w:val="auto"/>
                <w:kern w:val="0"/>
                <w:sz w:val="24"/>
                <w:szCs w:val="24"/>
              </w:rPr>
            </w:pPr>
            <w:r>
              <w:rPr>
                <w:snapToGrid w:val="0"/>
                <w:color w:val="auto"/>
                <w:kern w:val="0"/>
                <w:position w:val="-4"/>
                <w:sz w:val="24"/>
                <w:szCs w:val="24"/>
              </w:rPr>
              <w:object>
                <v:shape id="_x0000_i1025" o:spt="75" type="#_x0000_t75" style="height:12.75pt;width:13pt;" o:ole="t" filled="f" o:preferrelative="t" stroked="f" coordsize="21600,21600">
                  <v:path/>
                  <v:fill on="f" focussize="0,0"/>
                  <v:stroke on="f"/>
                  <v:imagedata r:id="rId19" o:title=""/>
                  <o:lock v:ext="edit" aspectratio="t"/>
                  <w10:wrap type="none"/>
                  <w10:anchorlock/>
                </v:shape>
                <o:OLEObject Type="Embed" ProgID="Equation.3" ShapeID="_x0000_i1025" DrawAspect="Content" ObjectID="_1468075725" r:id="rId18">
                  <o:LockedField>false</o:LockedField>
                </o:OLEObject>
              </w:object>
            </w:r>
            <w:r>
              <w:rPr>
                <w:snapToGrid w:val="0"/>
                <w:color w:val="auto"/>
                <w:kern w:val="0"/>
                <w:sz w:val="24"/>
                <w:szCs w:val="24"/>
              </w:rPr>
              <w:t>——燃料中的硫燃烧后氧化成二氧化硫的份额，本次评价取0.4。</w:t>
            </w:r>
          </w:p>
          <w:p w14:paraId="4D0A1856">
            <w:pPr>
              <w:adjustRightInd w:val="0"/>
              <w:snapToGrid w:val="0"/>
              <w:spacing w:line="360" w:lineRule="auto"/>
              <w:ind w:firstLine="480" w:firstLineChars="200"/>
              <w:textAlignment w:val="center"/>
              <w:rPr>
                <w:snapToGrid w:val="0"/>
                <w:color w:val="auto"/>
                <w:kern w:val="0"/>
                <w:sz w:val="24"/>
                <w:szCs w:val="24"/>
              </w:rPr>
            </w:pPr>
            <w:r>
              <w:rPr>
                <w:snapToGrid w:val="0"/>
                <w:color w:val="auto"/>
                <w:kern w:val="0"/>
                <w:sz w:val="24"/>
                <w:szCs w:val="24"/>
              </w:rPr>
              <w:t>则SO</w:t>
            </w:r>
            <w:r>
              <w:rPr>
                <w:snapToGrid w:val="0"/>
                <w:color w:val="auto"/>
                <w:kern w:val="0"/>
                <w:sz w:val="24"/>
                <w:szCs w:val="24"/>
                <w:vertAlign w:val="subscript"/>
              </w:rPr>
              <w:t>2</w:t>
            </w:r>
            <w:r>
              <w:rPr>
                <w:snapToGrid w:val="0"/>
                <w:color w:val="auto"/>
                <w:kern w:val="0"/>
                <w:sz w:val="24"/>
                <w:szCs w:val="24"/>
              </w:rPr>
              <w:t>排放量为0.</w:t>
            </w:r>
            <w:r>
              <w:rPr>
                <w:rFonts w:hint="eastAsia"/>
                <w:snapToGrid w:val="0"/>
                <w:color w:val="auto"/>
                <w:kern w:val="0"/>
                <w:sz w:val="24"/>
                <w:szCs w:val="24"/>
                <w:lang w:val="en-US" w:eastAsia="zh-CN"/>
              </w:rPr>
              <w:t>33</w:t>
            </w:r>
            <w:r>
              <w:rPr>
                <w:snapToGrid w:val="0"/>
                <w:color w:val="auto"/>
                <w:kern w:val="0"/>
                <w:sz w:val="24"/>
                <w:szCs w:val="24"/>
              </w:rPr>
              <w:t>t/a，</w:t>
            </w:r>
            <w:r>
              <w:rPr>
                <w:snapToGrid w:val="0"/>
                <w:color w:val="auto"/>
                <w:kern w:val="0"/>
                <w:sz w:val="24"/>
                <w:szCs w:val="24"/>
                <w:highlight w:val="none"/>
              </w:rPr>
              <w:t>排放速率为0.</w:t>
            </w:r>
            <w:r>
              <w:rPr>
                <w:rFonts w:hint="eastAsia"/>
                <w:snapToGrid w:val="0"/>
                <w:color w:val="auto"/>
                <w:kern w:val="0"/>
                <w:sz w:val="24"/>
                <w:szCs w:val="24"/>
                <w:highlight w:val="none"/>
                <w:lang w:val="en-US" w:eastAsia="zh-CN"/>
              </w:rPr>
              <w:t>15</w:t>
            </w:r>
            <w:r>
              <w:rPr>
                <w:snapToGrid w:val="0"/>
                <w:color w:val="auto"/>
                <w:kern w:val="0"/>
                <w:sz w:val="24"/>
                <w:szCs w:val="24"/>
                <w:highlight w:val="none"/>
              </w:rPr>
              <w:t>kg/h，排放浓度为</w:t>
            </w:r>
            <w:r>
              <w:rPr>
                <w:rFonts w:hint="eastAsia"/>
                <w:snapToGrid w:val="0"/>
                <w:color w:val="auto"/>
                <w:kern w:val="0"/>
                <w:sz w:val="24"/>
                <w:szCs w:val="24"/>
                <w:highlight w:val="none"/>
                <w:lang w:val="en-US" w:eastAsia="zh-CN"/>
              </w:rPr>
              <w:t>41.13</w:t>
            </w:r>
            <w:r>
              <w:rPr>
                <w:snapToGrid w:val="0"/>
                <w:color w:val="auto"/>
                <w:kern w:val="0"/>
                <w:sz w:val="24"/>
                <w:szCs w:val="24"/>
                <w:highlight w:val="none"/>
              </w:rPr>
              <w:t>mg/m</w:t>
            </w:r>
            <w:r>
              <w:rPr>
                <w:snapToGrid w:val="0"/>
                <w:color w:val="auto"/>
                <w:kern w:val="0"/>
                <w:sz w:val="24"/>
                <w:szCs w:val="24"/>
                <w:highlight w:val="none"/>
                <w:vertAlign w:val="superscript"/>
              </w:rPr>
              <w:t>3</w:t>
            </w:r>
            <w:r>
              <w:rPr>
                <w:snapToGrid w:val="0"/>
                <w:color w:val="auto"/>
                <w:kern w:val="0"/>
                <w:sz w:val="24"/>
                <w:szCs w:val="24"/>
                <w:highlight w:val="none"/>
              </w:rPr>
              <w:t>。</w:t>
            </w:r>
          </w:p>
          <w:p w14:paraId="770D5D99">
            <w:pPr>
              <w:adjustRightInd w:val="0"/>
              <w:snapToGrid w:val="0"/>
              <w:spacing w:line="360" w:lineRule="auto"/>
              <w:ind w:firstLine="480" w:firstLineChars="200"/>
              <w:rPr>
                <w:snapToGrid w:val="0"/>
                <w:color w:val="auto"/>
                <w:kern w:val="0"/>
                <w:sz w:val="24"/>
                <w:szCs w:val="24"/>
              </w:rPr>
            </w:pPr>
            <w:r>
              <w:rPr>
                <w:snapToGrid w:val="0"/>
                <w:color w:val="auto"/>
                <w:kern w:val="0"/>
                <w:sz w:val="24"/>
                <w:szCs w:val="24"/>
              </w:rPr>
              <w:t>C、NOx</w:t>
            </w:r>
          </w:p>
          <w:p w14:paraId="3C821D04">
            <w:pPr>
              <w:adjustRightInd w:val="0"/>
              <w:snapToGrid w:val="0"/>
              <w:spacing w:line="360" w:lineRule="auto"/>
              <w:jc w:val="center"/>
              <w:rPr>
                <w:snapToGrid w:val="0"/>
                <w:color w:val="auto"/>
                <w:kern w:val="0"/>
                <w:sz w:val="24"/>
                <w:szCs w:val="24"/>
              </w:rPr>
            </w:pPr>
            <w:r>
              <w:rPr>
                <w:snapToGrid w:val="0"/>
                <w:color w:val="auto"/>
                <w:kern w:val="0"/>
                <w:sz w:val="24"/>
                <w:szCs w:val="24"/>
              </w:rPr>
              <w:drawing>
                <wp:inline distT="0" distB="0" distL="114300" distR="114300">
                  <wp:extent cx="2488565" cy="494665"/>
                  <wp:effectExtent l="0" t="0" r="6985" b="635"/>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20"/>
                          <a:stretch>
                            <a:fillRect/>
                          </a:stretch>
                        </pic:blipFill>
                        <pic:spPr>
                          <a:xfrm>
                            <a:off x="0" y="0"/>
                            <a:ext cx="2488565" cy="494665"/>
                          </a:xfrm>
                          <a:prstGeom prst="rect">
                            <a:avLst/>
                          </a:prstGeom>
                          <a:noFill/>
                          <a:ln>
                            <a:noFill/>
                          </a:ln>
                        </pic:spPr>
                      </pic:pic>
                    </a:graphicData>
                  </a:graphic>
                </wp:inline>
              </w:drawing>
            </w:r>
          </w:p>
          <w:p w14:paraId="5526649F">
            <w:pPr>
              <w:adjustRightInd w:val="0"/>
              <w:snapToGrid w:val="0"/>
              <w:spacing w:line="360" w:lineRule="auto"/>
              <w:ind w:firstLine="480" w:firstLineChars="200"/>
              <w:textAlignment w:val="center"/>
              <w:rPr>
                <w:snapToGrid w:val="0"/>
                <w:color w:val="auto"/>
                <w:kern w:val="0"/>
                <w:sz w:val="24"/>
                <w:szCs w:val="24"/>
              </w:rPr>
            </w:pPr>
            <w:r>
              <w:rPr>
                <w:snapToGrid w:val="0"/>
                <w:color w:val="auto"/>
                <w:kern w:val="0"/>
                <w:sz w:val="24"/>
                <w:szCs w:val="24"/>
              </w:rPr>
              <w:t>式中：</w:t>
            </w:r>
          </w:p>
          <w:p w14:paraId="6A37AED0">
            <w:pPr>
              <w:adjustRightInd w:val="0"/>
              <w:snapToGrid w:val="0"/>
              <w:spacing w:line="360" w:lineRule="auto"/>
              <w:ind w:firstLine="420" w:firstLineChars="200"/>
              <w:jc w:val="center"/>
              <w:textAlignment w:val="center"/>
              <w:rPr>
                <w:snapToGrid w:val="0"/>
                <w:color w:val="auto"/>
                <w:kern w:val="0"/>
                <w:szCs w:val="21"/>
              </w:rPr>
            </w:pPr>
            <w:r>
              <w:rPr>
                <w:snapToGrid w:val="0"/>
                <w:color w:val="auto"/>
                <w:kern w:val="0"/>
                <w:szCs w:val="21"/>
              </w:rPr>
              <w:drawing>
                <wp:inline distT="0" distB="0" distL="114300" distR="114300">
                  <wp:extent cx="3870960" cy="986155"/>
                  <wp:effectExtent l="0" t="0" r="15240" b="4445"/>
                  <wp:docPr id="50" name="图片 21" descr="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1" descr="3523"/>
                          <pic:cNvPicPr>
                            <a:picLocks noChangeAspect="1"/>
                          </pic:cNvPicPr>
                        </pic:nvPicPr>
                        <pic:blipFill>
                          <a:blip r:embed="rId21"/>
                          <a:stretch>
                            <a:fillRect/>
                          </a:stretch>
                        </pic:blipFill>
                        <pic:spPr>
                          <a:xfrm>
                            <a:off x="0" y="0"/>
                            <a:ext cx="3870960" cy="986155"/>
                          </a:xfrm>
                          <a:prstGeom prst="rect">
                            <a:avLst/>
                          </a:prstGeom>
                          <a:noFill/>
                          <a:ln>
                            <a:noFill/>
                          </a:ln>
                        </pic:spPr>
                      </pic:pic>
                    </a:graphicData>
                  </a:graphic>
                </wp:inline>
              </w:drawing>
            </w:r>
          </w:p>
          <w:p w14:paraId="407F21D5">
            <w:pPr>
              <w:pStyle w:val="83"/>
              <w:ind w:firstLine="480"/>
              <w:rPr>
                <w:rFonts w:hint="default" w:ascii="Times New Roman" w:hAnsi="Times New Roman" w:eastAsia="宋体" w:cs="Times New Roman"/>
                <w:bCs/>
                <w:snapToGrid w:val="0"/>
                <w:color w:val="auto"/>
                <w:kern w:val="0"/>
                <w:sz w:val="24"/>
                <w:szCs w:val="24"/>
                <w:lang w:val="en-US" w:eastAsia="zh-CN" w:bidi="ar-SA"/>
              </w:rPr>
            </w:pPr>
            <w:r>
              <w:rPr>
                <w:rFonts w:hint="default" w:ascii="Times New Roman" w:hAnsi="Times New Roman" w:eastAsia="宋体" w:cs="Times New Roman"/>
                <w:bCs/>
                <w:snapToGrid w:val="0"/>
                <w:color w:val="auto"/>
                <w:kern w:val="0"/>
                <w:sz w:val="24"/>
                <w:szCs w:val="24"/>
                <w:lang w:val="en-US" w:eastAsia="zh-CN" w:bidi="ar-SA"/>
              </w:rPr>
              <w:t>本项目锅炉出口NOx产生浓度无法估算，故氮氧化物采用系数法核算（无实测值无法采用类比法，无法用物料衡算），根据《排污许可证申请与核发技术规范 锅炉》表F.4燃生物质工业锅炉的废气排污系数（续），室燃炉-氮氧化物产排污系数1.02kg/t·燃料。</w:t>
            </w:r>
          </w:p>
          <w:p w14:paraId="7B794072">
            <w:pPr>
              <w:adjustRightInd w:val="0"/>
              <w:snapToGrid w:val="0"/>
              <w:spacing w:line="360" w:lineRule="auto"/>
              <w:ind w:firstLine="480" w:firstLineChars="200"/>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本项目采用的除尘技术对NOx的去除效率为0，NOx直排，经计算，则NOx的产生量为</w:t>
            </w:r>
            <w:r>
              <w:rPr>
                <w:rFonts w:hint="eastAsia"/>
                <w:bCs/>
                <w:snapToGrid w:val="0"/>
                <w:color w:val="auto"/>
                <w:kern w:val="0"/>
                <w:sz w:val="24"/>
                <w:szCs w:val="24"/>
                <w:lang w:val="en-US" w:eastAsia="zh-CN"/>
              </w:rPr>
              <w:t>1.56</w:t>
            </w:r>
            <w:r>
              <w:rPr>
                <w:rFonts w:hint="default"/>
                <w:bCs/>
                <w:snapToGrid w:val="0"/>
                <w:color w:val="auto"/>
                <w:kern w:val="0"/>
                <w:sz w:val="24"/>
                <w:szCs w:val="24"/>
                <w:lang w:val="en-US" w:eastAsia="zh-CN"/>
              </w:rPr>
              <w:t>t/a、产生速率为0.</w:t>
            </w:r>
            <w:r>
              <w:rPr>
                <w:rFonts w:hint="eastAsia"/>
                <w:bCs/>
                <w:snapToGrid w:val="0"/>
                <w:color w:val="auto"/>
                <w:kern w:val="0"/>
                <w:sz w:val="24"/>
                <w:szCs w:val="24"/>
                <w:lang w:val="en-US" w:eastAsia="zh-CN"/>
              </w:rPr>
              <w:t>72</w:t>
            </w:r>
            <w:r>
              <w:rPr>
                <w:rFonts w:hint="default"/>
                <w:bCs/>
                <w:snapToGrid w:val="0"/>
                <w:color w:val="auto"/>
                <w:kern w:val="0"/>
                <w:sz w:val="24"/>
                <w:szCs w:val="24"/>
                <w:lang w:val="en-US" w:eastAsia="zh-CN"/>
              </w:rPr>
              <w:t>kg/h、产生浓度为</w:t>
            </w:r>
            <w:r>
              <w:rPr>
                <w:rFonts w:hint="eastAsia"/>
                <w:bCs/>
                <w:snapToGrid w:val="0"/>
                <w:color w:val="auto"/>
                <w:kern w:val="0"/>
                <w:sz w:val="24"/>
                <w:szCs w:val="24"/>
                <w:lang w:val="en-US" w:eastAsia="zh-CN"/>
              </w:rPr>
              <w:t>194.41</w:t>
            </w:r>
            <w:r>
              <w:rPr>
                <w:rFonts w:hint="default"/>
                <w:bCs/>
                <w:snapToGrid w:val="0"/>
                <w:color w:val="auto"/>
                <w:kern w:val="0"/>
                <w:sz w:val="24"/>
                <w:szCs w:val="24"/>
                <w:lang w:val="en-US" w:eastAsia="zh-CN"/>
              </w:rPr>
              <w:t>mg/m</w:t>
            </w:r>
            <w:r>
              <w:rPr>
                <w:rFonts w:hint="default"/>
                <w:bCs/>
                <w:snapToGrid w:val="0"/>
                <w:color w:val="auto"/>
                <w:kern w:val="0"/>
                <w:sz w:val="24"/>
                <w:szCs w:val="24"/>
                <w:vertAlign w:val="superscript"/>
                <w:lang w:val="en-US" w:eastAsia="zh-CN"/>
              </w:rPr>
              <w:t>3</w:t>
            </w:r>
            <w:r>
              <w:rPr>
                <w:rFonts w:hint="default"/>
                <w:bCs/>
                <w:snapToGrid w:val="0"/>
                <w:color w:val="auto"/>
                <w:kern w:val="0"/>
                <w:sz w:val="24"/>
                <w:szCs w:val="24"/>
                <w:lang w:val="en-US" w:eastAsia="zh-CN"/>
              </w:rPr>
              <w:t>。</w:t>
            </w:r>
          </w:p>
          <w:p w14:paraId="211A20B7">
            <w:pPr>
              <w:adjustRightInd w:val="0"/>
              <w:snapToGrid w:val="0"/>
              <w:spacing w:line="360" w:lineRule="auto"/>
              <w:ind w:firstLine="480" w:firstLineChars="200"/>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D、颗粒物</w:t>
            </w:r>
          </w:p>
          <w:p w14:paraId="6E5F2F9B">
            <w:pPr>
              <w:adjustRightInd w:val="0"/>
              <w:snapToGrid w:val="0"/>
              <w:spacing w:line="360" w:lineRule="auto"/>
              <w:ind w:firstLine="420" w:firstLineChars="200"/>
              <w:jc w:val="center"/>
              <w:rPr>
                <w:snapToGrid w:val="0"/>
                <w:color w:val="auto"/>
                <w:kern w:val="0"/>
                <w:szCs w:val="21"/>
              </w:rPr>
            </w:pPr>
            <w:r>
              <w:rPr>
                <w:snapToGrid w:val="0"/>
                <w:color w:val="auto"/>
                <w:kern w:val="0"/>
                <w:szCs w:val="21"/>
              </w:rPr>
              <w:drawing>
                <wp:inline distT="0" distB="0" distL="114300" distR="114300">
                  <wp:extent cx="2668270" cy="878840"/>
                  <wp:effectExtent l="0" t="0" r="17780" b="16510"/>
                  <wp:docPr id="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2"/>
                          <pic:cNvPicPr>
                            <a:picLocks noChangeAspect="1"/>
                          </pic:cNvPicPr>
                        </pic:nvPicPr>
                        <pic:blipFill>
                          <a:blip r:embed="rId22"/>
                          <a:stretch>
                            <a:fillRect/>
                          </a:stretch>
                        </pic:blipFill>
                        <pic:spPr>
                          <a:xfrm>
                            <a:off x="0" y="0"/>
                            <a:ext cx="2668270" cy="878840"/>
                          </a:xfrm>
                          <a:prstGeom prst="rect">
                            <a:avLst/>
                          </a:prstGeom>
                          <a:noFill/>
                          <a:ln>
                            <a:noFill/>
                          </a:ln>
                        </pic:spPr>
                      </pic:pic>
                    </a:graphicData>
                  </a:graphic>
                </wp:inline>
              </w:drawing>
            </w:r>
          </w:p>
          <w:p w14:paraId="51722BC9">
            <w:pPr>
              <w:adjustRightInd w:val="0"/>
              <w:snapToGrid w:val="0"/>
              <w:spacing w:line="360" w:lineRule="auto"/>
              <w:ind w:firstLine="420" w:firstLineChars="200"/>
              <w:textAlignment w:val="center"/>
              <w:rPr>
                <w:snapToGrid w:val="0"/>
                <w:color w:val="auto"/>
                <w:kern w:val="0"/>
                <w:szCs w:val="21"/>
              </w:rPr>
            </w:pPr>
            <w:r>
              <w:rPr>
                <w:snapToGrid w:val="0"/>
                <w:color w:val="auto"/>
                <w:kern w:val="0"/>
                <w:szCs w:val="21"/>
              </w:rPr>
              <w:t>式中：</w:t>
            </w:r>
          </w:p>
          <w:p w14:paraId="50A5DCF2">
            <w:pPr>
              <w:adjustRightInd w:val="0"/>
              <w:snapToGrid w:val="0"/>
              <w:spacing w:line="360" w:lineRule="auto"/>
              <w:ind w:firstLine="420" w:firstLineChars="200"/>
              <w:jc w:val="center"/>
              <w:textAlignment w:val="center"/>
              <w:rPr>
                <w:snapToGrid w:val="0"/>
                <w:color w:val="auto"/>
                <w:kern w:val="0"/>
                <w:szCs w:val="21"/>
              </w:rPr>
            </w:pPr>
            <w:r>
              <w:rPr>
                <w:snapToGrid w:val="0"/>
                <w:color w:val="auto"/>
                <w:kern w:val="0"/>
                <w:szCs w:val="21"/>
              </w:rPr>
              <w:drawing>
                <wp:inline distT="0" distB="0" distL="114300" distR="114300">
                  <wp:extent cx="3108325" cy="1308735"/>
                  <wp:effectExtent l="0" t="0" r="15875" b="5715"/>
                  <wp:docPr id="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3"/>
                          <pic:cNvPicPr>
                            <a:picLocks noChangeAspect="1"/>
                          </pic:cNvPicPr>
                        </pic:nvPicPr>
                        <pic:blipFill>
                          <a:blip r:embed="rId23"/>
                          <a:stretch>
                            <a:fillRect/>
                          </a:stretch>
                        </pic:blipFill>
                        <pic:spPr>
                          <a:xfrm>
                            <a:off x="0" y="0"/>
                            <a:ext cx="3108325" cy="1308735"/>
                          </a:xfrm>
                          <a:prstGeom prst="rect">
                            <a:avLst/>
                          </a:prstGeom>
                          <a:noFill/>
                          <a:ln>
                            <a:noFill/>
                          </a:ln>
                        </pic:spPr>
                      </pic:pic>
                    </a:graphicData>
                  </a:graphic>
                </wp:inline>
              </w:drawing>
            </w:r>
          </w:p>
          <w:p w14:paraId="76C97E38">
            <w:pPr>
              <w:adjustRightInd w:val="0"/>
              <w:snapToGrid w:val="0"/>
              <w:spacing w:line="360" w:lineRule="auto"/>
              <w:ind w:firstLine="480" w:firstLineChars="200"/>
              <w:rPr>
                <w:bCs/>
                <w:snapToGrid w:val="0"/>
                <w:color w:val="auto"/>
                <w:kern w:val="0"/>
                <w:sz w:val="24"/>
                <w:szCs w:val="24"/>
              </w:rPr>
            </w:pPr>
            <w:r>
              <w:rPr>
                <w:bCs/>
                <w:snapToGrid w:val="0"/>
                <w:color w:val="auto"/>
                <w:kern w:val="0"/>
                <w:sz w:val="24"/>
                <w:szCs w:val="24"/>
              </w:rPr>
              <w:t>本项目燃生物质量为</w:t>
            </w:r>
            <w:r>
              <w:rPr>
                <w:rFonts w:hint="eastAsia"/>
                <w:bCs/>
                <w:snapToGrid w:val="0"/>
                <w:color w:val="auto"/>
                <w:kern w:val="0"/>
                <w:sz w:val="24"/>
                <w:szCs w:val="24"/>
                <w:lang w:val="en-US" w:eastAsia="zh-CN"/>
              </w:rPr>
              <w:t>1530</w:t>
            </w:r>
            <w:r>
              <w:rPr>
                <w:bCs/>
                <w:snapToGrid w:val="0"/>
                <w:color w:val="auto"/>
                <w:kern w:val="0"/>
                <w:sz w:val="24"/>
                <w:szCs w:val="24"/>
              </w:rPr>
              <w:t>/a，Aar为3.71%，d</w:t>
            </w:r>
            <w:r>
              <w:rPr>
                <w:bCs/>
                <w:snapToGrid w:val="0"/>
                <w:color w:val="auto"/>
                <w:kern w:val="0"/>
                <w:sz w:val="24"/>
                <w:szCs w:val="24"/>
                <w:vertAlign w:val="subscript"/>
              </w:rPr>
              <w:t>fh</w:t>
            </w:r>
            <w:r>
              <w:rPr>
                <w:bCs/>
                <w:snapToGrid w:val="0"/>
                <w:color w:val="auto"/>
                <w:kern w:val="0"/>
                <w:sz w:val="24"/>
                <w:szCs w:val="24"/>
              </w:rPr>
              <w:t>为40%，除尘效率为99.</w:t>
            </w:r>
            <w:r>
              <w:rPr>
                <w:rFonts w:hint="eastAsia"/>
                <w:bCs/>
                <w:snapToGrid w:val="0"/>
                <w:color w:val="auto"/>
                <w:kern w:val="0"/>
                <w:sz w:val="24"/>
                <w:szCs w:val="24"/>
                <w:lang w:val="en-US" w:eastAsia="zh-CN"/>
              </w:rPr>
              <w:t>6</w:t>
            </w:r>
            <w:r>
              <w:rPr>
                <w:bCs/>
                <w:snapToGrid w:val="0"/>
                <w:color w:val="auto"/>
                <w:kern w:val="0"/>
                <w:sz w:val="24"/>
                <w:szCs w:val="24"/>
              </w:rPr>
              <w:t>%，C</w:t>
            </w:r>
            <w:r>
              <w:rPr>
                <w:bCs/>
                <w:snapToGrid w:val="0"/>
                <w:color w:val="auto"/>
                <w:kern w:val="0"/>
                <w:sz w:val="24"/>
                <w:szCs w:val="24"/>
                <w:vertAlign w:val="subscript"/>
              </w:rPr>
              <w:t>fh</w:t>
            </w:r>
            <w:r>
              <w:rPr>
                <w:bCs/>
                <w:snapToGrid w:val="0"/>
                <w:color w:val="auto"/>
                <w:kern w:val="0"/>
                <w:sz w:val="24"/>
                <w:szCs w:val="24"/>
              </w:rPr>
              <w:t>为1</w:t>
            </w:r>
            <w:r>
              <w:rPr>
                <w:rFonts w:hint="eastAsia"/>
                <w:bCs/>
                <w:snapToGrid w:val="0"/>
                <w:color w:val="auto"/>
                <w:kern w:val="0"/>
                <w:sz w:val="24"/>
                <w:szCs w:val="24"/>
                <w:lang w:val="en-US" w:eastAsia="zh-CN"/>
              </w:rPr>
              <w:t>1</w:t>
            </w:r>
            <w:r>
              <w:rPr>
                <w:bCs/>
                <w:snapToGrid w:val="0"/>
                <w:color w:val="auto"/>
                <w:kern w:val="0"/>
                <w:sz w:val="24"/>
                <w:szCs w:val="24"/>
              </w:rPr>
              <w:t>%。</w:t>
            </w:r>
          </w:p>
          <w:p w14:paraId="5D36BA3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eastAsia="宋体"/>
                <w:color w:val="auto"/>
                <w:sz w:val="24"/>
                <w:lang w:val="en-US" w:eastAsia="zh-CN"/>
              </w:rPr>
            </w:pPr>
            <w:r>
              <w:rPr>
                <w:rFonts w:hint="eastAsia"/>
                <w:color w:val="auto"/>
                <w:sz w:val="24"/>
                <w:shd w:val="clear"/>
                <w:lang w:val="en-US" w:eastAsia="zh-CN"/>
              </w:rPr>
              <w:t>根据计算结果可知</w:t>
            </w:r>
            <w:r>
              <w:rPr>
                <w:color w:val="auto"/>
                <w:sz w:val="24"/>
                <w:shd w:val="clear"/>
              </w:rPr>
              <w:t>，</w:t>
            </w:r>
            <w:r>
              <w:rPr>
                <w:rFonts w:hint="eastAsia"/>
                <w:color w:val="auto"/>
                <w:sz w:val="24"/>
                <w:shd w:val="clear"/>
                <w:lang w:val="en-US" w:eastAsia="zh-CN"/>
              </w:rPr>
              <w:t>治理前</w:t>
            </w:r>
            <w:r>
              <w:rPr>
                <w:color w:val="auto"/>
                <w:sz w:val="24"/>
                <w:shd w:val="clear"/>
              </w:rPr>
              <w:t>本项目</w:t>
            </w:r>
            <w:r>
              <w:rPr>
                <w:rFonts w:hint="eastAsia"/>
                <w:color w:val="auto"/>
                <w:sz w:val="24"/>
                <w:shd w:val="clear"/>
                <w:lang w:val="en-US" w:eastAsia="zh-CN"/>
              </w:rPr>
              <w:t>颗粒物</w:t>
            </w:r>
            <w:r>
              <w:rPr>
                <w:rFonts w:hint="eastAsia"/>
                <w:color w:val="auto"/>
                <w:sz w:val="24"/>
                <w:lang w:val="en-US" w:eastAsia="zh-CN"/>
              </w:rPr>
              <w:t>（</w:t>
            </w:r>
            <w:r>
              <w:rPr>
                <w:color w:val="auto"/>
                <w:sz w:val="24"/>
              </w:rPr>
              <w:t>烟尘</w:t>
            </w:r>
            <w:r>
              <w:rPr>
                <w:rFonts w:hint="eastAsia"/>
                <w:color w:val="auto"/>
                <w:sz w:val="24"/>
                <w:lang w:val="en-US" w:eastAsia="zh-CN"/>
              </w:rPr>
              <w:t>）</w:t>
            </w:r>
            <w:r>
              <w:rPr>
                <w:color w:val="auto"/>
                <w:sz w:val="24"/>
              </w:rPr>
              <w:t>产生量为</w:t>
            </w:r>
            <w:r>
              <w:rPr>
                <w:rFonts w:hint="eastAsia"/>
                <w:color w:val="auto"/>
                <w:sz w:val="24"/>
                <w:lang w:val="en-US" w:eastAsia="zh-CN"/>
              </w:rPr>
              <w:t>25.51t</w:t>
            </w:r>
            <w:r>
              <w:rPr>
                <w:color w:val="auto"/>
                <w:sz w:val="24"/>
              </w:rPr>
              <w:t>/a</w:t>
            </w:r>
            <w:r>
              <w:rPr>
                <w:rFonts w:hint="eastAsia"/>
                <w:color w:val="auto"/>
                <w:sz w:val="24"/>
                <w:vertAlign w:val="baseline"/>
                <w:lang w:eastAsia="zh-CN"/>
              </w:rPr>
              <w:t>，</w:t>
            </w:r>
            <w:r>
              <w:rPr>
                <w:rFonts w:hint="eastAsia"/>
                <w:color w:val="auto"/>
                <w:sz w:val="24"/>
                <w:lang w:val="en-US" w:eastAsia="zh-CN"/>
              </w:rPr>
              <w:t>排放速率为11.81kg/h，排放</w:t>
            </w:r>
            <w:r>
              <w:rPr>
                <w:color w:val="auto"/>
                <w:sz w:val="24"/>
              </w:rPr>
              <w:t>浓度为</w:t>
            </w:r>
            <w:r>
              <w:rPr>
                <w:rFonts w:hint="eastAsia"/>
                <w:color w:val="auto"/>
                <w:sz w:val="24"/>
                <w:lang w:val="en-US" w:eastAsia="zh-CN"/>
              </w:rPr>
              <w:t>3.18</w:t>
            </w:r>
            <w:r>
              <w:rPr>
                <w:color w:val="auto"/>
                <w:sz w:val="24"/>
              </w:rPr>
              <w:t>g/m</w:t>
            </w:r>
            <w:r>
              <w:rPr>
                <w:color w:val="auto"/>
                <w:sz w:val="24"/>
                <w:vertAlign w:val="superscript"/>
              </w:rPr>
              <w:t>3</w:t>
            </w:r>
            <w:r>
              <w:rPr>
                <w:rFonts w:hint="eastAsia"/>
                <w:color w:val="auto"/>
                <w:sz w:val="24"/>
                <w:lang w:val="en-US" w:eastAsia="zh-CN"/>
              </w:rPr>
              <w:t>。</w:t>
            </w:r>
          </w:p>
          <w:p w14:paraId="53576B1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highlight w:val="none"/>
                <w:lang w:val="en-US" w:eastAsia="zh-CN"/>
              </w:rPr>
            </w:pPr>
            <w:r>
              <w:rPr>
                <w:rFonts w:hint="eastAsia"/>
                <w:color w:val="auto"/>
                <w:sz w:val="24"/>
                <w:lang w:val="en-US" w:eastAsia="zh-CN"/>
              </w:rPr>
              <w:t>经过治理措施后，项目颗粒物排放量为0.10</w:t>
            </w:r>
            <w:r>
              <w:rPr>
                <w:color w:val="auto"/>
                <w:sz w:val="24"/>
              </w:rPr>
              <w:t>t/a</w:t>
            </w:r>
            <w:r>
              <w:rPr>
                <w:rFonts w:hint="eastAsia"/>
                <w:color w:val="auto"/>
                <w:sz w:val="24"/>
                <w:lang w:eastAsia="zh-CN"/>
              </w:rPr>
              <w:t>，</w:t>
            </w:r>
            <w:r>
              <w:rPr>
                <w:rFonts w:hint="eastAsia"/>
                <w:color w:val="auto"/>
                <w:sz w:val="24"/>
                <w:lang w:val="en-US" w:eastAsia="zh-CN"/>
              </w:rPr>
              <w:t>排放速率为0.05kg/h，排放</w:t>
            </w:r>
            <w:r>
              <w:rPr>
                <w:color w:val="auto"/>
                <w:sz w:val="24"/>
              </w:rPr>
              <w:t>浓度为</w:t>
            </w:r>
            <w:r>
              <w:rPr>
                <w:rFonts w:hint="eastAsia"/>
                <w:color w:val="auto"/>
                <w:sz w:val="24"/>
                <w:highlight w:val="none"/>
                <w:lang w:val="en-US" w:eastAsia="zh-CN"/>
              </w:rPr>
              <w:t>12.46</w:t>
            </w:r>
            <w:r>
              <w:rPr>
                <w:color w:val="auto"/>
                <w:sz w:val="24"/>
                <w:highlight w:val="none"/>
              </w:rPr>
              <w:t>mg/m</w:t>
            </w:r>
            <w:r>
              <w:rPr>
                <w:color w:val="auto"/>
                <w:sz w:val="24"/>
                <w:highlight w:val="none"/>
                <w:vertAlign w:val="superscript"/>
              </w:rPr>
              <w:t>3</w:t>
            </w:r>
            <w:r>
              <w:rPr>
                <w:rFonts w:hint="eastAsia"/>
                <w:color w:val="auto"/>
                <w:sz w:val="24"/>
                <w:highlight w:val="none"/>
                <w:lang w:val="en-US" w:eastAsia="zh-CN"/>
              </w:rPr>
              <w:t>。</w:t>
            </w:r>
          </w:p>
          <w:p w14:paraId="5B6DC3C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E、</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汞及其化合物</w:t>
            </w:r>
          </w:p>
          <w:p w14:paraId="3BD0604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highlight w:val="none"/>
                <w:lang w:val="en-US" w:eastAsia="zh-CN"/>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本项目燃烧生物质成型颗粒，</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分析报告中未给出汞的含量，根据《直接法测定固体生物质燃料中汞的试验研究》(煤质技术，2020年)可知，生物质汞含量为15.47ng/g，生物质燃料汞合量极低，故本次不考虑汞的排放。</w:t>
            </w:r>
          </w:p>
          <w:p w14:paraId="65D353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olor w:val="auto"/>
                <w:sz w:val="24"/>
                <w:highlight w:val="none"/>
                <w:lang w:val="en-US" w:eastAsia="zh-CN"/>
              </w:rPr>
            </w:pPr>
            <w:r>
              <w:rPr>
                <w:rFonts w:hint="eastAsia"/>
                <w:color w:val="auto"/>
                <w:sz w:val="24"/>
                <w:highlight w:val="none"/>
                <w:lang w:val="en-US" w:eastAsia="zh-CN"/>
              </w:rPr>
              <w:t>本项目锅炉污染物排放情况见下表。</w:t>
            </w:r>
          </w:p>
          <w:p w14:paraId="68C6E6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snapToGrid w:val="0"/>
                <w:color w:val="auto"/>
                <w:kern w:val="0"/>
                <w:sz w:val="24"/>
                <w:szCs w:val="24"/>
              </w:rPr>
            </w:pPr>
            <w:r>
              <w:rPr>
                <w:b/>
                <w:snapToGrid w:val="0"/>
                <w:color w:val="auto"/>
                <w:kern w:val="0"/>
                <w:sz w:val="24"/>
                <w:szCs w:val="24"/>
              </w:rPr>
              <w:t>表4-</w:t>
            </w:r>
            <w:r>
              <w:rPr>
                <w:rFonts w:hint="eastAsia"/>
                <w:b/>
                <w:snapToGrid w:val="0"/>
                <w:color w:val="auto"/>
                <w:kern w:val="0"/>
                <w:sz w:val="24"/>
                <w:szCs w:val="24"/>
                <w:lang w:val="en-US" w:eastAsia="zh-CN"/>
              </w:rPr>
              <w:t>3</w:t>
            </w:r>
            <w:r>
              <w:rPr>
                <w:b/>
                <w:snapToGrid w:val="0"/>
                <w:color w:val="auto"/>
                <w:kern w:val="0"/>
                <w:sz w:val="24"/>
                <w:szCs w:val="24"/>
              </w:rPr>
              <w:t xml:space="preserve">  锅炉污染物一览表</w:t>
            </w:r>
          </w:p>
          <w:tbl>
            <w:tblPr>
              <w:tblStyle w:val="31"/>
              <w:tblW w:w="4983"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01"/>
              <w:gridCol w:w="2207"/>
              <w:gridCol w:w="1617"/>
              <w:gridCol w:w="1575"/>
              <w:gridCol w:w="1519"/>
            </w:tblGrid>
            <w:tr w14:paraId="44C0CEE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2025" w:type="pct"/>
                  <w:gridSpan w:val="2"/>
                  <w:tcBorders>
                    <w:tl2br w:val="nil"/>
                    <w:tr2bl w:val="nil"/>
                  </w:tcBorders>
                  <w:noWrap w:val="0"/>
                  <w:vAlign w:val="center"/>
                </w:tcPr>
                <w:p w14:paraId="1236F2C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燃生物质量</w:t>
                  </w:r>
                  <w:r>
                    <w:rPr>
                      <w:rFonts w:hint="eastAsia" w:ascii="Times New Roman" w:hAnsi="Times New Roman" w:eastAsia="宋体" w:cs="Times New Roman"/>
                      <w:color w:val="auto"/>
                      <w:sz w:val="21"/>
                      <w:lang w:val="en-US" w:eastAsia="zh-CN"/>
                    </w:rPr>
                    <w:t>（</w:t>
                  </w:r>
                  <w:r>
                    <w:rPr>
                      <w:rFonts w:hint="default" w:ascii="Times New Roman" w:hAnsi="Times New Roman" w:eastAsia="宋体" w:cs="Times New Roman"/>
                      <w:color w:val="auto"/>
                      <w:sz w:val="21"/>
                      <w:lang w:val="en-US" w:eastAsia="zh-CN"/>
                    </w:rPr>
                    <w:t>t/a)</w:t>
                  </w:r>
                </w:p>
              </w:tc>
              <w:tc>
                <w:tcPr>
                  <w:tcW w:w="2974" w:type="pct"/>
                  <w:gridSpan w:val="3"/>
                  <w:tcBorders>
                    <w:tl2br w:val="nil"/>
                    <w:tr2bl w:val="nil"/>
                  </w:tcBorders>
                  <w:noWrap w:val="0"/>
                  <w:vAlign w:val="center"/>
                </w:tcPr>
                <w:p w14:paraId="1859EB5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1530</w:t>
                  </w:r>
                </w:p>
              </w:tc>
            </w:tr>
            <w:tr w14:paraId="7439EE3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8" w:hRule="atLeast"/>
                <w:jc w:val="center"/>
              </w:trPr>
              <w:tc>
                <w:tcPr>
                  <w:tcW w:w="2025" w:type="pct"/>
                  <w:gridSpan w:val="2"/>
                  <w:tcBorders>
                    <w:tl2br w:val="nil"/>
                    <w:tr2bl w:val="nil"/>
                  </w:tcBorders>
                  <w:noWrap w:val="0"/>
                  <w:vAlign w:val="center"/>
                </w:tcPr>
                <w:p w14:paraId="363FABC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废气量</w:t>
                  </w:r>
                  <w:r>
                    <w:rPr>
                      <w:rFonts w:hint="eastAsia" w:ascii="Times New Roman" w:hAnsi="Times New Roman" w:eastAsia="宋体" w:cs="Times New Roman"/>
                      <w:color w:val="auto"/>
                      <w:sz w:val="21"/>
                      <w:lang w:val="en-US" w:eastAsia="zh-CN"/>
                    </w:rPr>
                    <w:t>（</w:t>
                  </w:r>
                  <w:r>
                    <w:rPr>
                      <w:rFonts w:hint="default" w:ascii="Times New Roman" w:hAnsi="Times New Roman" w:eastAsia="宋体" w:cs="Times New Roman"/>
                      <w:color w:val="auto"/>
                      <w:sz w:val="21"/>
                      <w:lang w:val="en-US" w:eastAsia="zh-CN"/>
                    </w:rPr>
                    <w:t>m</w:t>
                  </w:r>
                  <w:r>
                    <w:rPr>
                      <w:rFonts w:hint="default" w:ascii="Times New Roman" w:hAnsi="Times New Roman" w:eastAsia="宋体" w:cs="Times New Roman"/>
                      <w:color w:val="auto"/>
                      <w:sz w:val="21"/>
                      <w:vertAlign w:val="superscript"/>
                      <w:lang w:val="en-US" w:eastAsia="zh-CN"/>
                    </w:rPr>
                    <w:t>3</w:t>
                  </w:r>
                  <w:r>
                    <w:rPr>
                      <w:rFonts w:hint="default" w:ascii="Times New Roman" w:hAnsi="Times New Roman" w:eastAsia="宋体" w:cs="Times New Roman"/>
                      <w:color w:val="auto"/>
                      <w:sz w:val="21"/>
                      <w:lang w:val="en-US" w:eastAsia="zh-CN"/>
                    </w:rPr>
                    <w:t>/</w:t>
                  </w:r>
                  <w:r>
                    <w:rPr>
                      <w:rFonts w:hint="eastAsia" w:cs="Times New Roman"/>
                      <w:color w:val="auto"/>
                      <w:sz w:val="21"/>
                      <w:lang w:val="en-US" w:eastAsia="zh-CN"/>
                    </w:rPr>
                    <w:t>h</w:t>
                  </w:r>
                  <w:r>
                    <w:rPr>
                      <w:rFonts w:hint="default" w:ascii="Times New Roman" w:hAnsi="Times New Roman" w:eastAsia="宋体" w:cs="Times New Roman"/>
                      <w:color w:val="auto"/>
                      <w:sz w:val="21"/>
                      <w:lang w:val="en-US" w:eastAsia="zh-CN"/>
                    </w:rPr>
                    <w:t>)</w:t>
                  </w:r>
                </w:p>
              </w:tc>
              <w:tc>
                <w:tcPr>
                  <w:tcW w:w="2974" w:type="pct"/>
                  <w:gridSpan w:val="3"/>
                  <w:tcBorders>
                    <w:tl2br w:val="nil"/>
                    <w:tr2bl w:val="nil"/>
                  </w:tcBorders>
                  <w:noWrap w:val="0"/>
                  <w:vAlign w:val="center"/>
                </w:tcPr>
                <w:p w14:paraId="29691B7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3714.91</w:t>
                  </w:r>
                </w:p>
              </w:tc>
            </w:tr>
            <w:tr w14:paraId="1406EEB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8" w:hRule="atLeast"/>
                <w:jc w:val="center"/>
              </w:trPr>
              <w:tc>
                <w:tcPr>
                  <w:tcW w:w="2025" w:type="pct"/>
                  <w:gridSpan w:val="2"/>
                  <w:tcBorders>
                    <w:tl2br w:val="nil"/>
                    <w:tr2bl w:val="nil"/>
                  </w:tcBorders>
                  <w:noWrap w:val="0"/>
                  <w:vAlign w:val="center"/>
                </w:tcPr>
                <w:p w14:paraId="3DA2741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污染物名称</w:t>
                  </w:r>
                </w:p>
              </w:tc>
              <w:tc>
                <w:tcPr>
                  <w:tcW w:w="1020" w:type="pct"/>
                  <w:tcBorders>
                    <w:tl2br w:val="nil"/>
                    <w:tr2bl w:val="nil"/>
                  </w:tcBorders>
                  <w:noWrap w:val="0"/>
                  <w:vAlign w:val="center"/>
                </w:tcPr>
                <w:p w14:paraId="5C3DB6C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颗粒物</w:t>
                  </w:r>
                </w:p>
              </w:tc>
              <w:tc>
                <w:tcPr>
                  <w:tcW w:w="994" w:type="pct"/>
                  <w:tcBorders>
                    <w:tl2br w:val="nil"/>
                    <w:tr2bl w:val="nil"/>
                  </w:tcBorders>
                  <w:noWrap w:val="0"/>
                  <w:vAlign w:val="center"/>
                </w:tcPr>
                <w:p w14:paraId="38531CC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SO</w:t>
                  </w:r>
                  <w:r>
                    <w:rPr>
                      <w:rFonts w:hint="default" w:ascii="Times New Roman" w:hAnsi="Times New Roman" w:eastAsia="宋体" w:cs="Times New Roman"/>
                      <w:color w:val="auto"/>
                      <w:sz w:val="21"/>
                      <w:vertAlign w:val="subscript"/>
                      <w:lang w:val="en-US" w:eastAsia="zh-CN"/>
                    </w:rPr>
                    <w:t>2</w:t>
                  </w:r>
                </w:p>
              </w:tc>
              <w:tc>
                <w:tcPr>
                  <w:tcW w:w="959" w:type="pct"/>
                  <w:tcBorders>
                    <w:tl2br w:val="nil"/>
                    <w:tr2bl w:val="nil"/>
                  </w:tcBorders>
                  <w:noWrap w:val="0"/>
                  <w:vAlign w:val="center"/>
                </w:tcPr>
                <w:p w14:paraId="43F4C71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NOx</w:t>
                  </w:r>
                </w:p>
              </w:tc>
            </w:tr>
            <w:tr w14:paraId="41A8A1A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5" w:hRule="atLeast"/>
                <w:jc w:val="center"/>
              </w:trPr>
              <w:tc>
                <w:tcPr>
                  <w:tcW w:w="632" w:type="pct"/>
                  <w:vMerge w:val="restart"/>
                  <w:tcBorders>
                    <w:tl2br w:val="nil"/>
                    <w:tr2bl w:val="nil"/>
                  </w:tcBorders>
                  <w:noWrap w:val="0"/>
                  <w:vAlign w:val="center"/>
                </w:tcPr>
                <w:p w14:paraId="7D7001A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产生</w:t>
                  </w:r>
                </w:p>
                <w:p w14:paraId="4720CC4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情况</w:t>
                  </w:r>
                </w:p>
              </w:tc>
              <w:tc>
                <w:tcPr>
                  <w:tcW w:w="1393" w:type="pct"/>
                  <w:tcBorders>
                    <w:tl2br w:val="nil"/>
                    <w:tr2bl w:val="nil"/>
                  </w:tcBorders>
                  <w:noWrap w:val="0"/>
                  <w:vAlign w:val="center"/>
                </w:tcPr>
                <w:p w14:paraId="095383C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产生量</w:t>
                  </w:r>
                  <w:r>
                    <w:rPr>
                      <w:rFonts w:hint="eastAsia" w:ascii="Times New Roman" w:hAnsi="Times New Roman" w:eastAsia="宋体" w:cs="Times New Roman"/>
                      <w:color w:val="auto"/>
                      <w:sz w:val="21"/>
                      <w:lang w:val="en-US" w:eastAsia="zh-CN"/>
                    </w:rPr>
                    <w:t>（</w:t>
                  </w:r>
                  <w:r>
                    <w:rPr>
                      <w:rFonts w:hint="default" w:ascii="Times New Roman" w:hAnsi="Times New Roman" w:eastAsia="宋体" w:cs="Times New Roman"/>
                      <w:color w:val="auto"/>
                      <w:sz w:val="21"/>
                      <w:lang w:val="en-US" w:eastAsia="zh-CN"/>
                    </w:rPr>
                    <w:t>t/a)</w:t>
                  </w:r>
                </w:p>
              </w:tc>
              <w:tc>
                <w:tcPr>
                  <w:tcW w:w="1020" w:type="pct"/>
                  <w:tcBorders>
                    <w:tl2br w:val="nil"/>
                    <w:tr2bl w:val="nil"/>
                  </w:tcBorders>
                  <w:noWrap w:val="0"/>
                  <w:vAlign w:val="center"/>
                </w:tcPr>
                <w:p w14:paraId="3E85E6A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25.51</w:t>
                  </w:r>
                </w:p>
              </w:tc>
              <w:tc>
                <w:tcPr>
                  <w:tcW w:w="994" w:type="pct"/>
                  <w:tcBorders>
                    <w:tl2br w:val="nil"/>
                    <w:tr2bl w:val="nil"/>
                  </w:tcBorders>
                  <w:noWrap w:val="0"/>
                  <w:vAlign w:val="center"/>
                </w:tcPr>
                <w:p w14:paraId="59B110D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0.</w:t>
                  </w:r>
                  <w:r>
                    <w:rPr>
                      <w:rFonts w:hint="eastAsia" w:cs="Times New Roman"/>
                      <w:color w:val="auto"/>
                      <w:sz w:val="21"/>
                      <w:lang w:val="en-US" w:eastAsia="zh-CN"/>
                    </w:rPr>
                    <w:t>33</w:t>
                  </w:r>
                </w:p>
              </w:tc>
              <w:tc>
                <w:tcPr>
                  <w:tcW w:w="959" w:type="pct"/>
                  <w:tcBorders>
                    <w:tl2br w:val="nil"/>
                    <w:tr2bl w:val="nil"/>
                  </w:tcBorders>
                  <w:noWrap w:val="0"/>
                  <w:vAlign w:val="center"/>
                </w:tcPr>
                <w:p w14:paraId="7AC3C38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1.56</w:t>
                  </w:r>
                </w:p>
              </w:tc>
            </w:tr>
            <w:tr w14:paraId="2BEBD4E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5" w:hRule="atLeast"/>
                <w:jc w:val="center"/>
              </w:trPr>
              <w:tc>
                <w:tcPr>
                  <w:tcW w:w="632" w:type="pct"/>
                  <w:vMerge w:val="continue"/>
                  <w:tcBorders>
                    <w:tl2br w:val="nil"/>
                    <w:tr2bl w:val="nil"/>
                  </w:tcBorders>
                  <w:noWrap w:val="0"/>
                  <w:vAlign w:val="center"/>
                </w:tcPr>
                <w:p w14:paraId="7AAD91B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1393" w:type="pct"/>
                  <w:tcBorders>
                    <w:tl2br w:val="nil"/>
                    <w:tr2bl w:val="nil"/>
                  </w:tcBorders>
                  <w:noWrap w:val="0"/>
                  <w:vAlign w:val="center"/>
                </w:tcPr>
                <w:p w14:paraId="22F0266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产生速率（kg/h）</w:t>
                  </w:r>
                </w:p>
              </w:tc>
              <w:tc>
                <w:tcPr>
                  <w:tcW w:w="1020" w:type="pct"/>
                  <w:tcBorders>
                    <w:tl2br w:val="nil"/>
                    <w:tr2bl w:val="nil"/>
                  </w:tcBorders>
                  <w:noWrap w:val="0"/>
                  <w:vAlign w:val="center"/>
                </w:tcPr>
                <w:p w14:paraId="1C5CC29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11.81</w:t>
                  </w:r>
                </w:p>
              </w:tc>
              <w:tc>
                <w:tcPr>
                  <w:tcW w:w="994" w:type="pct"/>
                  <w:tcBorders>
                    <w:tl2br w:val="nil"/>
                    <w:tr2bl w:val="nil"/>
                  </w:tcBorders>
                  <w:noWrap w:val="0"/>
                  <w:vAlign w:val="center"/>
                </w:tcPr>
                <w:p w14:paraId="0D645CA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0.</w:t>
                  </w:r>
                  <w:r>
                    <w:rPr>
                      <w:rFonts w:hint="eastAsia" w:cs="Times New Roman"/>
                      <w:color w:val="auto"/>
                      <w:sz w:val="21"/>
                      <w:lang w:val="en-US" w:eastAsia="zh-CN"/>
                    </w:rPr>
                    <w:t>15</w:t>
                  </w:r>
                </w:p>
              </w:tc>
              <w:tc>
                <w:tcPr>
                  <w:tcW w:w="959" w:type="pct"/>
                  <w:tcBorders>
                    <w:tl2br w:val="nil"/>
                    <w:tr2bl w:val="nil"/>
                  </w:tcBorders>
                  <w:noWrap w:val="0"/>
                  <w:vAlign w:val="center"/>
                </w:tcPr>
                <w:p w14:paraId="626126B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0.</w:t>
                  </w:r>
                  <w:r>
                    <w:rPr>
                      <w:rFonts w:hint="eastAsia" w:cs="Times New Roman"/>
                      <w:color w:val="auto"/>
                      <w:sz w:val="21"/>
                      <w:lang w:val="en-US" w:eastAsia="zh-CN"/>
                    </w:rPr>
                    <w:t>72</w:t>
                  </w:r>
                </w:p>
              </w:tc>
            </w:tr>
            <w:tr w14:paraId="452B3CF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1" w:hRule="atLeast"/>
                <w:jc w:val="center"/>
              </w:trPr>
              <w:tc>
                <w:tcPr>
                  <w:tcW w:w="632" w:type="pct"/>
                  <w:vMerge w:val="continue"/>
                  <w:tcBorders>
                    <w:tl2br w:val="nil"/>
                    <w:tr2bl w:val="nil"/>
                  </w:tcBorders>
                  <w:noWrap w:val="0"/>
                  <w:vAlign w:val="center"/>
                </w:tcPr>
                <w:p w14:paraId="48EE20C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1393" w:type="pct"/>
                  <w:tcBorders>
                    <w:tl2br w:val="nil"/>
                    <w:tr2bl w:val="nil"/>
                  </w:tcBorders>
                  <w:noWrap w:val="0"/>
                  <w:vAlign w:val="center"/>
                </w:tcPr>
                <w:p w14:paraId="42F555F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产生浓度</w:t>
                  </w:r>
                  <w:r>
                    <w:rPr>
                      <w:rFonts w:hint="eastAsia" w:ascii="Times New Roman" w:hAnsi="Times New Roman" w:eastAsia="宋体" w:cs="Times New Roman"/>
                      <w:color w:val="auto"/>
                      <w:sz w:val="21"/>
                      <w:lang w:val="en-US" w:eastAsia="zh-CN"/>
                    </w:rPr>
                    <w:t>（</w:t>
                  </w:r>
                  <w:r>
                    <w:rPr>
                      <w:rFonts w:hint="default" w:ascii="Times New Roman" w:hAnsi="Times New Roman" w:eastAsia="宋体" w:cs="Times New Roman"/>
                      <w:color w:val="auto"/>
                      <w:sz w:val="21"/>
                      <w:lang w:val="en-US" w:eastAsia="zh-CN"/>
                    </w:rPr>
                    <w:t>mg/m</w:t>
                  </w:r>
                  <w:r>
                    <w:rPr>
                      <w:rFonts w:hint="default" w:ascii="Times New Roman" w:hAnsi="Times New Roman" w:eastAsia="宋体" w:cs="Times New Roman"/>
                      <w:color w:val="auto"/>
                      <w:sz w:val="21"/>
                      <w:vertAlign w:val="superscript"/>
                      <w:lang w:val="en-US" w:eastAsia="zh-CN"/>
                    </w:rPr>
                    <w:t>3</w:t>
                  </w:r>
                  <w:r>
                    <w:rPr>
                      <w:rFonts w:hint="default" w:ascii="Times New Roman" w:hAnsi="Times New Roman" w:eastAsia="宋体" w:cs="Times New Roman"/>
                      <w:color w:val="auto"/>
                      <w:sz w:val="21"/>
                      <w:lang w:val="en-US" w:eastAsia="zh-CN"/>
                    </w:rPr>
                    <w:t>)</w:t>
                  </w:r>
                </w:p>
              </w:tc>
              <w:tc>
                <w:tcPr>
                  <w:tcW w:w="1020" w:type="pct"/>
                  <w:tcBorders>
                    <w:tl2br w:val="nil"/>
                    <w:tr2bl w:val="nil"/>
                  </w:tcBorders>
                  <w:noWrap w:val="0"/>
                  <w:vAlign w:val="center"/>
                </w:tcPr>
                <w:p w14:paraId="2487976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cs="Times New Roman"/>
                      <w:color w:val="auto"/>
                      <w:sz w:val="21"/>
                      <w:lang w:val="en-US" w:eastAsia="zh-CN"/>
                    </w:rPr>
                  </w:pPr>
                  <w:r>
                    <w:rPr>
                      <w:rFonts w:hint="eastAsia" w:cs="Times New Roman"/>
                      <w:color w:val="auto"/>
                      <w:sz w:val="21"/>
                      <w:lang w:val="en-US" w:eastAsia="zh-CN"/>
                    </w:rPr>
                    <w:t>3180</w:t>
                  </w:r>
                </w:p>
              </w:tc>
              <w:tc>
                <w:tcPr>
                  <w:tcW w:w="994" w:type="pct"/>
                  <w:tcBorders>
                    <w:tl2br w:val="nil"/>
                    <w:tr2bl w:val="nil"/>
                  </w:tcBorders>
                  <w:noWrap w:val="0"/>
                  <w:vAlign w:val="center"/>
                </w:tcPr>
                <w:p w14:paraId="48925CB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41.13</w:t>
                  </w:r>
                </w:p>
              </w:tc>
              <w:tc>
                <w:tcPr>
                  <w:tcW w:w="959" w:type="pct"/>
                  <w:tcBorders>
                    <w:tl2br w:val="nil"/>
                    <w:tr2bl w:val="nil"/>
                  </w:tcBorders>
                  <w:noWrap w:val="0"/>
                  <w:vAlign w:val="center"/>
                </w:tcPr>
                <w:p w14:paraId="5014151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194.41</w:t>
                  </w:r>
                </w:p>
              </w:tc>
            </w:tr>
            <w:tr w14:paraId="3B039C2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0" w:hRule="atLeast"/>
                <w:jc w:val="center"/>
              </w:trPr>
              <w:tc>
                <w:tcPr>
                  <w:tcW w:w="2025" w:type="pct"/>
                  <w:gridSpan w:val="2"/>
                  <w:tcBorders>
                    <w:tl2br w:val="nil"/>
                    <w:tr2bl w:val="nil"/>
                  </w:tcBorders>
                  <w:noWrap w:val="0"/>
                  <w:vAlign w:val="center"/>
                </w:tcPr>
                <w:p w14:paraId="16844A9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治理措施</w:t>
                  </w:r>
                </w:p>
              </w:tc>
              <w:tc>
                <w:tcPr>
                  <w:tcW w:w="2974" w:type="pct"/>
                  <w:gridSpan w:val="3"/>
                  <w:tcBorders>
                    <w:tl2br w:val="nil"/>
                    <w:tr2bl w:val="nil"/>
                  </w:tcBorders>
                  <w:noWrap w:val="0"/>
                  <w:vAlign w:val="center"/>
                </w:tcPr>
                <w:p w14:paraId="3EF826B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布袋</w:t>
                  </w:r>
                  <w:r>
                    <w:rPr>
                      <w:rFonts w:hint="eastAsia" w:cs="Times New Roman"/>
                      <w:color w:val="auto"/>
                      <w:sz w:val="21"/>
                      <w:lang w:val="en-US" w:eastAsia="zh-CN"/>
                    </w:rPr>
                    <w:t>除尘+30m烟囱</w:t>
                  </w:r>
                </w:p>
              </w:tc>
            </w:tr>
            <w:tr w14:paraId="7D85ADD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1" w:hRule="atLeast"/>
                <w:jc w:val="center"/>
              </w:trPr>
              <w:tc>
                <w:tcPr>
                  <w:tcW w:w="2025" w:type="pct"/>
                  <w:gridSpan w:val="2"/>
                  <w:tcBorders>
                    <w:tl2br w:val="nil"/>
                    <w:tr2bl w:val="nil"/>
                  </w:tcBorders>
                  <w:noWrap w:val="0"/>
                  <w:vAlign w:val="center"/>
                </w:tcPr>
                <w:p w14:paraId="2869109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治理效率</w:t>
                  </w:r>
                  <w:r>
                    <w:rPr>
                      <w:rFonts w:hint="eastAsia" w:ascii="Times New Roman" w:hAnsi="Times New Roman" w:eastAsia="宋体" w:cs="Times New Roman"/>
                      <w:color w:val="auto"/>
                      <w:sz w:val="21"/>
                      <w:lang w:val="en-US" w:eastAsia="zh-CN"/>
                    </w:rPr>
                    <w:t>（</w:t>
                  </w:r>
                  <w:r>
                    <w:rPr>
                      <w:rFonts w:hint="default" w:ascii="Times New Roman" w:hAnsi="Times New Roman" w:eastAsia="宋体" w:cs="Times New Roman"/>
                      <w:color w:val="auto"/>
                      <w:sz w:val="21"/>
                      <w:lang w:val="en-US" w:eastAsia="zh-CN"/>
                    </w:rPr>
                    <w:t>%)</w:t>
                  </w:r>
                </w:p>
              </w:tc>
              <w:tc>
                <w:tcPr>
                  <w:tcW w:w="1020" w:type="pct"/>
                  <w:tcBorders>
                    <w:tl2br w:val="nil"/>
                    <w:tr2bl w:val="nil"/>
                  </w:tcBorders>
                  <w:noWrap w:val="0"/>
                  <w:vAlign w:val="center"/>
                </w:tcPr>
                <w:p w14:paraId="76F5ED7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99.</w:t>
                  </w:r>
                  <w:r>
                    <w:rPr>
                      <w:rFonts w:hint="eastAsia" w:cs="Times New Roman"/>
                      <w:color w:val="auto"/>
                      <w:sz w:val="21"/>
                      <w:lang w:val="en-US" w:eastAsia="zh-CN"/>
                    </w:rPr>
                    <w:t>6</w:t>
                  </w:r>
                </w:p>
              </w:tc>
              <w:tc>
                <w:tcPr>
                  <w:tcW w:w="994" w:type="pct"/>
                  <w:tcBorders>
                    <w:tl2br w:val="nil"/>
                    <w:tr2bl w:val="nil"/>
                  </w:tcBorders>
                  <w:noWrap w:val="0"/>
                  <w:vAlign w:val="center"/>
                </w:tcPr>
                <w:p w14:paraId="5D24CBB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0</w:t>
                  </w:r>
                </w:p>
              </w:tc>
              <w:tc>
                <w:tcPr>
                  <w:tcW w:w="959" w:type="pct"/>
                  <w:tcBorders>
                    <w:tl2br w:val="nil"/>
                    <w:tr2bl w:val="nil"/>
                  </w:tcBorders>
                  <w:noWrap w:val="0"/>
                  <w:vAlign w:val="center"/>
                </w:tcPr>
                <w:p w14:paraId="54BD7CB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0</w:t>
                  </w:r>
                </w:p>
              </w:tc>
            </w:tr>
            <w:tr w14:paraId="3C393F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7" w:hRule="atLeast"/>
                <w:jc w:val="center"/>
              </w:trPr>
              <w:tc>
                <w:tcPr>
                  <w:tcW w:w="632" w:type="pct"/>
                  <w:vMerge w:val="restart"/>
                  <w:tcBorders>
                    <w:tl2br w:val="nil"/>
                    <w:tr2bl w:val="nil"/>
                  </w:tcBorders>
                  <w:noWrap w:val="0"/>
                  <w:vAlign w:val="center"/>
                </w:tcPr>
                <w:p w14:paraId="6FA08BE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排放</w:t>
                  </w:r>
                </w:p>
                <w:p w14:paraId="2B54FC0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情况</w:t>
                  </w:r>
                </w:p>
              </w:tc>
              <w:tc>
                <w:tcPr>
                  <w:tcW w:w="1393" w:type="pct"/>
                  <w:tcBorders>
                    <w:tl2br w:val="nil"/>
                    <w:tr2bl w:val="nil"/>
                  </w:tcBorders>
                  <w:noWrap w:val="0"/>
                  <w:vAlign w:val="center"/>
                </w:tcPr>
                <w:p w14:paraId="2CDEB25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排放量</w:t>
                  </w:r>
                  <w:r>
                    <w:rPr>
                      <w:rFonts w:hint="eastAsia" w:ascii="Times New Roman" w:hAnsi="Times New Roman" w:eastAsia="宋体" w:cs="Times New Roman"/>
                      <w:color w:val="auto"/>
                      <w:sz w:val="21"/>
                      <w:lang w:val="en-US" w:eastAsia="zh-CN"/>
                    </w:rPr>
                    <w:t>（</w:t>
                  </w:r>
                  <w:r>
                    <w:rPr>
                      <w:rFonts w:hint="default" w:ascii="Times New Roman" w:hAnsi="Times New Roman" w:eastAsia="宋体" w:cs="Times New Roman"/>
                      <w:color w:val="auto"/>
                      <w:sz w:val="21"/>
                      <w:lang w:val="en-US" w:eastAsia="zh-CN"/>
                    </w:rPr>
                    <w:t>t/a)</w:t>
                  </w:r>
                </w:p>
              </w:tc>
              <w:tc>
                <w:tcPr>
                  <w:tcW w:w="1020" w:type="pct"/>
                  <w:tcBorders>
                    <w:tl2br w:val="nil"/>
                    <w:tr2bl w:val="nil"/>
                  </w:tcBorders>
                  <w:noWrap w:val="0"/>
                  <w:vAlign w:val="center"/>
                </w:tcPr>
                <w:p w14:paraId="3D2B606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0.</w:t>
                  </w:r>
                  <w:r>
                    <w:rPr>
                      <w:rFonts w:hint="eastAsia" w:cs="Times New Roman"/>
                      <w:color w:val="auto"/>
                      <w:sz w:val="21"/>
                      <w:lang w:val="en-US" w:eastAsia="zh-CN"/>
                    </w:rPr>
                    <w:t>10</w:t>
                  </w:r>
                </w:p>
              </w:tc>
              <w:tc>
                <w:tcPr>
                  <w:tcW w:w="994" w:type="pct"/>
                  <w:tcBorders>
                    <w:tl2br w:val="nil"/>
                    <w:tr2bl w:val="nil"/>
                  </w:tcBorders>
                  <w:shd w:val="clear" w:color="auto" w:fill="auto"/>
                  <w:noWrap w:val="0"/>
                  <w:vAlign w:val="center"/>
                </w:tcPr>
                <w:p w14:paraId="2ABD897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lang w:val="en-US" w:eastAsia="zh-CN"/>
                    </w:rPr>
                    <w:t>0.</w:t>
                  </w:r>
                  <w:r>
                    <w:rPr>
                      <w:rFonts w:hint="eastAsia" w:cs="Times New Roman"/>
                      <w:color w:val="auto"/>
                      <w:sz w:val="21"/>
                      <w:lang w:val="en-US" w:eastAsia="zh-CN"/>
                    </w:rPr>
                    <w:t>33</w:t>
                  </w:r>
                </w:p>
              </w:tc>
              <w:tc>
                <w:tcPr>
                  <w:tcW w:w="959" w:type="pct"/>
                  <w:tcBorders>
                    <w:tl2br w:val="nil"/>
                    <w:tr2bl w:val="nil"/>
                  </w:tcBorders>
                  <w:shd w:val="clear" w:color="auto" w:fill="auto"/>
                  <w:noWrap w:val="0"/>
                  <w:vAlign w:val="center"/>
                </w:tcPr>
                <w:p w14:paraId="0C367AF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1.56</w:t>
                  </w:r>
                </w:p>
              </w:tc>
            </w:tr>
            <w:tr w14:paraId="0CFCD7B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2" w:hRule="atLeast"/>
                <w:jc w:val="center"/>
              </w:trPr>
              <w:tc>
                <w:tcPr>
                  <w:tcW w:w="632" w:type="pct"/>
                  <w:vMerge w:val="continue"/>
                  <w:tcBorders>
                    <w:tl2br w:val="nil"/>
                    <w:tr2bl w:val="nil"/>
                  </w:tcBorders>
                  <w:noWrap w:val="0"/>
                  <w:vAlign w:val="center"/>
                </w:tcPr>
                <w:p w14:paraId="3C3AAA7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1393" w:type="pct"/>
                  <w:tcBorders>
                    <w:tl2br w:val="nil"/>
                    <w:tr2bl w:val="nil"/>
                  </w:tcBorders>
                  <w:noWrap w:val="0"/>
                  <w:vAlign w:val="center"/>
                </w:tcPr>
                <w:p w14:paraId="56E7B4F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排放速率（kg/h）</w:t>
                  </w:r>
                </w:p>
              </w:tc>
              <w:tc>
                <w:tcPr>
                  <w:tcW w:w="1020" w:type="pct"/>
                  <w:tcBorders>
                    <w:tl2br w:val="nil"/>
                    <w:tr2bl w:val="nil"/>
                  </w:tcBorders>
                  <w:noWrap w:val="0"/>
                  <w:vAlign w:val="center"/>
                </w:tcPr>
                <w:p w14:paraId="79A0365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0.0</w:t>
                  </w:r>
                  <w:r>
                    <w:rPr>
                      <w:rFonts w:hint="eastAsia" w:cs="Times New Roman"/>
                      <w:color w:val="auto"/>
                      <w:sz w:val="21"/>
                      <w:lang w:val="en-US" w:eastAsia="zh-CN"/>
                    </w:rPr>
                    <w:t>5</w:t>
                  </w:r>
                </w:p>
              </w:tc>
              <w:tc>
                <w:tcPr>
                  <w:tcW w:w="994" w:type="pct"/>
                  <w:tcBorders>
                    <w:tl2br w:val="nil"/>
                    <w:tr2bl w:val="nil"/>
                  </w:tcBorders>
                  <w:shd w:val="clear" w:color="auto" w:fill="auto"/>
                  <w:noWrap w:val="0"/>
                  <w:vAlign w:val="center"/>
                </w:tcPr>
                <w:p w14:paraId="5913D5D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lang w:val="en-US" w:eastAsia="zh-CN"/>
                    </w:rPr>
                    <w:t>0.</w:t>
                  </w:r>
                  <w:r>
                    <w:rPr>
                      <w:rFonts w:hint="eastAsia" w:cs="Times New Roman"/>
                      <w:color w:val="auto"/>
                      <w:sz w:val="21"/>
                      <w:lang w:val="en-US" w:eastAsia="zh-CN"/>
                    </w:rPr>
                    <w:t>15</w:t>
                  </w:r>
                </w:p>
              </w:tc>
              <w:tc>
                <w:tcPr>
                  <w:tcW w:w="959" w:type="pct"/>
                  <w:tcBorders>
                    <w:tl2br w:val="nil"/>
                    <w:tr2bl w:val="nil"/>
                  </w:tcBorders>
                  <w:shd w:val="clear" w:color="auto" w:fill="auto"/>
                  <w:noWrap w:val="0"/>
                  <w:vAlign w:val="center"/>
                </w:tcPr>
                <w:p w14:paraId="2EFF542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0.</w:t>
                  </w:r>
                  <w:r>
                    <w:rPr>
                      <w:rFonts w:hint="eastAsia" w:cs="Times New Roman"/>
                      <w:color w:val="auto"/>
                      <w:sz w:val="21"/>
                      <w:lang w:val="en-US" w:eastAsia="zh-CN"/>
                    </w:rPr>
                    <w:t>72</w:t>
                  </w:r>
                </w:p>
              </w:tc>
            </w:tr>
            <w:tr w14:paraId="30B04B4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2" w:hRule="atLeast"/>
                <w:jc w:val="center"/>
              </w:trPr>
              <w:tc>
                <w:tcPr>
                  <w:tcW w:w="632" w:type="pct"/>
                  <w:vMerge w:val="continue"/>
                  <w:tcBorders>
                    <w:tl2br w:val="nil"/>
                    <w:tr2bl w:val="nil"/>
                  </w:tcBorders>
                  <w:noWrap w:val="0"/>
                  <w:vAlign w:val="center"/>
                </w:tcPr>
                <w:p w14:paraId="37FBD99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1393" w:type="pct"/>
                  <w:tcBorders>
                    <w:tl2br w:val="nil"/>
                    <w:tr2bl w:val="nil"/>
                  </w:tcBorders>
                  <w:noWrap w:val="0"/>
                  <w:vAlign w:val="center"/>
                </w:tcPr>
                <w:p w14:paraId="36F5F02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排放浓度</w:t>
                  </w:r>
                  <w:r>
                    <w:rPr>
                      <w:rFonts w:hint="eastAsia" w:ascii="Times New Roman" w:hAnsi="Times New Roman" w:eastAsia="宋体" w:cs="Times New Roman"/>
                      <w:color w:val="auto"/>
                      <w:sz w:val="21"/>
                      <w:lang w:val="en-US" w:eastAsia="zh-CN"/>
                    </w:rPr>
                    <w:t>（</w:t>
                  </w:r>
                  <w:r>
                    <w:rPr>
                      <w:rFonts w:hint="default" w:ascii="Times New Roman" w:hAnsi="Times New Roman" w:eastAsia="宋体" w:cs="Times New Roman"/>
                      <w:color w:val="auto"/>
                      <w:sz w:val="21"/>
                      <w:lang w:val="en-US" w:eastAsia="zh-CN"/>
                    </w:rPr>
                    <w:t>mg/m</w:t>
                  </w:r>
                  <w:r>
                    <w:rPr>
                      <w:rFonts w:hint="default" w:ascii="Times New Roman" w:hAnsi="Times New Roman" w:eastAsia="宋体" w:cs="Times New Roman"/>
                      <w:color w:val="auto"/>
                      <w:sz w:val="21"/>
                      <w:vertAlign w:val="superscript"/>
                      <w:lang w:val="en-US" w:eastAsia="zh-CN"/>
                    </w:rPr>
                    <w:t>3</w:t>
                  </w:r>
                  <w:r>
                    <w:rPr>
                      <w:rFonts w:hint="default" w:ascii="Times New Roman" w:hAnsi="Times New Roman" w:eastAsia="宋体" w:cs="Times New Roman"/>
                      <w:color w:val="auto"/>
                      <w:sz w:val="21"/>
                      <w:lang w:val="en-US" w:eastAsia="zh-CN"/>
                    </w:rPr>
                    <w:t>)</w:t>
                  </w:r>
                </w:p>
              </w:tc>
              <w:tc>
                <w:tcPr>
                  <w:tcW w:w="1020" w:type="pct"/>
                  <w:tcBorders>
                    <w:tl2br w:val="nil"/>
                    <w:tr2bl w:val="nil"/>
                  </w:tcBorders>
                  <w:noWrap w:val="0"/>
                  <w:vAlign w:val="center"/>
                </w:tcPr>
                <w:p w14:paraId="152ECBF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12.46</w:t>
                  </w:r>
                </w:p>
              </w:tc>
              <w:tc>
                <w:tcPr>
                  <w:tcW w:w="994" w:type="pct"/>
                  <w:tcBorders>
                    <w:tl2br w:val="nil"/>
                    <w:tr2bl w:val="nil"/>
                  </w:tcBorders>
                  <w:shd w:val="clear" w:color="auto" w:fill="auto"/>
                  <w:noWrap w:val="0"/>
                  <w:vAlign w:val="center"/>
                </w:tcPr>
                <w:p w14:paraId="57438B0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cs="Times New Roman"/>
                      <w:color w:val="auto"/>
                      <w:sz w:val="21"/>
                      <w:lang w:val="en-US" w:eastAsia="zh-CN"/>
                    </w:rPr>
                    <w:t>41.13</w:t>
                  </w:r>
                </w:p>
              </w:tc>
              <w:tc>
                <w:tcPr>
                  <w:tcW w:w="959" w:type="pct"/>
                  <w:tcBorders>
                    <w:tl2br w:val="nil"/>
                    <w:tr2bl w:val="nil"/>
                  </w:tcBorders>
                  <w:shd w:val="clear" w:color="auto" w:fill="auto"/>
                  <w:noWrap w:val="0"/>
                  <w:vAlign w:val="center"/>
                </w:tcPr>
                <w:p w14:paraId="2BF1190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194.41</w:t>
                  </w:r>
                </w:p>
              </w:tc>
            </w:tr>
            <w:tr w14:paraId="39F1C64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6" w:hRule="atLeast"/>
                <w:jc w:val="center"/>
              </w:trPr>
              <w:tc>
                <w:tcPr>
                  <w:tcW w:w="2025" w:type="pct"/>
                  <w:gridSpan w:val="2"/>
                  <w:tcBorders>
                    <w:tl2br w:val="nil"/>
                    <w:tr2bl w:val="nil"/>
                  </w:tcBorders>
                  <w:noWrap w:val="0"/>
                  <w:vAlign w:val="center"/>
                </w:tcPr>
                <w:p w14:paraId="25A0887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标准值</w:t>
                  </w:r>
                  <w:r>
                    <w:rPr>
                      <w:rFonts w:hint="eastAsia" w:ascii="Times New Roman" w:hAnsi="Times New Roman" w:eastAsia="宋体" w:cs="Times New Roman"/>
                      <w:color w:val="auto"/>
                      <w:sz w:val="21"/>
                      <w:lang w:val="en-US" w:eastAsia="zh-CN"/>
                    </w:rPr>
                    <w:t>（</w:t>
                  </w:r>
                  <w:r>
                    <w:rPr>
                      <w:rFonts w:hint="default" w:ascii="Times New Roman" w:hAnsi="Times New Roman" w:eastAsia="宋体" w:cs="Times New Roman"/>
                      <w:color w:val="auto"/>
                      <w:sz w:val="21"/>
                      <w:lang w:val="en-US" w:eastAsia="zh-CN"/>
                    </w:rPr>
                    <w:t>mg/m</w:t>
                  </w:r>
                  <w:r>
                    <w:rPr>
                      <w:rFonts w:hint="default" w:ascii="Times New Roman" w:hAnsi="Times New Roman" w:eastAsia="宋体" w:cs="Times New Roman"/>
                      <w:color w:val="auto"/>
                      <w:sz w:val="21"/>
                      <w:vertAlign w:val="superscript"/>
                      <w:lang w:val="en-US" w:eastAsia="zh-CN"/>
                    </w:rPr>
                    <w:t>3</w:t>
                  </w:r>
                  <w:r>
                    <w:rPr>
                      <w:rFonts w:hint="default" w:ascii="Times New Roman" w:hAnsi="Times New Roman" w:eastAsia="宋体" w:cs="Times New Roman"/>
                      <w:color w:val="auto"/>
                      <w:sz w:val="21"/>
                      <w:lang w:val="en-US" w:eastAsia="zh-CN"/>
                    </w:rPr>
                    <w:t>)</w:t>
                  </w:r>
                </w:p>
              </w:tc>
              <w:tc>
                <w:tcPr>
                  <w:tcW w:w="1020" w:type="pct"/>
                  <w:tcBorders>
                    <w:tl2br w:val="nil"/>
                    <w:tr2bl w:val="nil"/>
                  </w:tcBorders>
                  <w:noWrap w:val="0"/>
                  <w:vAlign w:val="center"/>
                </w:tcPr>
                <w:p w14:paraId="3BD9DF3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50</w:t>
                  </w:r>
                </w:p>
              </w:tc>
              <w:tc>
                <w:tcPr>
                  <w:tcW w:w="994" w:type="pct"/>
                  <w:tcBorders>
                    <w:tl2br w:val="nil"/>
                    <w:tr2bl w:val="nil"/>
                  </w:tcBorders>
                  <w:noWrap w:val="0"/>
                  <w:vAlign w:val="center"/>
                </w:tcPr>
                <w:p w14:paraId="584B40D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300</w:t>
                  </w:r>
                </w:p>
              </w:tc>
              <w:tc>
                <w:tcPr>
                  <w:tcW w:w="959" w:type="pct"/>
                  <w:tcBorders>
                    <w:tl2br w:val="nil"/>
                    <w:tr2bl w:val="nil"/>
                  </w:tcBorders>
                  <w:noWrap w:val="0"/>
                  <w:vAlign w:val="center"/>
                </w:tcPr>
                <w:p w14:paraId="03B3020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lang w:val="en-US" w:eastAsia="zh-CN"/>
                    </w:rPr>
                    <w:t>300</w:t>
                  </w:r>
                </w:p>
              </w:tc>
            </w:tr>
            <w:tr w14:paraId="1549CA9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2025" w:type="pct"/>
                  <w:gridSpan w:val="2"/>
                  <w:tcBorders>
                    <w:tl2br w:val="nil"/>
                    <w:tr2bl w:val="nil"/>
                  </w:tcBorders>
                  <w:noWrap w:val="0"/>
                  <w:vAlign w:val="center"/>
                </w:tcPr>
                <w:p w14:paraId="1D969CC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排放类型</w:t>
                  </w:r>
                </w:p>
              </w:tc>
              <w:tc>
                <w:tcPr>
                  <w:tcW w:w="1020" w:type="pct"/>
                  <w:tcBorders>
                    <w:tl2br w:val="nil"/>
                    <w:tr2bl w:val="nil"/>
                  </w:tcBorders>
                  <w:noWrap w:val="0"/>
                  <w:vAlign w:val="center"/>
                </w:tcPr>
                <w:p w14:paraId="58D7411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连续</w:t>
                  </w:r>
                </w:p>
              </w:tc>
              <w:tc>
                <w:tcPr>
                  <w:tcW w:w="994" w:type="pct"/>
                  <w:tcBorders>
                    <w:tl2br w:val="nil"/>
                    <w:tr2bl w:val="nil"/>
                  </w:tcBorders>
                  <w:noWrap w:val="0"/>
                  <w:vAlign w:val="center"/>
                </w:tcPr>
                <w:p w14:paraId="39167EB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连续</w:t>
                  </w:r>
                </w:p>
              </w:tc>
              <w:tc>
                <w:tcPr>
                  <w:tcW w:w="959" w:type="pct"/>
                  <w:tcBorders>
                    <w:tl2br w:val="nil"/>
                    <w:tr2bl w:val="nil"/>
                  </w:tcBorders>
                  <w:noWrap w:val="0"/>
                  <w:vAlign w:val="center"/>
                </w:tcPr>
                <w:p w14:paraId="1CF9F50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lang w:val="en-US" w:eastAsia="zh-CN"/>
                    </w:rPr>
                    <w:t>连续</w:t>
                  </w:r>
                </w:p>
              </w:tc>
            </w:tr>
          </w:tbl>
          <w:p w14:paraId="762DCC68">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本项目生物质专用锅炉安装布袋除尘器，属于可行技术，锅炉废气经布袋除尘器处理后，排放的颗粒物、SO</w:t>
            </w:r>
            <w:r>
              <w:rPr>
                <w:rFonts w:hint="default"/>
                <w:bCs/>
                <w:snapToGrid w:val="0"/>
                <w:color w:val="auto"/>
                <w:kern w:val="0"/>
                <w:sz w:val="24"/>
                <w:szCs w:val="24"/>
                <w:vertAlign w:val="subscript"/>
                <w:lang w:val="en-US" w:eastAsia="zh-CN"/>
              </w:rPr>
              <w:t>2</w:t>
            </w:r>
            <w:r>
              <w:rPr>
                <w:rFonts w:hint="default"/>
                <w:bCs/>
                <w:snapToGrid w:val="0"/>
                <w:color w:val="auto"/>
                <w:kern w:val="0"/>
                <w:sz w:val="24"/>
                <w:szCs w:val="24"/>
                <w:lang w:val="en-US" w:eastAsia="zh-CN"/>
              </w:rPr>
              <w:t>、NO</w:t>
            </w:r>
            <w:r>
              <w:rPr>
                <w:rFonts w:hint="default"/>
                <w:bCs/>
                <w:snapToGrid w:val="0"/>
                <w:color w:val="auto"/>
                <w:kern w:val="0"/>
                <w:sz w:val="24"/>
                <w:szCs w:val="24"/>
                <w:vertAlign w:val="subscript"/>
                <w:lang w:val="en-US" w:eastAsia="zh-CN"/>
              </w:rPr>
              <w:t>X</w:t>
            </w:r>
            <w:r>
              <w:rPr>
                <w:rFonts w:hint="default"/>
                <w:bCs/>
                <w:snapToGrid w:val="0"/>
                <w:color w:val="auto"/>
                <w:kern w:val="0"/>
                <w:sz w:val="24"/>
                <w:szCs w:val="24"/>
                <w:lang w:val="en-US" w:eastAsia="zh-CN"/>
              </w:rPr>
              <w:t>浓度</w:t>
            </w:r>
            <w:r>
              <w:rPr>
                <w:rFonts w:hint="eastAsia"/>
                <w:bCs/>
                <w:snapToGrid w:val="0"/>
                <w:color w:val="auto"/>
                <w:kern w:val="0"/>
                <w:sz w:val="24"/>
                <w:szCs w:val="24"/>
                <w:lang w:val="en-US" w:eastAsia="zh-CN"/>
              </w:rPr>
              <w:t>均</w:t>
            </w:r>
            <w:r>
              <w:rPr>
                <w:rFonts w:hint="default"/>
                <w:bCs/>
                <w:snapToGrid w:val="0"/>
                <w:color w:val="auto"/>
                <w:kern w:val="0"/>
                <w:sz w:val="24"/>
                <w:szCs w:val="24"/>
                <w:lang w:val="en-US" w:eastAsia="zh-CN"/>
              </w:rPr>
              <w:t>满足《锅炉大气污染物排放标准》（GB13271-2014）中表2要求（颗粒物浓度≤50mg/m</w:t>
            </w:r>
            <w:r>
              <w:rPr>
                <w:rFonts w:hint="default"/>
                <w:bCs/>
                <w:snapToGrid w:val="0"/>
                <w:color w:val="auto"/>
                <w:kern w:val="0"/>
                <w:sz w:val="24"/>
                <w:szCs w:val="24"/>
                <w:vertAlign w:val="superscript"/>
                <w:lang w:val="en-US" w:eastAsia="zh-CN"/>
              </w:rPr>
              <w:t>3</w:t>
            </w:r>
            <w:r>
              <w:rPr>
                <w:rFonts w:hint="default"/>
                <w:bCs/>
                <w:snapToGrid w:val="0"/>
                <w:color w:val="auto"/>
                <w:kern w:val="0"/>
                <w:sz w:val="24"/>
                <w:szCs w:val="24"/>
                <w:lang w:val="en-US" w:eastAsia="zh-CN"/>
              </w:rPr>
              <w:t>，SO</w:t>
            </w:r>
            <w:r>
              <w:rPr>
                <w:rFonts w:hint="default"/>
                <w:bCs/>
                <w:snapToGrid w:val="0"/>
                <w:color w:val="auto"/>
                <w:kern w:val="0"/>
                <w:sz w:val="24"/>
                <w:szCs w:val="24"/>
                <w:vertAlign w:val="subscript"/>
                <w:lang w:val="en-US" w:eastAsia="zh-CN"/>
              </w:rPr>
              <w:t>2</w:t>
            </w:r>
            <w:r>
              <w:rPr>
                <w:rFonts w:hint="default"/>
                <w:bCs/>
                <w:snapToGrid w:val="0"/>
                <w:color w:val="auto"/>
                <w:kern w:val="0"/>
                <w:sz w:val="24"/>
                <w:szCs w:val="24"/>
                <w:lang w:val="en-US" w:eastAsia="zh-CN"/>
              </w:rPr>
              <w:t>浓度≤300mg/m</w:t>
            </w:r>
            <w:r>
              <w:rPr>
                <w:rFonts w:hint="default"/>
                <w:bCs/>
                <w:snapToGrid w:val="0"/>
                <w:color w:val="auto"/>
                <w:kern w:val="0"/>
                <w:sz w:val="24"/>
                <w:szCs w:val="24"/>
                <w:vertAlign w:val="superscript"/>
                <w:lang w:val="en-US" w:eastAsia="zh-CN"/>
              </w:rPr>
              <w:t>3</w:t>
            </w:r>
            <w:r>
              <w:rPr>
                <w:rFonts w:hint="default"/>
                <w:bCs/>
                <w:snapToGrid w:val="0"/>
                <w:color w:val="auto"/>
                <w:kern w:val="0"/>
                <w:sz w:val="24"/>
                <w:szCs w:val="24"/>
                <w:lang w:val="en-US" w:eastAsia="zh-CN"/>
              </w:rPr>
              <w:t>，NOx浓度≤300mg/m</w:t>
            </w:r>
            <w:r>
              <w:rPr>
                <w:rFonts w:hint="default"/>
                <w:bCs/>
                <w:snapToGrid w:val="0"/>
                <w:color w:val="auto"/>
                <w:kern w:val="0"/>
                <w:sz w:val="24"/>
                <w:szCs w:val="24"/>
                <w:vertAlign w:val="superscript"/>
                <w:lang w:val="en-US" w:eastAsia="zh-CN"/>
              </w:rPr>
              <w:t>3</w:t>
            </w:r>
            <w:r>
              <w:rPr>
                <w:rFonts w:hint="default"/>
                <w:bCs/>
                <w:snapToGrid w:val="0"/>
                <w:color w:val="auto"/>
                <w:kern w:val="0"/>
                <w:sz w:val="24"/>
                <w:szCs w:val="24"/>
                <w:lang w:val="en-US" w:eastAsia="zh-CN"/>
              </w:rPr>
              <w:t>），本项目运营期锅炉废气对周围大气环境影响较小。</w:t>
            </w:r>
          </w:p>
          <w:p w14:paraId="720DFF28">
            <w:pPr>
              <w:adjustRightInd w:val="0"/>
              <w:snapToGrid w:val="0"/>
              <w:spacing w:line="360" w:lineRule="auto"/>
              <w:ind w:firstLine="480" w:firstLineChars="200"/>
              <w:rPr>
                <w:rFonts w:hint="default"/>
                <w:bCs/>
                <w:snapToGrid w:val="0"/>
                <w:color w:val="auto"/>
                <w:kern w:val="0"/>
                <w:sz w:val="24"/>
                <w:szCs w:val="24"/>
                <w:highlight w:val="none"/>
                <w:lang w:val="en-US" w:eastAsia="zh-CN"/>
              </w:rPr>
            </w:pPr>
            <w:r>
              <w:rPr>
                <w:rFonts w:hint="default"/>
                <w:bCs/>
                <w:snapToGrid w:val="0"/>
                <w:color w:val="auto"/>
                <w:kern w:val="0"/>
                <w:sz w:val="24"/>
                <w:szCs w:val="24"/>
                <w:highlight w:val="none"/>
                <w:lang w:val="en-US" w:eastAsia="zh-CN"/>
              </w:rPr>
              <w:t>本项目燃料为生物质颗粒燃料，运输、存放及加料过程中产生的颗粒物较少，运营过程中定期洒水降尘；本项目灰渣库为密闭设置，仅在灰渣运输、清理过程中产生少量灰尘，本次评价要求，定期对灰渣库进行洒水降尘，对灰渣进行拌湿，减少运营过程中无组织污染的产生及排放，通过上述措施，本项目厂界无组织排放的颗粒物满足《大气污染物综合排放标准》（GB16297-1996）中规定的颗粒物无组织排放监控浓度限值（1.0mg/m</w:t>
            </w:r>
            <w:r>
              <w:rPr>
                <w:rFonts w:hint="default"/>
                <w:bCs/>
                <w:snapToGrid w:val="0"/>
                <w:color w:val="auto"/>
                <w:kern w:val="0"/>
                <w:sz w:val="24"/>
                <w:szCs w:val="24"/>
                <w:highlight w:val="none"/>
                <w:vertAlign w:val="superscript"/>
                <w:lang w:val="en-US" w:eastAsia="zh-CN"/>
              </w:rPr>
              <w:t>3</w:t>
            </w:r>
            <w:r>
              <w:rPr>
                <w:rFonts w:hint="default"/>
                <w:bCs/>
                <w:snapToGrid w:val="0"/>
                <w:color w:val="auto"/>
                <w:kern w:val="0"/>
                <w:sz w:val="24"/>
                <w:szCs w:val="24"/>
                <w:highlight w:val="none"/>
                <w:lang w:val="en-US" w:eastAsia="zh-CN"/>
              </w:rPr>
              <w:t>）要求，对周围环境影响较小。</w:t>
            </w:r>
          </w:p>
          <w:p w14:paraId="631F436F">
            <w:pPr>
              <w:adjustRightInd w:val="0"/>
              <w:snapToGrid w:val="0"/>
              <w:spacing w:line="360" w:lineRule="auto"/>
              <w:ind w:firstLine="482" w:firstLineChars="200"/>
              <w:rPr>
                <w:rFonts w:hint="default"/>
                <w:b/>
                <w:bCs w:val="0"/>
                <w:snapToGrid w:val="0"/>
                <w:color w:val="auto"/>
                <w:kern w:val="0"/>
                <w:sz w:val="24"/>
                <w:szCs w:val="24"/>
                <w:highlight w:val="none"/>
                <w:lang w:val="en-US" w:eastAsia="zh-CN"/>
              </w:rPr>
            </w:pPr>
            <w:r>
              <w:rPr>
                <w:rFonts w:hint="eastAsia"/>
                <w:b/>
                <w:bCs w:val="0"/>
                <w:snapToGrid w:val="0"/>
                <w:color w:val="auto"/>
                <w:kern w:val="0"/>
                <w:sz w:val="24"/>
                <w:szCs w:val="24"/>
                <w:highlight w:val="none"/>
                <w:lang w:val="en-US" w:eastAsia="zh-CN"/>
              </w:rPr>
              <w:t>2、</w:t>
            </w:r>
            <w:r>
              <w:rPr>
                <w:rFonts w:hint="default"/>
                <w:b/>
                <w:bCs w:val="0"/>
                <w:snapToGrid w:val="0"/>
                <w:color w:val="auto"/>
                <w:kern w:val="0"/>
                <w:sz w:val="24"/>
                <w:szCs w:val="24"/>
                <w:highlight w:val="none"/>
                <w:lang w:val="en-US" w:eastAsia="zh-CN"/>
              </w:rPr>
              <w:t>非正常工况分析</w:t>
            </w:r>
          </w:p>
          <w:p w14:paraId="6D5EDDE4">
            <w:pPr>
              <w:adjustRightInd w:val="0"/>
              <w:snapToGrid w:val="0"/>
              <w:spacing w:line="360" w:lineRule="auto"/>
              <w:ind w:firstLine="480" w:firstLineChars="200"/>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本项目锅炉烟气采用布袋除尘技术，非正常工况可预设为更换布袋，颗粒物收集效率降低，一般更换布袋</w:t>
            </w:r>
            <w:r>
              <w:rPr>
                <w:rFonts w:hint="eastAsia"/>
                <w:bCs/>
                <w:snapToGrid w:val="0"/>
                <w:color w:val="auto"/>
                <w:kern w:val="0"/>
                <w:sz w:val="24"/>
                <w:szCs w:val="24"/>
                <w:lang w:val="en-US" w:eastAsia="zh-CN"/>
              </w:rPr>
              <w:t>去除</w:t>
            </w:r>
            <w:r>
              <w:rPr>
                <w:rFonts w:hint="default"/>
                <w:bCs/>
                <w:snapToGrid w:val="0"/>
                <w:color w:val="auto"/>
                <w:kern w:val="0"/>
                <w:sz w:val="24"/>
                <w:szCs w:val="24"/>
                <w:lang w:val="en-US" w:eastAsia="zh-CN"/>
              </w:rPr>
              <w:t>效率会降至90%。由此，非正常工况下，颗粒物的排放速率</w:t>
            </w:r>
            <w:r>
              <w:rPr>
                <w:rFonts w:hint="eastAsia"/>
                <w:bCs/>
                <w:snapToGrid w:val="0"/>
                <w:color w:val="auto"/>
                <w:kern w:val="0"/>
                <w:sz w:val="24"/>
                <w:szCs w:val="24"/>
                <w:lang w:val="en-US" w:eastAsia="zh-CN"/>
              </w:rPr>
              <w:t>和</w:t>
            </w:r>
            <w:r>
              <w:rPr>
                <w:rFonts w:hint="default"/>
                <w:bCs/>
                <w:snapToGrid w:val="0"/>
                <w:color w:val="auto"/>
                <w:kern w:val="0"/>
                <w:sz w:val="24"/>
                <w:szCs w:val="24"/>
                <w:lang w:val="en-US" w:eastAsia="zh-CN"/>
              </w:rPr>
              <w:t>排放浓度超过了排放限值要求。</w:t>
            </w:r>
          </w:p>
          <w:p w14:paraId="27262F97">
            <w:pPr>
              <w:adjustRightInd w:val="0"/>
              <w:snapToGrid w:val="0"/>
              <w:spacing w:line="360" w:lineRule="auto"/>
              <w:ind w:firstLine="480" w:firstLineChars="200"/>
              <w:rPr>
                <w:rFonts w:hint="default"/>
                <w:bCs/>
                <w:snapToGrid w:val="0"/>
                <w:color w:val="auto"/>
                <w:kern w:val="0"/>
                <w:sz w:val="24"/>
                <w:szCs w:val="24"/>
                <w:lang w:val="en-US" w:eastAsia="zh-CN"/>
              </w:rPr>
            </w:pPr>
            <w:r>
              <w:rPr>
                <w:rFonts w:hint="eastAsia"/>
                <w:bCs/>
                <w:snapToGrid w:val="0"/>
                <w:color w:val="auto"/>
                <w:kern w:val="0"/>
                <w:sz w:val="24"/>
                <w:szCs w:val="24"/>
                <w:lang w:val="en-US" w:eastAsia="zh-CN"/>
              </w:rPr>
              <w:t>生产车间产生的非甲烷总烃</w:t>
            </w:r>
            <w:r>
              <w:rPr>
                <w:rFonts w:hint="default"/>
                <w:bCs/>
                <w:snapToGrid w:val="0"/>
                <w:color w:val="auto"/>
                <w:kern w:val="0"/>
                <w:sz w:val="24"/>
                <w:szCs w:val="24"/>
                <w:lang w:val="en-US" w:eastAsia="zh-CN"/>
              </w:rPr>
              <w:t>非正常工况</w:t>
            </w:r>
            <w:r>
              <w:rPr>
                <w:rFonts w:hint="eastAsia"/>
                <w:bCs/>
                <w:snapToGrid w:val="0"/>
                <w:color w:val="auto"/>
                <w:kern w:val="0"/>
                <w:sz w:val="24"/>
                <w:szCs w:val="24"/>
                <w:lang w:val="en-US" w:eastAsia="zh-CN"/>
              </w:rPr>
              <w:t>预设为活性炭吸附效率降低50%，</w:t>
            </w:r>
            <w:r>
              <w:rPr>
                <w:rFonts w:hint="default"/>
                <w:bCs/>
                <w:snapToGrid w:val="0"/>
                <w:color w:val="auto"/>
                <w:kern w:val="0"/>
                <w:sz w:val="24"/>
                <w:szCs w:val="24"/>
                <w:lang w:val="en-US" w:eastAsia="zh-CN"/>
              </w:rPr>
              <w:t>每年发生频次不超过1次，时间不超过1小时。由此，非正常工况下，</w:t>
            </w:r>
            <w:r>
              <w:rPr>
                <w:rFonts w:hint="eastAsia"/>
                <w:bCs/>
                <w:snapToGrid w:val="0"/>
                <w:color w:val="auto"/>
                <w:kern w:val="0"/>
                <w:sz w:val="24"/>
                <w:szCs w:val="24"/>
                <w:lang w:val="en-US" w:eastAsia="zh-CN"/>
              </w:rPr>
              <w:t>非甲烷总烃</w:t>
            </w:r>
            <w:r>
              <w:rPr>
                <w:rFonts w:hint="default"/>
                <w:bCs/>
                <w:snapToGrid w:val="0"/>
                <w:color w:val="auto"/>
                <w:kern w:val="0"/>
                <w:sz w:val="24"/>
                <w:szCs w:val="24"/>
                <w:lang w:val="en-US" w:eastAsia="zh-CN"/>
              </w:rPr>
              <w:t>的排放速率</w:t>
            </w:r>
            <w:r>
              <w:rPr>
                <w:rFonts w:hint="eastAsia"/>
                <w:bCs/>
                <w:snapToGrid w:val="0"/>
                <w:color w:val="auto"/>
                <w:kern w:val="0"/>
                <w:sz w:val="24"/>
                <w:szCs w:val="24"/>
                <w:lang w:val="en-US" w:eastAsia="zh-CN"/>
              </w:rPr>
              <w:t>和</w:t>
            </w:r>
            <w:r>
              <w:rPr>
                <w:rFonts w:hint="default"/>
                <w:bCs/>
                <w:snapToGrid w:val="0"/>
                <w:color w:val="auto"/>
                <w:kern w:val="0"/>
                <w:sz w:val="24"/>
                <w:szCs w:val="24"/>
                <w:lang w:val="en-US" w:eastAsia="zh-CN"/>
              </w:rPr>
              <w:t>排放浓度</w:t>
            </w:r>
            <w:r>
              <w:rPr>
                <w:rFonts w:hint="eastAsia"/>
                <w:bCs/>
                <w:snapToGrid w:val="0"/>
                <w:color w:val="auto"/>
                <w:kern w:val="0"/>
                <w:sz w:val="24"/>
                <w:szCs w:val="24"/>
                <w:lang w:val="en-US" w:eastAsia="zh-CN"/>
              </w:rPr>
              <w:t>均满足</w:t>
            </w:r>
            <w:r>
              <w:rPr>
                <w:rFonts w:hint="default"/>
                <w:bCs/>
                <w:snapToGrid w:val="0"/>
                <w:color w:val="auto"/>
                <w:kern w:val="0"/>
                <w:sz w:val="24"/>
                <w:szCs w:val="24"/>
                <w:lang w:val="en-US" w:eastAsia="zh-CN"/>
              </w:rPr>
              <w:t>排放限值要求。</w:t>
            </w:r>
          </w:p>
          <w:p w14:paraId="066773D3">
            <w:pPr>
              <w:adjustRightInd w:val="0"/>
              <w:snapToGrid w:val="0"/>
              <w:spacing w:line="360" w:lineRule="auto"/>
              <w:ind w:firstLine="480" w:firstLineChars="200"/>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本项目非正常工况污染物排放情况见下表。</w:t>
            </w:r>
          </w:p>
          <w:p w14:paraId="21F63D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表4-</w:t>
            </w:r>
            <w:r>
              <w:rPr>
                <w:rFonts w:hint="eastAsia" w:cs="Times New Roman"/>
                <w:b/>
                <w:bCs w:val="0"/>
                <w:color w:val="auto"/>
                <w:sz w:val="24"/>
                <w:szCs w:val="24"/>
                <w:highlight w:val="none"/>
                <w:lang w:val="en-US" w:eastAsia="zh-CN"/>
              </w:rPr>
              <w:t>4</w:t>
            </w:r>
            <w:r>
              <w:rPr>
                <w:rFonts w:hint="default" w:ascii="Times New Roman" w:hAnsi="Times New Roman" w:eastAsia="宋体" w:cs="Times New Roman"/>
                <w:b/>
                <w:bCs w:val="0"/>
                <w:color w:val="auto"/>
                <w:sz w:val="24"/>
                <w:szCs w:val="24"/>
                <w:highlight w:val="none"/>
                <w:lang w:val="en-US" w:eastAsia="zh-CN"/>
              </w:rPr>
              <w:t xml:space="preserve">  本项目生产过程非正常工况核算表</w:t>
            </w:r>
          </w:p>
          <w:tbl>
            <w:tblPr>
              <w:tblStyle w:val="32"/>
              <w:tblW w:w="4991"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8"/>
              <w:gridCol w:w="1151"/>
              <w:gridCol w:w="870"/>
              <w:gridCol w:w="973"/>
              <w:gridCol w:w="1030"/>
              <w:gridCol w:w="1084"/>
              <w:gridCol w:w="1037"/>
              <w:gridCol w:w="910"/>
            </w:tblGrid>
            <w:tr w14:paraId="28BC3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553" w:type="pct"/>
                  <w:tcBorders>
                    <w:tl2br w:val="nil"/>
                    <w:tr2bl w:val="nil"/>
                  </w:tcBorders>
                  <w:noWrap w:val="0"/>
                  <w:vAlign w:val="center"/>
                </w:tcPr>
                <w:p w14:paraId="1E5BC0D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排放源</w:t>
                  </w:r>
                </w:p>
              </w:tc>
              <w:tc>
                <w:tcPr>
                  <w:tcW w:w="725" w:type="pct"/>
                  <w:tcBorders>
                    <w:tl2br w:val="nil"/>
                    <w:tr2bl w:val="nil"/>
                  </w:tcBorders>
                  <w:noWrap w:val="0"/>
                  <w:vAlign w:val="center"/>
                </w:tcPr>
                <w:p w14:paraId="690E782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原因</w:t>
                  </w:r>
                </w:p>
              </w:tc>
              <w:tc>
                <w:tcPr>
                  <w:tcW w:w="548" w:type="pct"/>
                  <w:tcBorders>
                    <w:tl2br w:val="nil"/>
                    <w:tr2bl w:val="nil"/>
                  </w:tcBorders>
                  <w:noWrap w:val="0"/>
                  <w:vAlign w:val="center"/>
                </w:tcPr>
                <w:p w14:paraId="027181C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去除效率%</w:t>
                  </w:r>
                </w:p>
              </w:tc>
              <w:tc>
                <w:tcPr>
                  <w:tcW w:w="613" w:type="pct"/>
                  <w:tcBorders>
                    <w:tl2br w:val="nil"/>
                    <w:tr2bl w:val="nil"/>
                  </w:tcBorders>
                  <w:noWrap w:val="0"/>
                  <w:vAlign w:val="center"/>
                </w:tcPr>
                <w:p w14:paraId="60B1F30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污染物</w:t>
                  </w:r>
                </w:p>
              </w:tc>
              <w:tc>
                <w:tcPr>
                  <w:tcW w:w="649" w:type="pct"/>
                  <w:tcBorders>
                    <w:tl2br w:val="nil"/>
                    <w:tr2bl w:val="nil"/>
                  </w:tcBorders>
                  <w:noWrap w:val="0"/>
                  <w:vAlign w:val="center"/>
                </w:tcPr>
                <w:p w14:paraId="1772644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排放速率/kg/h</w:t>
                  </w:r>
                </w:p>
              </w:tc>
              <w:tc>
                <w:tcPr>
                  <w:tcW w:w="683" w:type="pct"/>
                  <w:tcBorders>
                    <w:tl2br w:val="nil"/>
                    <w:tr2bl w:val="nil"/>
                  </w:tcBorders>
                  <w:noWrap w:val="0"/>
                  <w:vAlign w:val="center"/>
                </w:tcPr>
                <w:p w14:paraId="3439BB8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排放浓度/mg/m</w:t>
                  </w:r>
                  <w:r>
                    <w:rPr>
                      <w:rFonts w:hint="default" w:ascii="Times New Roman" w:hAnsi="Times New Roman" w:eastAsia="宋体" w:cs="Times New Roman"/>
                      <w:color w:val="auto"/>
                      <w:sz w:val="21"/>
                      <w:vertAlign w:val="superscript"/>
                      <w:lang w:val="en-US" w:eastAsia="zh-CN"/>
                    </w:rPr>
                    <w:t>3</w:t>
                  </w:r>
                </w:p>
              </w:tc>
              <w:tc>
                <w:tcPr>
                  <w:tcW w:w="653" w:type="pct"/>
                  <w:tcBorders>
                    <w:tl2br w:val="nil"/>
                    <w:tr2bl w:val="nil"/>
                  </w:tcBorders>
                  <w:noWrap w:val="0"/>
                  <w:vAlign w:val="center"/>
                </w:tcPr>
                <w:p w14:paraId="7C24993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单次持续时间/h</w:t>
                  </w:r>
                </w:p>
              </w:tc>
              <w:tc>
                <w:tcPr>
                  <w:tcW w:w="573" w:type="pct"/>
                  <w:tcBorders>
                    <w:tl2br w:val="nil"/>
                    <w:tr2bl w:val="nil"/>
                  </w:tcBorders>
                  <w:noWrap w:val="0"/>
                  <w:vAlign w:val="center"/>
                </w:tcPr>
                <w:p w14:paraId="77E3A23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年发生频次</w:t>
                  </w:r>
                </w:p>
              </w:tc>
            </w:tr>
            <w:tr w14:paraId="39D12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553" w:type="pct"/>
                  <w:tcBorders>
                    <w:tl2br w:val="nil"/>
                    <w:tr2bl w:val="nil"/>
                  </w:tcBorders>
                  <w:noWrap w:val="0"/>
                  <w:vAlign w:val="center"/>
                </w:tcPr>
                <w:p w14:paraId="7053E22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烟囱</w:t>
                  </w:r>
                  <w:r>
                    <w:rPr>
                      <w:rFonts w:hint="eastAsia" w:cs="Times New Roman"/>
                      <w:color w:val="auto"/>
                      <w:sz w:val="21"/>
                      <w:lang w:val="en-US" w:eastAsia="zh-CN"/>
                    </w:rPr>
                    <w:t>DA001</w:t>
                  </w:r>
                </w:p>
              </w:tc>
              <w:tc>
                <w:tcPr>
                  <w:tcW w:w="725" w:type="pct"/>
                  <w:tcBorders>
                    <w:tl2br w:val="nil"/>
                    <w:tr2bl w:val="nil"/>
                  </w:tcBorders>
                  <w:noWrap w:val="0"/>
                  <w:vAlign w:val="center"/>
                </w:tcPr>
                <w:p w14:paraId="1263A1E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更换布袋</w:t>
                  </w:r>
                </w:p>
              </w:tc>
              <w:tc>
                <w:tcPr>
                  <w:tcW w:w="548" w:type="pct"/>
                  <w:tcBorders>
                    <w:tl2br w:val="nil"/>
                    <w:tr2bl w:val="nil"/>
                  </w:tcBorders>
                  <w:noWrap w:val="0"/>
                  <w:vAlign w:val="center"/>
                </w:tcPr>
                <w:p w14:paraId="5746FB8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90</w:t>
                  </w:r>
                </w:p>
              </w:tc>
              <w:tc>
                <w:tcPr>
                  <w:tcW w:w="613" w:type="pct"/>
                  <w:tcBorders>
                    <w:tl2br w:val="nil"/>
                    <w:tr2bl w:val="nil"/>
                  </w:tcBorders>
                  <w:noWrap w:val="0"/>
                  <w:vAlign w:val="center"/>
                </w:tcPr>
                <w:p w14:paraId="20C89A0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颗粒物</w:t>
                  </w:r>
                </w:p>
              </w:tc>
              <w:tc>
                <w:tcPr>
                  <w:tcW w:w="649" w:type="pct"/>
                  <w:tcBorders>
                    <w:tl2br w:val="nil"/>
                    <w:tr2bl w:val="nil"/>
                  </w:tcBorders>
                  <w:noWrap w:val="0"/>
                  <w:vAlign w:val="center"/>
                </w:tcPr>
                <w:p w14:paraId="4F14E71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1.18</w:t>
                  </w:r>
                </w:p>
              </w:tc>
              <w:tc>
                <w:tcPr>
                  <w:tcW w:w="683" w:type="pct"/>
                  <w:tcBorders>
                    <w:tl2br w:val="nil"/>
                    <w:tr2bl w:val="nil"/>
                  </w:tcBorders>
                  <w:noWrap w:val="0"/>
                  <w:vAlign w:val="center"/>
                </w:tcPr>
                <w:p w14:paraId="3359545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317.79</w:t>
                  </w:r>
                </w:p>
              </w:tc>
              <w:tc>
                <w:tcPr>
                  <w:tcW w:w="653" w:type="pct"/>
                  <w:tcBorders>
                    <w:tl2br w:val="nil"/>
                    <w:tr2bl w:val="nil"/>
                  </w:tcBorders>
                  <w:noWrap w:val="0"/>
                  <w:vAlign w:val="center"/>
                </w:tcPr>
                <w:p w14:paraId="70DC29F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&lt;1</w:t>
                  </w:r>
                </w:p>
              </w:tc>
              <w:tc>
                <w:tcPr>
                  <w:tcW w:w="573" w:type="pct"/>
                  <w:tcBorders>
                    <w:tl2br w:val="nil"/>
                    <w:tr2bl w:val="nil"/>
                  </w:tcBorders>
                  <w:noWrap w:val="0"/>
                  <w:vAlign w:val="center"/>
                </w:tcPr>
                <w:p w14:paraId="5031265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1</w:t>
                  </w:r>
                </w:p>
              </w:tc>
            </w:tr>
            <w:tr w14:paraId="7AF75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553" w:type="pct"/>
                  <w:tcBorders>
                    <w:tl2br w:val="nil"/>
                    <w:tr2bl w:val="nil"/>
                  </w:tcBorders>
                  <w:noWrap w:val="0"/>
                  <w:vAlign w:val="center"/>
                </w:tcPr>
                <w:p w14:paraId="21F85F6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烟囱</w:t>
                  </w:r>
                  <w:r>
                    <w:rPr>
                      <w:rFonts w:hint="eastAsia" w:cs="Times New Roman"/>
                      <w:color w:val="auto"/>
                      <w:sz w:val="21"/>
                      <w:lang w:val="en-US" w:eastAsia="zh-CN"/>
                    </w:rPr>
                    <w:t>DA002</w:t>
                  </w:r>
                </w:p>
              </w:tc>
              <w:tc>
                <w:tcPr>
                  <w:tcW w:w="725" w:type="pct"/>
                  <w:tcBorders>
                    <w:tl2br w:val="nil"/>
                    <w:tr2bl w:val="nil"/>
                  </w:tcBorders>
                  <w:noWrap w:val="0"/>
                  <w:vAlign w:val="center"/>
                </w:tcPr>
                <w:p w14:paraId="1A92D5D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000000" w:themeColor="text1"/>
                      <w:spacing w:val="0"/>
                      <w:sz w:val="21"/>
                      <w:szCs w:val="21"/>
                      <w:highlight w:val="none"/>
                      <w:lang w:val="en-US" w:eastAsia="zh-CN"/>
                      <w14:textFill>
                        <w14:solidFill>
                          <w14:schemeClr w14:val="tx1"/>
                        </w14:solidFill>
                      </w14:textFill>
                    </w:rPr>
                    <w:t>活性炭吸附</w:t>
                  </w: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效率降低50%</w:t>
                  </w:r>
                </w:p>
              </w:tc>
              <w:tc>
                <w:tcPr>
                  <w:tcW w:w="548" w:type="pct"/>
                  <w:tcBorders>
                    <w:tl2br w:val="nil"/>
                    <w:tr2bl w:val="nil"/>
                  </w:tcBorders>
                  <w:noWrap w:val="0"/>
                  <w:vAlign w:val="center"/>
                </w:tcPr>
                <w:p w14:paraId="07F1928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40</w:t>
                  </w:r>
                </w:p>
              </w:tc>
              <w:tc>
                <w:tcPr>
                  <w:tcW w:w="613" w:type="pct"/>
                  <w:tcBorders>
                    <w:tl2br w:val="nil"/>
                    <w:tr2bl w:val="nil"/>
                  </w:tcBorders>
                  <w:noWrap w:val="0"/>
                  <w:vAlign w:val="center"/>
                </w:tcPr>
                <w:p w14:paraId="4EC7B0D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非甲烷总烃</w:t>
                  </w:r>
                </w:p>
              </w:tc>
              <w:tc>
                <w:tcPr>
                  <w:tcW w:w="649" w:type="pct"/>
                  <w:tcBorders>
                    <w:tl2br w:val="nil"/>
                    <w:tr2bl w:val="nil"/>
                  </w:tcBorders>
                  <w:noWrap w:val="0"/>
                  <w:vAlign w:val="center"/>
                </w:tcPr>
                <w:p w14:paraId="248D0B3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cs="Times New Roman"/>
                      <w:color w:val="auto"/>
                      <w:sz w:val="21"/>
                      <w:highlight w:val="green"/>
                      <w:lang w:val="en-US" w:eastAsia="zh-CN"/>
                    </w:rPr>
                  </w:pPr>
                  <w:r>
                    <w:rPr>
                      <w:rFonts w:hint="eastAsia" w:cs="Times New Roman"/>
                      <w:color w:val="auto"/>
                      <w:sz w:val="21"/>
                      <w:highlight w:val="none"/>
                      <w:lang w:val="en-US" w:eastAsia="zh-CN"/>
                    </w:rPr>
                    <w:t>0.07</w:t>
                  </w:r>
                </w:p>
              </w:tc>
              <w:tc>
                <w:tcPr>
                  <w:tcW w:w="683" w:type="pct"/>
                  <w:tcBorders>
                    <w:tl2br w:val="nil"/>
                    <w:tr2bl w:val="nil"/>
                  </w:tcBorders>
                  <w:noWrap w:val="0"/>
                  <w:vAlign w:val="center"/>
                </w:tcPr>
                <w:p w14:paraId="5AA1166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cs="Times New Roman"/>
                      <w:color w:val="auto"/>
                      <w:sz w:val="21"/>
                      <w:highlight w:val="none"/>
                      <w:lang w:val="en-US" w:eastAsia="zh-CN"/>
                    </w:rPr>
                  </w:pPr>
                  <w:r>
                    <w:rPr>
                      <w:rFonts w:hint="eastAsia" w:cs="Times New Roman"/>
                      <w:color w:val="auto"/>
                      <w:sz w:val="21"/>
                      <w:highlight w:val="none"/>
                      <w:lang w:val="en-US" w:eastAsia="zh-CN"/>
                    </w:rPr>
                    <w:t>21.84</w:t>
                  </w:r>
                </w:p>
              </w:tc>
              <w:tc>
                <w:tcPr>
                  <w:tcW w:w="653" w:type="pct"/>
                  <w:tcBorders>
                    <w:tl2br w:val="nil"/>
                    <w:tr2bl w:val="nil"/>
                  </w:tcBorders>
                  <w:shd w:val="clear" w:color="auto" w:fill="auto"/>
                  <w:noWrap w:val="0"/>
                  <w:vAlign w:val="center"/>
                </w:tcPr>
                <w:p w14:paraId="70B0956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z w:val="21"/>
                      <w:highlight w:val="none"/>
                      <w:lang w:val="en-US" w:eastAsia="zh-CN"/>
                    </w:rPr>
                    <w:t>&lt;1</w:t>
                  </w:r>
                </w:p>
              </w:tc>
              <w:tc>
                <w:tcPr>
                  <w:tcW w:w="573" w:type="pct"/>
                  <w:tcBorders>
                    <w:tl2br w:val="nil"/>
                    <w:tr2bl w:val="nil"/>
                  </w:tcBorders>
                  <w:shd w:val="clear" w:color="auto" w:fill="auto"/>
                  <w:noWrap w:val="0"/>
                  <w:vAlign w:val="center"/>
                </w:tcPr>
                <w:p w14:paraId="383C982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sz w:val="21"/>
                      <w:lang w:val="en-US" w:eastAsia="zh-CN"/>
                    </w:rPr>
                    <w:t>1</w:t>
                  </w:r>
                </w:p>
              </w:tc>
            </w:tr>
          </w:tbl>
          <w:p w14:paraId="63128001">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由上表可知，非正常工况下，单位时间内污染物排放量及排放浓度显著上升，超过了《锅炉大气污染物排放标准》（GB13271-2014）中表2的排放浓度限值，为不达标排放。</w:t>
            </w:r>
            <w:r>
              <w:rPr>
                <w:rFonts w:hint="eastAsia"/>
                <w:bCs/>
                <w:snapToGrid w:val="0"/>
                <w:color w:val="auto"/>
                <w:kern w:val="0"/>
                <w:sz w:val="24"/>
                <w:szCs w:val="24"/>
                <w:lang w:val="en-US" w:eastAsia="zh-CN"/>
              </w:rPr>
              <w:t>对非甲烷总烃的非正常排放情况满足</w:t>
            </w:r>
            <w:r>
              <w:rPr>
                <w:rFonts w:hint="default" w:ascii="Times New Roman" w:hAnsi="Times New Roman" w:eastAsia="宋体" w:cs="Times New Roman"/>
                <w:color w:val="auto"/>
                <w:sz w:val="24"/>
                <w:highlight w:val="none"/>
                <w:lang w:val="en-US" w:eastAsia="zh-CN"/>
              </w:rPr>
              <w:t>《大气污染物综合排放标准》（GB16297-1996）</w:t>
            </w:r>
            <w:r>
              <w:rPr>
                <w:rFonts w:hint="eastAsia"/>
                <w:bCs/>
                <w:snapToGrid w:val="0"/>
                <w:color w:val="auto"/>
                <w:kern w:val="0"/>
                <w:sz w:val="24"/>
                <w:szCs w:val="24"/>
                <w:lang w:val="en-US" w:eastAsia="zh-CN"/>
              </w:rPr>
              <w:t>排放限值，</w:t>
            </w:r>
            <w:r>
              <w:rPr>
                <w:rFonts w:hint="default"/>
                <w:bCs/>
                <w:snapToGrid w:val="0"/>
                <w:color w:val="auto"/>
                <w:kern w:val="0"/>
                <w:sz w:val="24"/>
                <w:szCs w:val="24"/>
                <w:lang w:val="en-US" w:eastAsia="zh-CN"/>
              </w:rPr>
              <w:t>但考虑</w:t>
            </w:r>
            <w:r>
              <w:rPr>
                <w:rFonts w:hint="eastAsia"/>
                <w:bCs/>
                <w:snapToGrid w:val="0"/>
                <w:color w:val="auto"/>
                <w:kern w:val="0"/>
                <w:sz w:val="24"/>
                <w:szCs w:val="24"/>
                <w:lang w:val="en-US" w:eastAsia="zh-CN"/>
              </w:rPr>
              <w:t>锅炉烟气</w:t>
            </w:r>
            <w:r>
              <w:rPr>
                <w:rFonts w:hint="default"/>
                <w:bCs/>
                <w:snapToGrid w:val="0"/>
                <w:color w:val="auto"/>
                <w:kern w:val="0"/>
                <w:sz w:val="24"/>
                <w:szCs w:val="24"/>
                <w:lang w:val="en-US" w:eastAsia="zh-CN"/>
              </w:rPr>
              <w:t>非正常工况发</w:t>
            </w:r>
            <w:r>
              <w:rPr>
                <w:rFonts w:hint="eastAsia"/>
                <w:bCs/>
                <w:snapToGrid w:val="0"/>
                <w:color w:val="auto"/>
                <w:kern w:val="0"/>
                <w:sz w:val="24"/>
                <w:szCs w:val="24"/>
                <w:lang w:val="en-US" w:eastAsia="zh-CN"/>
              </w:rPr>
              <w:t>生时</w:t>
            </w:r>
            <w:r>
              <w:rPr>
                <w:rFonts w:hint="default"/>
                <w:bCs/>
                <w:snapToGrid w:val="0"/>
                <w:color w:val="auto"/>
                <w:kern w:val="0"/>
                <w:sz w:val="24"/>
                <w:szCs w:val="24"/>
                <w:lang w:val="en-US" w:eastAsia="zh-CN"/>
              </w:rPr>
              <w:t>间短，频次低，瞬时的影响不会长期存在，且可随着时间消除</w:t>
            </w:r>
            <w:r>
              <w:rPr>
                <w:rFonts w:hint="eastAsia"/>
                <w:bCs/>
                <w:snapToGrid w:val="0"/>
                <w:color w:val="auto"/>
                <w:kern w:val="0"/>
                <w:sz w:val="24"/>
                <w:szCs w:val="24"/>
                <w:lang w:val="en-US" w:eastAsia="zh-CN"/>
              </w:rPr>
              <w:t>。</w:t>
            </w:r>
            <w:r>
              <w:rPr>
                <w:rFonts w:hint="default"/>
                <w:bCs/>
                <w:snapToGrid w:val="0"/>
                <w:color w:val="auto"/>
                <w:kern w:val="0"/>
                <w:sz w:val="24"/>
                <w:szCs w:val="24"/>
                <w:lang w:val="en-US" w:eastAsia="zh-CN"/>
              </w:rPr>
              <w:t>因此，从环保的角度来说，非正常工况时废气污染物造成的环境影响较小。</w:t>
            </w:r>
          </w:p>
          <w:p w14:paraId="1BEA35E0">
            <w:pPr>
              <w:adjustRightInd w:val="0"/>
              <w:snapToGrid w:val="0"/>
              <w:spacing w:line="360" w:lineRule="auto"/>
              <w:ind w:firstLine="482" w:firstLineChars="200"/>
              <w:rPr>
                <w:rFonts w:hint="default"/>
                <w:b/>
                <w:bCs w:val="0"/>
                <w:snapToGrid w:val="0"/>
                <w:color w:val="auto"/>
                <w:kern w:val="0"/>
                <w:sz w:val="24"/>
                <w:szCs w:val="24"/>
                <w:highlight w:val="none"/>
                <w:lang w:val="en-US" w:eastAsia="zh-CN"/>
              </w:rPr>
            </w:pPr>
            <w:r>
              <w:rPr>
                <w:rFonts w:hint="eastAsia"/>
                <w:b/>
                <w:bCs w:val="0"/>
                <w:snapToGrid w:val="0"/>
                <w:color w:val="auto"/>
                <w:kern w:val="0"/>
                <w:sz w:val="24"/>
                <w:szCs w:val="24"/>
                <w:highlight w:val="none"/>
                <w:lang w:val="en-US" w:eastAsia="zh-CN"/>
              </w:rPr>
              <w:t>3、</w:t>
            </w:r>
            <w:r>
              <w:rPr>
                <w:rFonts w:hint="default"/>
                <w:b/>
                <w:bCs w:val="0"/>
                <w:snapToGrid w:val="0"/>
                <w:color w:val="auto"/>
                <w:kern w:val="0"/>
                <w:sz w:val="24"/>
                <w:szCs w:val="24"/>
                <w:highlight w:val="none"/>
                <w:lang w:val="en-US" w:eastAsia="zh-CN"/>
              </w:rPr>
              <w:t>可行性技术分析</w:t>
            </w:r>
          </w:p>
          <w:p w14:paraId="16013D4B">
            <w:pPr>
              <w:adjustRightInd w:val="0"/>
              <w:snapToGrid w:val="0"/>
              <w:spacing w:line="360" w:lineRule="auto"/>
              <w:ind w:firstLine="480" w:firstLineChars="200"/>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项目生产工艺废气参照《排污许可证申请与核发技术规范人造板工业》（HJ 1032-2019）附录A 表A.1废气污染防治可行技术参考表</w:t>
            </w:r>
            <w:r>
              <w:rPr>
                <w:rFonts w:hint="eastAsia"/>
                <w:bCs/>
                <w:snapToGrid w:val="0"/>
                <w:color w:val="auto"/>
                <w:kern w:val="0"/>
                <w:sz w:val="24"/>
                <w:szCs w:val="24"/>
                <w:lang w:val="en-US" w:eastAsia="zh-CN"/>
              </w:rPr>
              <w:t>及</w:t>
            </w:r>
            <w:r>
              <w:rPr>
                <w:rFonts w:hint="default"/>
                <w:bCs/>
                <w:snapToGrid w:val="0"/>
                <w:color w:val="auto"/>
                <w:kern w:val="0"/>
                <w:sz w:val="24"/>
                <w:szCs w:val="24"/>
                <w:lang w:val="en-US" w:eastAsia="zh-CN"/>
              </w:rPr>
              <w:t>《排污许可证申请与核发技术规范 锅炉》（HJ953-2018），本项目废气处理措施如下表所示。</w:t>
            </w:r>
          </w:p>
          <w:p w14:paraId="39384E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表4-5 项目废气污染防治措施可行性对比分析一览表</w:t>
            </w:r>
          </w:p>
          <w:tbl>
            <w:tblPr>
              <w:tblStyle w:val="32"/>
              <w:tblW w:w="794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89"/>
              <w:gridCol w:w="1669"/>
              <w:gridCol w:w="2100"/>
              <w:gridCol w:w="1365"/>
              <w:gridCol w:w="1223"/>
            </w:tblGrid>
            <w:tr w14:paraId="47A15F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89" w:type="dxa"/>
                  <w:tcBorders>
                    <w:tl2br w:val="nil"/>
                    <w:tr2bl w:val="nil"/>
                  </w:tcBorders>
                  <w:vAlign w:val="center"/>
                </w:tcPr>
                <w:p w14:paraId="77E523D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废气产生环节</w:t>
                  </w:r>
                </w:p>
              </w:tc>
              <w:tc>
                <w:tcPr>
                  <w:tcW w:w="1669" w:type="dxa"/>
                  <w:tcBorders>
                    <w:tl2br w:val="nil"/>
                    <w:tr2bl w:val="nil"/>
                  </w:tcBorders>
                  <w:vAlign w:val="center"/>
                </w:tcPr>
                <w:p w14:paraId="2BDC350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污染物项目</w:t>
                  </w:r>
                </w:p>
              </w:tc>
              <w:tc>
                <w:tcPr>
                  <w:tcW w:w="2100" w:type="dxa"/>
                  <w:tcBorders>
                    <w:tl2br w:val="nil"/>
                    <w:tr2bl w:val="nil"/>
                  </w:tcBorders>
                  <w:vAlign w:val="center"/>
                </w:tcPr>
                <w:p w14:paraId="104A14C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可行技术</w:t>
                  </w:r>
                </w:p>
              </w:tc>
              <w:tc>
                <w:tcPr>
                  <w:tcW w:w="1365" w:type="dxa"/>
                  <w:tcBorders>
                    <w:tl2br w:val="nil"/>
                    <w:tr2bl w:val="nil"/>
                  </w:tcBorders>
                  <w:vAlign w:val="center"/>
                </w:tcPr>
                <w:p w14:paraId="7E3D031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本项目情况</w:t>
                  </w:r>
                </w:p>
              </w:tc>
              <w:tc>
                <w:tcPr>
                  <w:tcW w:w="1223" w:type="dxa"/>
                  <w:tcBorders>
                    <w:tl2br w:val="nil"/>
                    <w:tr2bl w:val="nil"/>
                  </w:tcBorders>
                  <w:vAlign w:val="center"/>
                </w:tcPr>
                <w:p w14:paraId="4DF0E87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对照结果</w:t>
                  </w:r>
                </w:p>
              </w:tc>
            </w:tr>
            <w:tr w14:paraId="77697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89" w:type="dxa"/>
                  <w:tcBorders>
                    <w:tl2br w:val="nil"/>
                    <w:tr2bl w:val="nil"/>
                  </w:tcBorders>
                  <w:vAlign w:val="center"/>
                </w:tcPr>
                <w:p w14:paraId="251F1E9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热压工段</w:t>
                  </w:r>
                </w:p>
              </w:tc>
              <w:tc>
                <w:tcPr>
                  <w:tcW w:w="1669" w:type="dxa"/>
                  <w:tcBorders>
                    <w:tl2br w:val="nil"/>
                    <w:tr2bl w:val="nil"/>
                  </w:tcBorders>
                  <w:vAlign w:val="center"/>
                </w:tcPr>
                <w:p w14:paraId="03AD286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非甲烷总烃</w:t>
                  </w:r>
                </w:p>
              </w:tc>
              <w:tc>
                <w:tcPr>
                  <w:tcW w:w="2100" w:type="dxa"/>
                  <w:tcBorders>
                    <w:tl2br w:val="nil"/>
                    <w:tr2bl w:val="nil"/>
                  </w:tcBorders>
                  <w:vAlign w:val="center"/>
                </w:tcPr>
                <w:p w14:paraId="44AEED1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焚烧、湿法静电除尘、活性炭吸附、RTO</w:t>
                  </w:r>
                </w:p>
              </w:tc>
              <w:tc>
                <w:tcPr>
                  <w:tcW w:w="1365" w:type="dxa"/>
                  <w:tcBorders>
                    <w:tl2br w:val="nil"/>
                    <w:tr2bl w:val="nil"/>
                  </w:tcBorders>
                  <w:vAlign w:val="center"/>
                </w:tcPr>
                <w:p w14:paraId="7DCDCE8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活性炭吸附</w:t>
                  </w:r>
                </w:p>
              </w:tc>
              <w:tc>
                <w:tcPr>
                  <w:tcW w:w="1223" w:type="dxa"/>
                  <w:tcBorders>
                    <w:tl2br w:val="nil"/>
                    <w:tr2bl w:val="nil"/>
                  </w:tcBorders>
                  <w:vAlign w:val="center"/>
                </w:tcPr>
                <w:p w14:paraId="6F4900B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满足</w:t>
                  </w:r>
                </w:p>
              </w:tc>
            </w:tr>
            <w:tr w14:paraId="012B1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89" w:type="dxa"/>
                  <w:tcBorders>
                    <w:tl2br w:val="nil"/>
                    <w:tr2bl w:val="nil"/>
                  </w:tcBorders>
                  <w:vAlign w:val="center"/>
                </w:tcPr>
                <w:p w14:paraId="7A0661B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锯切、分选工段</w:t>
                  </w:r>
                </w:p>
              </w:tc>
              <w:tc>
                <w:tcPr>
                  <w:tcW w:w="1669" w:type="dxa"/>
                  <w:tcBorders>
                    <w:tl2br w:val="nil"/>
                    <w:tr2bl w:val="nil"/>
                  </w:tcBorders>
                  <w:vAlign w:val="center"/>
                </w:tcPr>
                <w:p w14:paraId="3BB86F0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颗粒物</w:t>
                  </w:r>
                </w:p>
              </w:tc>
              <w:tc>
                <w:tcPr>
                  <w:tcW w:w="2100" w:type="dxa"/>
                  <w:tcBorders>
                    <w:tl2br w:val="nil"/>
                    <w:tr2bl w:val="nil"/>
                  </w:tcBorders>
                  <w:vAlign w:val="center"/>
                </w:tcPr>
                <w:p w14:paraId="3CAD05C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宋体" w:hAnsi="宋体" w:eastAsia="宋体"/>
                      <w:sz w:val="21"/>
                      <w:szCs w:val="24"/>
                    </w:rPr>
                    <w:t>旋风分离、布袋除尘</w:t>
                  </w:r>
                </w:p>
              </w:tc>
              <w:tc>
                <w:tcPr>
                  <w:tcW w:w="1365" w:type="dxa"/>
                  <w:tcBorders>
                    <w:tl2br w:val="nil"/>
                    <w:tr2bl w:val="nil"/>
                  </w:tcBorders>
                  <w:vAlign w:val="center"/>
                </w:tcPr>
                <w:p w14:paraId="590145D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旋风分离</w:t>
                  </w:r>
                </w:p>
              </w:tc>
              <w:tc>
                <w:tcPr>
                  <w:tcW w:w="1223" w:type="dxa"/>
                  <w:tcBorders>
                    <w:tl2br w:val="nil"/>
                    <w:tr2bl w:val="nil"/>
                  </w:tcBorders>
                  <w:vAlign w:val="center"/>
                </w:tcPr>
                <w:p w14:paraId="2048265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满足</w:t>
                  </w:r>
                </w:p>
              </w:tc>
            </w:tr>
            <w:tr w14:paraId="315E2D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89" w:type="dxa"/>
                  <w:tcBorders>
                    <w:tl2br w:val="nil"/>
                    <w:tr2bl w:val="nil"/>
                  </w:tcBorders>
                  <w:vAlign w:val="center"/>
                </w:tcPr>
                <w:p w14:paraId="7A66697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锅炉烟气</w:t>
                  </w:r>
                </w:p>
              </w:tc>
              <w:tc>
                <w:tcPr>
                  <w:tcW w:w="1669" w:type="dxa"/>
                  <w:tcBorders>
                    <w:tl2br w:val="nil"/>
                    <w:tr2bl w:val="nil"/>
                  </w:tcBorders>
                  <w:vAlign w:val="center"/>
                </w:tcPr>
                <w:p w14:paraId="1776E03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二氧化硫、氮氧化物、颗粒物、烟气黑度</w:t>
                  </w:r>
                </w:p>
              </w:tc>
              <w:tc>
                <w:tcPr>
                  <w:tcW w:w="2100" w:type="dxa"/>
                  <w:tcBorders>
                    <w:tl2br w:val="nil"/>
                    <w:tr2bl w:val="nil"/>
                  </w:tcBorders>
                  <w:vAlign w:val="center"/>
                </w:tcPr>
                <w:p w14:paraId="6153C6A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袋式除尘</w:t>
                  </w:r>
                </w:p>
              </w:tc>
              <w:tc>
                <w:tcPr>
                  <w:tcW w:w="1365" w:type="dxa"/>
                  <w:tcBorders>
                    <w:tl2br w:val="nil"/>
                    <w:tr2bl w:val="nil"/>
                  </w:tcBorders>
                  <w:vAlign w:val="center"/>
                </w:tcPr>
                <w:p w14:paraId="18F52CC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袋式除尘</w:t>
                  </w:r>
                </w:p>
              </w:tc>
              <w:tc>
                <w:tcPr>
                  <w:tcW w:w="1223" w:type="dxa"/>
                  <w:tcBorders>
                    <w:tl2br w:val="nil"/>
                    <w:tr2bl w:val="nil"/>
                  </w:tcBorders>
                  <w:vAlign w:val="center"/>
                </w:tcPr>
                <w:p w14:paraId="6B2F391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满足</w:t>
                  </w:r>
                </w:p>
              </w:tc>
            </w:tr>
          </w:tbl>
          <w:p w14:paraId="1C2CF60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本项目采用袋式除尘技术处理锅炉烟气为可行技术。SO</w:t>
            </w:r>
            <w:r>
              <w:rPr>
                <w:rFonts w:hint="default"/>
                <w:bCs/>
                <w:snapToGrid w:val="0"/>
                <w:color w:val="auto"/>
                <w:kern w:val="0"/>
                <w:sz w:val="24"/>
                <w:szCs w:val="24"/>
                <w:vertAlign w:val="subscript"/>
                <w:lang w:val="en-US" w:eastAsia="zh-CN"/>
              </w:rPr>
              <w:t>2</w:t>
            </w:r>
            <w:r>
              <w:rPr>
                <w:rFonts w:hint="default"/>
                <w:bCs/>
                <w:snapToGrid w:val="0"/>
                <w:color w:val="auto"/>
                <w:kern w:val="0"/>
                <w:sz w:val="24"/>
                <w:szCs w:val="24"/>
                <w:lang w:val="en-US" w:eastAsia="zh-CN"/>
              </w:rPr>
              <w:t>及NOx直排，可满足《锅炉大气污染物排放标准》（GB13271-2014）中表2要求（颗粒物浓度≤50mg/m</w:t>
            </w:r>
            <w:r>
              <w:rPr>
                <w:rFonts w:hint="default"/>
                <w:bCs/>
                <w:snapToGrid w:val="0"/>
                <w:color w:val="auto"/>
                <w:kern w:val="0"/>
                <w:sz w:val="24"/>
                <w:szCs w:val="24"/>
                <w:vertAlign w:val="superscript"/>
                <w:lang w:val="en-US" w:eastAsia="zh-CN"/>
              </w:rPr>
              <w:t>3</w:t>
            </w:r>
            <w:r>
              <w:rPr>
                <w:rFonts w:hint="default"/>
                <w:bCs/>
                <w:snapToGrid w:val="0"/>
                <w:color w:val="auto"/>
                <w:kern w:val="0"/>
                <w:sz w:val="24"/>
                <w:szCs w:val="24"/>
                <w:lang w:val="en-US" w:eastAsia="zh-CN"/>
              </w:rPr>
              <w:t>，SO</w:t>
            </w:r>
            <w:r>
              <w:rPr>
                <w:rFonts w:hint="default"/>
                <w:bCs/>
                <w:snapToGrid w:val="0"/>
                <w:color w:val="auto"/>
                <w:kern w:val="0"/>
                <w:sz w:val="24"/>
                <w:szCs w:val="24"/>
                <w:vertAlign w:val="subscript"/>
                <w:lang w:val="en-US" w:eastAsia="zh-CN"/>
              </w:rPr>
              <w:t>2</w:t>
            </w:r>
            <w:r>
              <w:rPr>
                <w:rFonts w:hint="default"/>
                <w:bCs/>
                <w:snapToGrid w:val="0"/>
                <w:color w:val="auto"/>
                <w:kern w:val="0"/>
                <w:sz w:val="24"/>
                <w:szCs w:val="24"/>
                <w:lang w:val="en-US" w:eastAsia="zh-CN"/>
              </w:rPr>
              <w:t>浓度≤300mg/m</w:t>
            </w:r>
            <w:r>
              <w:rPr>
                <w:rFonts w:hint="default"/>
                <w:bCs/>
                <w:snapToGrid w:val="0"/>
                <w:color w:val="auto"/>
                <w:kern w:val="0"/>
                <w:sz w:val="24"/>
                <w:szCs w:val="24"/>
                <w:vertAlign w:val="superscript"/>
                <w:lang w:val="en-US" w:eastAsia="zh-CN"/>
              </w:rPr>
              <w:t>3</w:t>
            </w:r>
            <w:r>
              <w:rPr>
                <w:rFonts w:hint="default"/>
                <w:bCs/>
                <w:snapToGrid w:val="0"/>
                <w:color w:val="auto"/>
                <w:kern w:val="0"/>
                <w:sz w:val="24"/>
                <w:szCs w:val="24"/>
                <w:lang w:val="en-US" w:eastAsia="zh-CN"/>
              </w:rPr>
              <w:t>，NOx浓度≤300mg/m</w:t>
            </w:r>
            <w:r>
              <w:rPr>
                <w:rFonts w:hint="default"/>
                <w:bCs/>
                <w:snapToGrid w:val="0"/>
                <w:color w:val="auto"/>
                <w:kern w:val="0"/>
                <w:sz w:val="24"/>
                <w:szCs w:val="24"/>
                <w:vertAlign w:val="superscript"/>
                <w:lang w:val="en-US" w:eastAsia="zh-CN"/>
              </w:rPr>
              <w:t>3</w:t>
            </w:r>
            <w:r>
              <w:rPr>
                <w:rFonts w:hint="default"/>
                <w:bCs/>
                <w:snapToGrid w:val="0"/>
                <w:color w:val="auto"/>
                <w:kern w:val="0"/>
                <w:sz w:val="24"/>
                <w:szCs w:val="24"/>
                <w:lang w:val="en-US" w:eastAsia="zh-CN"/>
              </w:rPr>
              <w:t>）排放限值。因此，本项目采用的废气处理措施为可行技术。</w:t>
            </w:r>
          </w:p>
          <w:p w14:paraId="6F835DDB">
            <w:pPr>
              <w:adjustRightInd w:val="0"/>
              <w:snapToGrid w:val="0"/>
              <w:spacing w:line="360" w:lineRule="auto"/>
              <w:ind w:firstLine="480" w:firstLineChars="200"/>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根据《锅炉大气污染物排放标准》（GB13271-2014），2~&lt;4t/h燃</w:t>
            </w:r>
            <w:r>
              <w:rPr>
                <w:rFonts w:hint="eastAsia"/>
                <w:bCs/>
                <w:snapToGrid w:val="0"/>
                <w:color w:val="auto"/>
                <w:kern w:val="0"/>
                <w:sz w:val="24"/>
                <w:szCs w:val="24"/>
                <w:lang w:val="en-US" w:eastAsia="zh-CN"/>
              </w:rPr>
              <w:t>生物质</w:t>
            </w:r>
            <w:r>
              <w:rPr>
                <w:rFonts w:hint="default"/>
                <w:bCs/>
                <w:snapToGrid w:val="0"/>
                <w:color w:val="auto"/>
                <w:kern w:val="0"/>
                <w:sz w:val="24"/>
                <w:szCs w:val="24"/>
                <w:lang w:val="en-US" w:eastAsia="zh-CN"/>
              </w:rPr>
              <w:t>锅炉房烟囱最低允许高度为30m。</w:t>
            </w:r>
            <w:r>
              <w:rPr>
                <w:rFonts w:hint="default"/>
                <w:bCs/>
                <w:snapToGrid w:val="0"/>
                <w:color w:val="auto"/>
                <w:kern w:val="0"/>
                <w:sz w:val="24"/>
                <w:szCs w:val="24"/>
                <w:highlight w:val="none"/>
                <w:lang w:val="en-US" w:eastAsia="zh-CN"/>
              </w:rPr>
              <w:t>经实地勘察，</w:t>
            </w:r>
            <w:r>
              <w:rPr>
                <w:rFonts w:hint="default"/>
                <w:bCs/>
                <w:snapToGrid w:val="0"/>
                <w:color w:val="auto"/>
                <w:kern w:val="0"/>
                <w:sz w:val="24"/>
                <w:szCs w:val="24"/>
                <w:lang w:val="en-US" w:eastAsia="zh-CN"/>
              </w:rPr>
              <w:t>本项目新建锅炉为</w:t>
            </w:r>
            <w:r>
              <w:rPr>
                <w:rFonts w:hint="eastAsia" w:cs="Times New Roman"/>
                <w:color w:val="auto"/>
                <w:kern w:val="0"/>
                <w:sz w:val="24"/>
                <w:highlight w:val="none"/>
                <w:lang w:val="en-US" w:eastAsia="zh-CN"/>
              </w:rPr>
              <w:t>1.75MW</w:t>
            </w:r>
            <w:r>
              <w:rPr>
                <w:rFonts w:hint="default"/>
                <w:bCs/>
                <w:snapToGrid w:val="0"/>
                <w:color w:val="auto"/>
                <w:kern w:val="0"/>
                <w:sz w:val="24"/>
                <w:szCs w:val="24"/>
                <w:lang w:val="en-US" w:eastAsia="zh-CN"/>
              </w:rPr>
              <w:t>的生物质</w:t>
            </w:r>
            <w:r>
              <w:rPr>
                <w:rFonts w:hint="eastAsia"/>
                <w:bCs/>
                <w:snapToGrid w:val="0"/>
                <w:color w:val="auto"/>
                <w:kern w:val="0"/>
                <w:sz w:val="24"/>
                <w:szCs w:val="24"/>
                <w:lang w:val="en-US" w:eastAsia="zh-CN"/>
              </w:rPr>
              <w:t>导热油</w:t>
            </w:r>
            <w:r>
              <w:rPr>
                <w:rFonts w:hint="default"/>
                <w:bCs/>
                <w:snapToGrid w:val="0"/>
                <w:color w:val="auto"/>
                <w:kern w:val="0"/>
                <w:sz w:val="24"/>
                <w:szCs w:val="24"/>
                <w:lang w:val="en-US" w:eastAsia="zh-CN"/>
              </w:rPr>
              <w:t>锅炉，烟囱高度30m，且本项目烟囱均高于周围半径200m距离内建筑物</w:t>
            </w:r>
            <w:r>
              <w:rPr>
                <w:rFonts w:hint="eastAsia"/>
                <w:bCs/>
                <w:snapToGrid w:val="0"/>
                <w:color w:val="auto"/>
                <w:kern w:val="0"/>
                <w:sz w:val="24"/>
                <w:szCs w:val="24"/>
                <w:lang w:val="en-US" w:eastAsia="zh-CN"/>
              </w:rPr>
              <w:t>3</w:t>
            </w:r>
            <w:r>
              <w:rPr>
                <w:rFonts w:hint="default"/>
                <w:bCs/>
                <w:snapToGrid w:val="0"/>
                <w:color w:val="auto"/>
                <w:kern w:val="0"/>
                <w:sz w:val="24"/>
                <w:szCs w:val="24"/>
                <w:lang w:val="en-US" w:eastAsia="zh-CN"/>
              </w:rPr>
              <w:t>m以上。因此本项目烟囱高度设置为30m符合标准要求。</w:t>
            </w:r>
          </w:p>
          <w:p w14:paraId="5A4C0344">
            <w:pPr>
              <w:adjustRightInd w:val="0"/>
              <w:snapToGrid w:val="0"/>
              <w:spacing w:line="360" w:lineRule="auto"/>
              <w:ind w:firstLine="480" w:firstLineChars="200"/>
              <w:rPr>
                <w:rFonts w:hint="default"/>
                <w:bCs/>
                <w:snapToGrid w:val="0"/>
                <w:color w:val="auto"/>
                <w:kern w:val="0"/>
                <w:sz w:val="24"/>
                <w:szCs w:val="24"/>
                <w:lang w:val="en-US" w:eastAsia="zh-CN"/>
              </w:rPr>
            </w:pPr>
            <w:r>
              <w:rPr>
                <w:rFonts w:hint="eastAsia"/>
                <w:bCs/>
                <w:snapToGrid w:val="0"/>
                <w:color w:val="auto"/>
                <w:kern w:val="0"/>
                <w:sz w:val="24"/>
                <w:szCs w:val="24"/>
                <w:lang w:val="en-US" w:eastAsia="zh-CN"/>
              </w:rPr>
              <w:t>生产车间</w:t>
            </w:r>
            <w:r>
              <w:rPr>
                <w:rFonts w:hint="eastAsia" w:ascii="Times New Roman" w:hAnsi="Times New Roman" w:eastAsia="宋体" w:cs="Times New Roman"/>
                <w:color w:val="auto"/>
                <w:sz w:val="24"/>
                <w:highlight w:val="none"/>
                <w:lang w:eastAsia="zh-CN"/>
              </w:rPr>
              <w:t>涂胶、</w:t>
            </w:r>
            <w:r>
              <w:rPr>
                <w:rFonts w:hint="eastAsia" w:ascii="Times New Roman" w:hAnsi="Times New Roman" w:eastAsia="宋体" w:cs="Times New Roman"/>
                <w:color w:val="auto"/>
                <w:sz w:val="24"/>
                <w:highlight w:val="none"/>
                <w:lang w:val="en-US" w:eastAsia="zh-CN"/>
              </w:rPr>
              <w:t>热压</w:t>
            </w:r>
            <w:r>
              <w:rPr>
                <w:rFonts w:hint="eastAsia" w:ascii="Times New Roman" w:hAnsi="Times New Roman" w:eastAsia="宋体" w:cs="Times New Roman"/>
                <w:color w:val="auto"/>
                <w:sz w:val="24"/>
                <w:highlight w:val="none"/>
                <w:lang w:eastAsia="zh-CN"/>
              </w:rPr>
              <w:t>废气的污染因子主要为</w:t>
            </w:r>
            <w:r>
              <w:rPr>
                <w:rFonts w:hint="eastAsia" w:ascii="Times New Roman" w:hAnsi="Times New Roman" w:eastAsia="宋体" w:cs="Times New Roman"/>
                <w:color w:val="auto"/>
                <w:sz w:val="24"/>
                <w:highlight w:val="none"/>
                <w:lang w:val="en-US" w:eastAsia="zh-CN"/>
              </w:rPr>
              <w:t>VOCs，</w:t>
            </w:r>
            <w:r>
              <w:rPr>
                <w:rFonts w:hint="eastAsia" w:cs="Times New Roman"/>
                <w:color w:val="auto"/>
                <w:sz w:val="24"/>
                <w:highlight w:val="none"/>
                <w:lang w:val="en-US" w:eastAsia="zh-CN"/>
              </w:rPr>
              <w:t>由于采用</w:t>
            </w:r>
            <w:r>
              <w:rPr>
                <w:rFonts w:hint="eastAsia" w:cs="Times New Roman"/>
                <w:color w:val="auto"/>
                <w:kern w:val="0"/>
                <w:sz w:val="24"/>
                <w:szCs w:val="24"/>
                <w:lang w:val="en-US" w:eastAsia="zh-CN" w:bidi="ar"/>
              </w:rPr>
              <w:t>生态环保的大豆胶和面粉作为胶粘用，</w:t>
            </w:r>
            <w:r>
              <w:rPr>
                <w:rFonts w:hint="eastAsia" w:ascii="Times New Roman" w:hAnsi="Times New Roman" w:eastAsia="宋体" w:cs="Times New Roman"/>
                <w:color w:val="auto"/>
                <w:sz w:val="24"/>
                <w:szCs w:val="24"/>
                <w:highlight w:val="none"/>
                <w:lang w:eastAsia="zh-CN"/>
              </w:rPr>
              <w:t>产生</w:t>
            </w:r>
            <w:r>
              <w:rPr>
                <w:rFonts w:hint="default" w:ascii="Times New Roman" w:hAnsi="Times New Roman" w:eastAsia="宋体" w:cs="Times New Roman"/>
                <w:color w:val="auto"/>
                <w:sz w:val="24"/>
                <w:highlight w:val="none"/>
                <w:lang w:eastAsia="zh-CN"/>
              </w:rPr>
              <w:t>量较小，</w:t>
            </w:r>
            <w:r>
              <w:rPr>
                <w:rFonts w:hint="eastAsia" w:ascii="Times New Roman" w:hAnsi="Times New Roman" w:eastAsia="宋体" w:cs="Times New Roman"/>
                <w:color w:val="auto"/>
                <w:sz w:val="24"/>
                <w:highlight w:val="none"/>
                <w:lang w:val="en-US" w:eastAsia="zh-CN"/>
              </w:rPr>
              <w:t>经活性炭吸附处理后经15m高排气筒排放，为可行性技术，满足相关标准要求。锯切、仿形工段产生的颗粒物经旋风除尘后</w:t>
            </w:r>
            <w:r>
              <w:rPr>
                <w:rFonts w:hint="default" w:ascii="Times New Roman" w:hAnsi="Times New Roman" w:eastAsia="宋体" w:cs="Times New Roman"/>
                <w:color w:val="auto"/>
                <w:sz w:val="24"/>
                <w:highlight w:val="none"/>
                <w:lang w:eastAsia="zh-CN"/>
              </w:rPr>
              <w:t>无组织排放</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保持厂区通风，</w:t>
            </w:r>
            <w:r>
              <w:rPr>
                <w:rFonts w:hint="eastAsia" w:ascii="Times New Roman" w:hAnsi="Times New Roman" w:eastAsia="宋体" w:cs="Times New Roman"/>
                <w:color w:val="auto"/>
                <w:sz w:val="24"/>
                <w:lang w:val="en-US" w:eastAsia="zh-CN"/>
              </w:rPr>
              <w:t>为可行性技术，对环境影响较小</w:t>
            </w:r>
            <w:r>
              <w:rPr>
                <w:rFonts w:hint="eastAsia" w:ascii="Times New Roman" w:hAnsi="Times New Roman" w:eastAsia="宋体" w:cs="Times New Roman"/>
                <w:color w:val="auto"/>
                <w:sz w:val="24"/>
                <w:lang w:eastAsia="zh-CN"/>
              </w:rPr>
              <w:t>。</w:t>
            </w:r>
          </w:p>
          <w:p w14:paraId="093072F7">
            <w:pPr>
              <w:adjustRightInd w:val="0"/>
              <w:snapToGrid w:val="0"/>
              <w:spacing w:line="360" w:lineRule="auto"/>
              <w:ind w:firstLine="480" w:firstLineChars="200"/>
              <w:rPr>
                <w:rFonts w:hint="default"/>
                <w:b/>
                <w:bCs w:val="0"/>
                <w:snapToGrid w:val="0"/>
                <w:color w:val="auto"/>
                <w:kern w:val="0"/>
                <w:sz w:val="24"/>
                <w:szCs w:val="24"/>
                <w:lang w:val="en-US" w:eastAsia="zh-CN"/>
              </w:rPr>
            </w:pPr>
            <w:r>
              <w:rPr>
                <w:rFonts w:hint="eastAsia" w:eastAsia="微软雅黑" w:cs="Times New Roman"/>
                <w:b/>
                <w:bCs w:val="0"/>
                <w:snapToGrid w:val="0"/>
                <w:color w:val="auto"/>
                <w:kern w:val="0"/>
                <w:sz w:val="24"/>
                <w:szCs w:val="24"/>
                <w:lang w:val="en-US" w:eastAsia="zh-CN"/>
              </w:rPr>
              <w:t>4、</w:t>
            </w:r>
            <w:r>
              <w:rPr>
                <w:rFonts w:hint="default"/>
                <w:b/>
                <w:bCs w:val="0"/>
                <w:snapToGrid w:val="0"/>
                <w:color w:val="auto"/>
                <w:kern w:val="0"/>
                <w:sz w:val="24"/>
                <w:szCs w:val="24"/>
                <w:lang w:val="en-US" w:eastAsia="zh-CN"/>
              </w:rPr>
              <w:t>排放口基本信息</w:t>
            </w:r>
          </w:p>
          <w:p w14:paraId="66ED9A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表4-</w:t>
            </w:r>
            <w:r>
              <w:rPr>
                <w:rFonts w:hint="eastAsia"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lang w:val="en-US" w:eastAsia="zh-CN"/>
              </w:rPr>
              <w:t xml:space="preserve">  排气口基本信息表</w:t>
            </w:r>
          </w:p>
          <w:tbl>
            <w:tblPr>
              <w:tblStyle w:val="31"/>
              <w:tblW w:w="4935" w:type="pct"/>
              <w:jc w:val="center"/>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3"/>
              <w:gridCol w:w="559"/>
              <w:gridCol w:w="1066"/>
              <w:gridCol w:w="910"/>
              <w:gridCol w:w="1380"/>
              <w:gridCol w:w="682"/>
              <w:gridCol w:w="590"/>
              <w:gridCol w:w="682"/>
              <w:gridCol w:w="666"/>
              <w:gridCol w:w="666"/>
            </w:tblGrid>
            <w:tr w14:paraId="4BDD13ED">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09" w:type="pct"/>
                  <w:shd w:val="clear" w:color="auto" w:fill="FFFFFF"/>
                  <w:noWrap w:val="0"/>
                  <w:tcMar>
                    <w:left w:w="0" w:type="dxa"/>
                    <w:right w:w="0" w:type="dxa"/>
                  </w:tcMar>
                  <w:vAlign w:val="center"/>
                </w:tcPr>
                <w:p w14:paraId="7EC9F74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编号</w:t>
                  </w:r>
                </w:p>
              </w:tc>
              <w:tc>
                <w:tcPr>
                  <w:tcW w:w="356" w:type="pct"/>
                  <w:shd w:val="clear" w:color="auto" w:fill="FFFFFF"/>
                  <w:noWrap w:val="0"/>
                  <w:tcMar>
                    <w:left w:w="0" w:type="dxa"/>
                    <w:right w:w="0" w:type="dxa"/>
                  </w:tcMar>
                  <w:vAlign w:val="center"/>
                </w:tcPr>
                <w:p w14:paraId="4BB741F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名称</w:t>
                  </w:r>
                </w:p>
              </w:tc>
              <w:tc>
                <w:tcPr>
                  <w:tcW w:w="1259" w:type="pct"/>
                  <w:gridSpan w:val="2"/>
                  <w:shd w:val="clear" w:color="auto" w:fill="FFFFFF"/>
                  <w:noWrap w:val="0"/>
                  <w:tcMar>
                    <w:left w:w="0" w:type="dxa"/>
                    <w:right w:w="0" w:type="dxa"/>
                  </w:tcMar>
                  <w:vAlign w:val="center"/>
                </w:tcPr>
                <w:p w14:paraId="65A29B0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烟囱底部中心坐标/度</w:t>
                  </w:r>
                </w:p>
              </w:tc>
              <w:tc>
                <w:tcPr>
                  <w:tcW w:w="879" w:type="pct"/>
                  <w:shd w:val="clear" w:color="auto" w:fill="FFFFFF"/>
                  <w:noWrap w:val="0"/>
                  <w:tcMar>
                    <w:left w:w="0" w:type="dxa"/>
                    <w:right w:w="0" w:type="dxa"/>
                  </w:tcMar>
                  <w:vAlign w:val="center"/>
                </w:tcPr>
                <w:p w14:paraId="2BDA470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污染物种类</w:t>
                  </w:r>
                </w:p>
              </w:tc>
              <w:tc>
                <w:tcPr>
                  <w:tcW w:w="434" w:type="pct"/>
                  <w:shd w:val="clear" w:color="auto" w:fill="FFFFFF"/>
                  <w:noWrap w:val="0"/>
                  <w:tcMar>
                    <w:left w:w="0" w:type="dxa"/>
                    <w:right w:w="0" w:type="dxa"/>
                  </w:tcMar>
                  <w:vAlign w:val="center"/>
                </w:tcPr>
                <w:p w14:paraId="3250FF9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烟囱高度（m）</w:t>
                  </w:r>
                </w:p>
              </w:tc>
              <w:tc>
                <w:tcPr>
                  <w:tcW w:w="376" w:type="pct"/>
                  <w:shd w:val="clear" w:color="auto" w:fill="FFFFFF"/>
                  <w:noWrap w:val="0"/>
                  <w:tcMar>
                    <w:left w:w="0" w:type="dxa"/>
                    <w:right w:w="0" w:type="dxa"/>
                  </w:tcMar>
                  <w:vAlign w:val="center"/>
                </w:tcPr>
                <w:p w14:paraId="0213A98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内径</w:t>
                  </w:r>
                </w:p>
                <w:p w14:paraId="5FF5695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(m)</w:t>
                  </w:r>
                </w:p>
              </w:tc>
              <w:tc>
                <w:tcPr>
                  <w:tcW w:w="434" w:type="pct"/>
                  <w:shd w:val="clear" w:color="auto" w:fill="FFFFFF"/>
                  <w:noWrap w:val="0"/>
                  <w:tcMar>
                    <w:left w:w="0" w:type="dxa"/>
                    <w:right w:w="0" w:type="dxa"/>
                  </w:tcMar>
                  <w:vAlign w:val="center"/>
                </w:tcPr>
                <w:p w14:paraId="71744F3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排气温度（℃）</w:t>
                  </w:r>
                </w:p>
              </w:tc>
              <w:tc>
                <w:tcPr>
                  <w:tcW w:w="424" w:type="pct"/>
                  <w:shd w:val="clear" w:color="auto" w:fill="FFFFFF"/>
                  <w:noWrap w:val="0"/>
                  <w:tcMar>
                    <w:left w:w="0" w:type="dxa"/>
                    <w:right w:w="0" w:type="dxa"/>
                  </w:tcMar>
                  <w:vAlign w:val="center"/>
                </w:tcPr>
                <w:p w14:paraId="14D5B3E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eastAsia="宋体" w:cs="Times New Roman"/>
                      <w:color w:val="auto"/>
                      <w:sz w:val="21"/>
                      <w:lang w:val="en-US" w:eastAsia="zh-CN"/>
                    </w:rPr>
                    <w:t>排放速率kg/h</w:t>
                  </w:r>
                </w:p>
              </w:tc>
              <w:tc>
                <w:tcPr>
                  <w:tcW w:w="424" w:type="pct"/>
                  <w:shd w:val="clear" w:color="auto" w:fill="FFFFFF"/>
                  <w:noWrap w:val="0"/>
                  <w:tcMar>
                    <w:left w:w="0" w:type="dxa"/>
                    <w:right w:w="0" w:type="dxa"/>
                  </w:tcMar>
                  <w:vAlign w:val="center"/>
                </w:tcPr>
                <w:p w14:paraId="2243EE3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排放口类型</w:t>
                  </w:r>
                </w:p>
              </w:tc>
            </w:tr>
            <w:tr w14:paraId="72623B42">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409" w:type="pct"/>
                  <w:vMerge w:val="restart"/>
                  <w:shd w:val="clear" w:color="auto" w:fill="FFFFFF"/>
                  <w:noWrap w:val="0"/>
                  <w:tcMar>
                    <w:left w:w="0" w:type="dxa"/>
                    <w:right w:w="0" w:type="dxa"/>
                  </w:tcMar>
                  <w:vAlign w:val="center"/>
                </w:tcPr>
                <w:p w14:paraId="390479F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DA001</w:t>
                  </w:r>
                </w:p>
              </w:tc>
              <w:tc>
                <w:tcPr>
                  <w:tcW w:w="356" w:type="pct"/>
                  <w:vMerge w:val="restart"/>
                  <w:shd w:val="clear" w:color="auto" w:fill="FFFFFF"/>
                  <w:noWrap w:val="0"/>
                  <w:tcMar>
                    <w:left w:w="0" w:type="dxa"/>
                    <w:right w:w="0" w:type="dxa"/>
                  </w:tcMar>
                  <w:vAlign w:val="center"/>
                </w:tcPr>
                <w:p w14:paraId="239D682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排气筒</w:t>
                  </w:r>
                </w:p>
              </w:tc>
              <w:tc>
                <w:tcPr>
                  <w:tcW w:w="679" w:type="pct"/>
                  <w:vMerge w:val="restart"/>
                  <w:shd w:val="clear" w:color="auto" w:fill="FFFFFF"/>
                  <w:noWrap w:val="0"/>
                  <w:tcMar>
                    <w:left w:w="0" w:type="dxa"/>
                    <w:right w:w="0" w:type="dxa"/>
                  </w:tcMar>
                  <w:vAlign w:val="center"/>
                </w:tcPr>
                <w:p w14:paraId="64BE3B7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131.170614</w:t>
                  </w:r>
                </w:p>
              </w:tc>
              <w:tc>
                <w:tcPr>
                  <w:tcW w:w="580" w:type="pct"/>
                  <w:vMerge w:val="restart"/>
                  <w:shd w:val="clear" w:color="auto" w:fill="FFFFFF"/>
                  <w:noWrap w:val="0"/>
                  <w:tcMar>
                    <w:left w:w="0" w:type="dxa"/>
                    <w:right w:w="0" w:type="dxa"/>
                  </w:tcMar>
                  <w:vAlign w:val="center"/>
                </w:tcPr>
                <w:p w14:paraId="0C21958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46.61341</w:t>
                  </w:r>
                  <w:r>
                    <w:rPr>
                      <w:rFonts w:hint="eastAsia" w:ascii="Times New Roman" w:hAnsi="Times New Roman" w:eastAsia="宋体" w:cs="Times New Roman"/>
                      <w:color w:val="auto"/>
                      <w:sz w:val="21"/>
                      <w:highlight w:val="none"/>
                      <w:lang w:val="en-US" w:eastAsia="zh-CN"/>
                    </w:rPr>
                    <w:t>7</w:t>
                  </w:r>
                </w:p>
              </w:tc>
              <w:tc>
                <w:tcPr>
                  <w:tcW w:w="879" w:type="pct"/>
                  <w:shd w:val="clear" w:color="auto" w:fill="FFFFFF"/>
                  <w:noWrap w:val="0"/>
                  <w:tcMar>
                    <w:left w:w="0" w:type="dxa"/>
                    <w:right w:w="0" w:type="dxa"/>
                  </w:tcMar>
                  <w:vAlign w:val="center"/>
                </w:tcPr>
                <w:p w14:paraId="02436C1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颗粒物</w:t>
                  </w:r>
                </w:p>
              </w:tc>
              <w:tc>
                <w:tcPr>
                  <w:tcW w:w="434" w:type="pct"/>
                  <w:vMerge w:val="restart"/>
                  <w:shd w:val="clear" w:color="auto" w:fill="FFFFFF"/>
                  <w:noWrap w:val="0"/>
                  <w:tcMar>
                    <w:left w:w="0" w:type="dxa"/>
                    <w:right w:w="0" w:type="dxa"/>
                  </w:tcMar>
                  <w:vAlign w:val="center"/>
                </w:tcPr>
                <w:p w14:paraId="798FF72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30</w:t>
                  </w:r>
                </w:p>
              </w:tc>
              <w:tc>
                <w:tcPr>
                  <w:tcW w:w="376" w:type="pct"/>
                  <w:vMerge w:val="restart"/>
                  <w:shd w:val="clear" w:color="auto" w:fill="FFFFFF"/>
                  <w:noWrap w:val="0"/>
                  <w:tcMar>
                    <w:left w:w="0" w:type="dxa"/>
                    <w:right w:w="0" w:type="dxa"/>
                  </w:tcMar>
                  <w:vAlign w:val="center"/>
                </w:tcPr>
                <w:p w14:paraId="37EB388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0.3</w:t>
                  </w:r>
                </w:p>
              </w:tc>
              <w:tc>
                <w:tcPr>
                  <w:tcW w:w="434" w:type="pct"/>
                  <w:vMerge w:val="restart"/>
                  <w:shd w:val="clear" w:color="auto" w:fill="FFFFFF"/>
                  <w:noWrap w:val="0"/>
                  <w:tcMar>
                    <w:left w:w="0" w:type="dxa"/>
                    <w:right w:w="0" w:type="dxa"/>
                  </w:tcMar>
                  <w:vAlign w:val="center"/>
                </w:tcPr>
                <w:p w14:paraId="3BF1F97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w:t>
                  </w:r>
                  <w:r>
                    <w:rPr>
                      <w:rFonts w:hint="eastAsia" w:eastAsia="宋体" w:cs="Times New Roman"/>
                      <w:color w:val="auto"/>
                      <w:sz w:val="21"/>
                      <w:lang w:val="en-US" w:eastAsia="zh-CN"/>
                    </w:rPr>
                    <w:t>4</w:t>
                  </w:r>
                  <w:r>
                    <w:rPr>
                      <w:rFonts w:hint="default" w:ascii="Times New Roman" w:hAnsi="Times New Roman" w:eastAsia="宋体" w:cs="Times New Roman"/>
                      <w:color w:val="auto"/>
                      <w:sz w:val="21"/>
                      <w:lang w:val="en-US" w:eastAsia="zh-CN"/>
                    </w:rPr>
                    <w:t>0</w:t>
                  </w:r>
                </w:p>
              </w:tc>
              <w:tc>
                <w:tcPr>
                  <w:tcW w:w="424" w:type="pct"/>
                  <w:shd w:val="clear" w:color="auto" w:fill="FFFFFF"/>
                  <w:noWrap w:val="0"/>
                  <w:tcMar>
                    <w:left w:w="0" w:type="dxa"/>
                    <w:right w:w="0" w:type="dxa"/>
                  </w:tcMar>
                  <w:vAlign w:val="center"/>
                </w:tcPr>
                <w:p w14:paraId="0D62B4D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eastAsia="宋体" w:cs="Times New Roman"/>
                      <w:color w:val="auto"/>
                      <w:sz w:val="21"/>
                      <w:lang w:val="en-US" w:eastAsia="zh-CN"/>
                    </w:rPr>
                    <w:t>0.0</w:t>
                  </w:r>
                  <w:r>
                    <w:rPr>
                      <w:rFonts w:hint="eastAsia" w:cs="Times New Roman"/>
                      <w:color w:val="auto"/>
                      <w:sz w:val="21"/>
                      <w:lang w:val="en-US" w:eastAsia="zh-CN"/>
                    </w:rPr>
                    <w:t>5</w:t>
                  </w:r>
                </w:p>
              </w:tc>
              <w:tc>
                <w:tcPr>
                  <w:tcW w:w="424" w:type="pct"/>
                  <w:vMerge w:val="restart"/>
                  <w:shd w:val="clear" w:color="auto" w:fill="FFFFFF"/>
                  <w:noWrap w:val="0"/>
                  <w:tcMar>
                    <w:left w:w="0" w:type="dxa"/>
                    <w:right w:w="0" w:type="dxa"/>
                  </w:tcMar>
                  <w:vAlign w:val="center"/>
                </w:tcPr>
                <w:p w14:paraId="48F6390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一般排放口</w:t>
                  </w:r>
                </w:p>
              </w:tc>
            </w:tr>
            <w:tr w14:paraId="41E68010">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09" w:type="pct"/>
                  <w:vMerge w:val="continue"/>
                  <w:shd w:val="clear" w:color="auto" w:fill="FFFFFF"/>
                  <w:noWrap w:val="0"/>
                  <w:tcMar>
                    <w:left w:w="0" w:type="dxa"/>
                    <w:right w:w="0" w:type="dxa"/>
                  </w:tcMar>
                  <w:vAlign w:val="center"/>
                </w:tcPr>
                <w:p w14:paraId="1AF785A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356" w:type="pct"/>
                  <w:vMerge w:val="continue"/>
                  <w:shd w:val="clear" w:color="auto" w:fill="FFFFFF"/>
                  <w:noWrap w:val="0"/>
                  <w:tcMar>
                    <w:left w:w="0" w:type="dxa"/>
                    <w:right w:w="0" w:type="dxa"/>
                  </w:tcMar>
                  <w:vAlign w:val="center"/>
                </w:tcPr>
                <w:p w14:paraId="6339141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679" w:type="pct"/>
                  <w:vMerge w:val="continue"/>
                  <w:shd w:val="clear" w:color="auto" w:fill="FFFFFF"/>
                  <w:noWrap w:val="0"/>
                  <w:tcMar>
                    <w:left w:w="0" w:type="dxa"/>
                    <w:right w:w="0" w:type="dxa"/>
                  </w:tcMar>
                  <w:vAlign w:val="center"/>
                </w:tcPr>
                <w:p w14:paraId="43212CD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green"/>
                      <w:lang w:val="en-US" w:eastAsia="zh-CN"/>
                    </w:rPr>
                  </w:pPr>
                </w:p>
              </w:tc>
              <w:tc>
                <w:tcPr>
                  <w:tcW w:w="580" w:type="pct"/>
                  <w:vMerge w:val="continue"/>
                  <w:shd w:val="clear" w:color="auto" w:fill="FFFFFF"/>
                  <w:noWrap w:val="0"/>
                  <w:tcMar>
                    <w:left w:w="0" w:type="dxa"/>
                    <w:right w:w="0" w:type="dxa"/>
                  </w:tcMar>
                  <w:vAlign w:val="center"/>
                </w:tcPr>
                <w:p w14:paraId="310B70A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green"/>
                      <w:lang w:val="en-US" w:eastAsia="zh-CN"/>
                    </w:rPr>
                  </w:pPr>
                </w:p>
              </w:tc>
              <w:tc>
                <w:tcPr>
                  <w:tcW w:w="879" w:type="pct"/>
                  <w:shd w:val="clear" w:color="auto" w:fill="FFFFFF"/>
                  <w:noWrap w:val="0"/>
                  <w:tcMar>
                    <w:left w:w="0" w:type="dxa"/>
                    <w:right w:w="0" w:type="dxa"/>
                  </w:tcMar>
                  <w:vAlign w:val="center"/>
                </w:tcPr>
                <w:p w14:paraId="5E287F1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SO</w:t>
                  </w:r>
                  <w:r>
                    <w:rPr>
                      <w:rFonts w:hint="default" w:ascii="Times New Roman" w:hAnsi="Times New Roman" w:eastAsia="宋体" w:cs="Times New Roman"/>
                      <w:color w:val="auto"/>
                      <w:sz w:val="21"/>
                      <w:vertAlign w:val="subscript"/>
                      <w:lang w:val="en-US" w:eastAsia="zh-CN"/>
                    </w:rPr>
                    <w:t>2</w:t>
                  </w:r>
                </w:p>
              </w:tc>
              <w:tc>
                <w:tcPr>
                  <w:tcW w:w="434" w:type="pct"/>
                  <w:vMerge w:val="continue"/>
                  <w:shd w:val="clear" w:color="auto" w:fill="FFFFFF"/>
                  <w:noWrap w:val="0"/>
                  <w:tcMar>
                    <w:left w:w="0" w:type="dxa"/>
                    <w:right w:w="0" w:type="dxa"/>
                  </w:tcMar>
                  <w:vAlign w:val="center"/>
                </w:tcPr>
                <w:p w14:paraId="40619B3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376" w:type="pct"/>
                  <w:vMerge w:val="continue"/>
                  <w:shd w:val="clear" w:color="auto" w:fill="FFFFFF"/>
                  <w:noWrap w:val="0"/>
                  <w:tcMar>
                    <w:left w:w="0" w:type="dxa"/>
                    <w:right w:w="0" w:type="dxa"/>
                  </w:tcMar>
                  <w:vAlign w:val="center"/>
                </w:tcPr>
                <w:p w14:paraId="0ED8EFE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434" w:type="pct"/>
                  <w:vMerge w:val="continue"/>
                  <w:shd w:val="clear" w:color="auto" w:fill="FFFFFF"/>
                  <w:noWrap w:val="0"/>
                  <w:tcMar>
                    <w:left w:w="0" w:type="dxa"/>
                    <w:right w:w="0" w:type="dxa"/>
                  </w:tcMar>
                  <w:vAlign w:val="center"/>
                </w:tcPr>
                <w:p w14:paraId="785F677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eastAsia" w:eastAsia="宋体" w:cs="Times New Roman"/>
                      <w:color w:val="auto"/>
                      <w:sz w:val="21"/>
                      <w:lang w:val="en-US" w:eastAsia="zh-CN"/>
                    </w:rPr>
                  </w:pPr>
                </w:p>
              </w:tc>
              <w:tc>
                <w:tcPr>
                  <w:tcW w:w="424" w:type="pct"/>
                  <w:shd w:val="clear" w:color="auto" w:fill="FFFFFF"/>
                  <w:noWrap w:val="0"/>
                  <w:tcMar>
                    <w:left w:w="0" w:type="dxa"/>
                    <w:right w:w="0" w:type="dxa"/>
                  </w:tcMar>
                  <w:vAlign w:val="center"/>
                </w:tcPr>
                <w:p w14:paraId="0391C80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eastAsia="宋体" w:cs="Times New Roman"/>
                      <w:color w:val="auto"/>
                      <w:sz w:val="21"/>
                      <w:lang w:val="en-US" w:eastAsia="zh-CN"/>
                    </w:rPr>
                    <w:t>0.</w:t>
                  </w:r>
                  <w:r>
                    <w:rPr>
                      <w:rFonts w:hint="eastAsia" w:cs="Times New Roman"/>
                      <w:color w:val="auto"/>
                      <w:sz w:val="21"/>
                      <w:lang w:val="en-US" w:eastAsia="zh-CN"/>
                    </w:rPr>
                    <w:t>15</w:t>
                  </w:r>
                </w:p>
              </w:tc>
              <w:tc>
                <w:tcPr>
                  <w:tcW w:w="424" w:type="pct"/>
                  <w:vMerge w:val="continue"/>
                  <w:shd w:val="clear" w:color="auto" w:fill="FFFFFF"/>
                  <w:noWrap w:val="0"/>
                  <w:tcMar>
                    <w:left w:w="0" w:type="dxa"/>
                    <w:right w:w="0" w:type="dxa"/>
                  </w:tcMar>
                  <w:vAlign w:val="center"/>
                </w:tcPr>
                <w:p w14:paraId="55F17D7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r>
            <w:tr w14:paraId="748A6F0F">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09" w:type="pct"/>
                  <w:vMerge w:val="continue"/>
                  <w:shd w:val="clear" w:color="auto" w:fill="FFFFFF"/>
                  <w:noWrap w:val="0"/>
                  <w:tcMar>
                    <w:left w:w="0" w:type="dxa"/>
                    <w:right w:w="0" w:type="dxa"/>
                  </w:tcMar>
                  <w:vAlign w:val="center"/>
                </w:tcPr>
                <w:p w14:paraId="3774FCB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356" w:type="pct"/>
                  <w:vMerge w:val="continue"/>
                  <w:shd w:val="clear" w:color="auto" w:fill="FFFFFF"/>
                  <w:noWrap w:val="0"/>
                  <w:tcMar>
                    <w:left w:w="0" w:type="dxa"/>
                    <w:right w:w="0" w:type="dxa"/>
                  </w:tcMar>
                  <w:vAlign w:val="center"/>
                </w:tcPr>
                <w:p w14:paraId="627910C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679" w:type="pct"/>
                  <w:vMerge w:val="continue"/>
                  <w:shd w:val="clear" w:color="auto" w:fill="FFFFFF"/>
                  <w:noWrap w:val="0"/>
                  <w:tcMar>
                    <w:left w:w="0" w:type="dxa"/>
                    <w:right w:w="0" w:type="dxa"/>
                  </w:tcMar>
                  <w:vAlign w:val="center"/>
                </w:tcPr>
                <w:p w14:paraId="56BB3A9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green"/>
                      <w:lang w:val="en-US" w:eastAsia="zh-CN"/>
                    </w:rPr>
                  </w:pPr>
                </w:p>
              </w:tc>
              <w:tc>
                <w:tcPr>
                  <w:tcW w:w="580" w:type="pct"/>
                  <w:vMerge w:val="continue"/>
                  <w:shd w:val="clear" w:color="auto" w:fill="FFFFFF"/>
                  <w:noWrap w:val="0"/>
                  <w:tcMar>
                    <w:left w:w="0" w:type="dxa"/>
                    <w:right w:w="0" w:type="dxa"/>
                  </w:tcMar>
                  <w:vAlign w:val="center"/>
                </w:tcPr>
                <w:p w14:paraId="0462378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green"/>
                      <w:lang w:val="en-US" w:eastAsia="zh-CN"/>
                    </w:rPr>
                  </w:pPr>
                </w:p>
              </w:tc>
              <w:tc>
                <w:tcPr>
                  <w:tcW w:w="879" w:type="pct"/>
                  <w:shd w:val="clear" w:color="auto" w:fill="FFFFFF"/>
                  <w:noWrap w:val="0"/>
                  <w:tcMar>
                    <w:left w:w="0" w:type="dxa"/>
                    <w:right w:w="0" w:type="dxa"/>
                  </w:tcMar>
                  <w:vAlign w:val="center"/>
                </w:tcPr>
                <w:p w14:paraId="25ED657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NO</w:t>
                  </w:r>
                  <w:r>
                    <w:rPr>
                      <w:rFonts w:hint="default" w:ascii="Times New Roman" w:hAnsi="Times New Roman" w:eastAsia="宋体" w:cs="Times New Roman"/>
                      <w:color w:val="auto"/>
                      <w:sz w:val="21"/>
                      <w:vertAlign w:val="subscript"/>
                      <w:lang w:val="en-US" w:eastAsia="zh-CN"/>
                    </w:rPr>
                    <w:t>X</w:t>
                  </w:r>
                </w:p>
              </w:tc>
              <w:tc>
                <w:tcPr>
                  <w:tcW w:w="434" w:type="pct"/>
                  <w:vMerge w:val="continue"/>
                  <w:shd w:val="clear" w:color="auto" w:fill="FFFFFF"/>
                  <w:noWrap w:val="0"/>
                  <w:tcMar>
                    <w:left w:w="0" w:type="dxa"/>
                    <w:right w:w="0" w:type="dxa"/>
                  </w:tcMar>
                  <w:vAlign w:val="center"/>
                </w:tcPr>
                <w:p w14:paraId="77A2FBD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376" w:type="pct"/>
                  <w:vMerge w:val="continue"/>
                  <w:shd w:val="clear" w:color="auto" w:fill="FFFFFF"/>
                  <w:noWrap w:val="0"/>
                  <w:tcMar>
                    <w:left w:w="0" w:type="dxa"/>
                    <w:right w:w="0" w:type="dxa"/>
                  </w:tcMar>
                  <w:vAlign w:val="center"/>
                </w:tcPr>
                <w:p w14:paraId="1E9C061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434" w:type="pct"/>
                  <w:vMerge w:val="continue"/>
                  <w:shd w:val="clear" w:color="auto" w:fill="FFFFFF"/>
                  <w:noWrap w:val="0"/>
                  <w:tcMar>
                    <w:left w:w="0" w:type="dxa"/>
                    <w:right w:w="0" w:type="dxa"/>
                  </w:tcMar>
                  <w:vAlign w:val="center"/>
                </w:tcPr>
                <w:p w14:paraId="0393D3F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eastAsia" w:eastAsia="宋体" w:cs="Times New Roman"/>
                      <w:color w:val="auto"/>
                      <w:sz w:val="21"/>
                      <w:lang w:val="en-US" w:eastAsia="zh-CN"/>
                    </w:rPr>
                  </w:pPr>
                </w:p>
              </w:tc>
              <w:tc>
                <w:tcPr>
                  <w:tcW w:w="424" w:type="pct"/>
                  <w:shd w:val="clear" w:color="auto" w:fill="FFFFFF"/>
                  <w:noWrap w:val="0"/>
                  <w:tcMar>
                    <w:left w:w="0" w:type="dxa"/>
                    <w:right w:w="0" w:type="dxa"/>
                  </w:tcMar>
                  <w:vAlign w:val="center"/>
                </w:tcPr>
                <w:p w14:paraId="195AA77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eastAsia="宋体" w:cs="Times New Roman"/>
                      <w:color w:val="auto"/>
                      <w:sz w:val="21"/>
                      <w:lang w:val="en-US" w:eastAsia="zh-CN"/>
                    </w:rPr>
                    <w:t>0.</w:t>
                  </w:r>
                  <w:r>
                    <w:rPr>
                      <w:rFonts w:hint="eastAsia" w:cs="Times New Roman"/>
                      <w:color w:val="auto"/>
                      <w:sz w:val="21"/>
                      <w:lang w:val="en-US" w:eastAsia="zh-CN"/>
                    </w:rPr>
                    <w:t>72</w:t>
                  </w:r>
                </w:p>
              </w:tc>
              <w:tc>
                <w:tcPr>
                  <w:tcW w:w="424" w:type="pct"/>
                  <w:vMerge w:val="continue"/>
                  <w:shd w:val="clear" w:color="auto" w:fill="FFFFFF"/>
                  <w:noWrap w:val="0"/>
                  <w:tcMar>
                    <w:left w:w="0" w:type="dxa"/>
                    <w:right w:w="0" w:type="dxa"/>
                  </w:tcMar>
                  <w:vAlign w:val="center"/>
                </w:tcPr>
                <w:p w14:paraId="24BE1BF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r>
            <w:tr w14:paraId="298E66D1">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409" w:type="pct"/>
                  <w:vMerge w:val="continue"/>
                  <w:shd w:val="clear" w:color="auto" w:fill="FFFFFF"/>
                  <w:noWrap w:val="0"/>
                  <w:tcMar>
                    <w:left w:w="0" w:type="dxa"/>
                    <w:right w:w="0" w:type="dxa"/>
                  </w:tcMar>
                  <w:vAlign w:val="center"/>
                </w:tcPr>
                <w:p w14:paraId="217CD9B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356" w:type="pct"/>
                  <w:vMerge w:val="continue"/>
                  <w:shd w:val="clear" w:color="auto" w:fill="FFFFFF"/>
                  <w:noWrap w:val="0"/>
                  <w:tcMar>
                    <w:left w:w="0" w:type="dxa"/>
                    <w:right w:w="0" w:type="dxa"/>
                  </w:tcMar>
                  <w:vAlign w:val="center"/>
                </w:tcPr>
                <w:p w14:paraId="22C9F3B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679" w:type="pct"/>
                  <w:vMerge w:val="continue"/>
                  <w:shd w:val="clear" w:color="auto" w:fill="FFFFFF"/>
                  <w:noWrap w:val="0"/>
                  <w:tcMar>
                    <w:left w:w="0" w:type="dxa"/>
                    <w:right w:w="0" w:type="dxa"/>
                  </w:tcMar>
                  <w:vAlign w:val="center"/>
                </w:tcPr>
                <w:p w14:paraId="447D3B9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green"/>
                      <w:lang w:val="en-US" w:eastAsia="zh-CN"/>
                    </w:rPr>
                  </w:pPr>
                </w:p>
              </w:tc>
              <w:tc>
                <w:tcPr>
                  <w:tcW w:w="580" w:type="pct"/>
                  <w:vMerge w:val="continue"/>
                  <w:shd w:val="clear" w:color="auto" w:fill="FFFFFF"/>
                  <w:noWrap w:val="0"/>
                  <w:tcMar>
                    <w:left w:w="0" w:type="dxa"/>
                    <w:right w:w="0" w:type="dxa"/>
                  </w:tcMar>
                  <w:vAlign w:val="center"/>
                </w:tcPr>
                <w:p w14:paraId="2A2539F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green"/>
                      <w:lang w:val="en-US" w:eastAsia="zh-CN"/>
                    </w:rPr>
                  </w:pPr>
                </w:p>
              </w:tc>
              <w:tc>
                <w:tcPr>
                  <w:tcW w:w="879" w:type="pct"/>
                  <w:shd w:val="clear" w:color="auto" w:fill="FFFFFF"/>
                  <w:noWrap w:val="0"/>
                  <w:tcMar>
                    <w:left w:w="0" w:type="dxa"/>
                    <w:right w:w="0" w:type="dxa"/>
                  </w:tcMar>
                  <w:vAlign w:val="center"/>
                </w:tcPr>
                <w:p w14:paraId="62B414B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烟气黑度</w:t>
                  </w:r>
                </w:p>
              </w:tc>
              <w:tc>
                <w:tcPr>
                  <w:tcW w:w="434" w:type="pct"/>
                  <w:vMerge w:val="continue"/>
                  <w:shd w:val="clear" w:color="auto" w:fill="FFFFFF"/>
                  <w:noWrap w:val="0"/>
                  <w:tcMar>
                    <w:left w:w="0" w:type="dxa"/>
                    <w:right w:w="0" w:type="dxa"/>
                  </w:tcMar>
                  <w:vAlign w:val="center"/>
                </w:tcPr>
                <w:p w14:paraId="701DB3E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376" w:type="pct"/>
                  <w:vMerge w:val="continue"/>
                  <w:shd w:val="clear" w:color="auto" w:fill="FFFFFF"/>
                  <w:noWrap w:val="0"/>
                  <w:tcMar>
                    <w:left w:w="0" w:type="dxa"/>
                    <w:right w:w="0" w:type="dxa"/>
                  </w:tcMar>
                  <w:vAlign w:val="center"/>
                </w:tcPr>
                <w:p w14:paraId="38292AA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c>
                <w:tcPr>
                  <w:tcW w:w="434" w:type="pct"/>
                  <w:vMerge w:val="continue"/>
                  <w:shd w:val="clear" w:color="auto" w:fill="FFFFFF"/>
                  <w:noWrap w:val="0"/>
                  <w:tcMar>
                    <w:left w:w="0" w:type="dxa"/>
                    <w:right w:w="0" w:type="dxa"/>
                  </w:tcMar>
                  <w:vAlign w:val="center"/>
                </w:tcPr>
                <w:p w14:paraId="65792E4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eastAsia" w:eastAsia="宋体" w:cs="Times New Roman"/>
                      <w:color w:val="auto"/>
                      <w:sz w:val="21"/>
                      <w:lang w:val="en-US" w:eastAsia="zh-CN"/>
                    </w:rPr>
                  </w:pPr>
                </w:p>
              </w:tc>
              <w:tc>
                <w:tcPr>
                  <w:tcW w:w="424" w:type="pct"/>
                  <w:shd w:val="clear" w:color="auto" w:fill="FFFFFF"/>
                  <w:noWrap w:val="0"/>
                  <w:tcMar>
                    <w:left w:w="0" w:type="dxa"/>
                    <w:right w:w="0" w:type="dxa"/>
                  </w:tcMar>
                  <w:vAlign w:val="center"/>
                </w:tcPr>
                <w:p w14:paraId="076F003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eastAsia="宋体" w:cs="Times New Roman"/>
                      <w:color w:val="auto"/>
                      <w:sz w:val="21"/>
                      <w:lang w:val="en-US" w:eastAsia="zh-CN"/>
                    </w:rPr>
                    <w:t>/</w:t>
                  </w:r>
                </w:p>
              </w:tc>
              <w:tc>
                <w:tcPr>
                  <w:tcW w:w="424" w:type="pct"/>
                  <w:vMerge w:val="continue"/>
                  <w:shd w:val="clear" w:color="auto" w:fill="FFFFFF"/>
                  <w:noWrap w:val="0"/>
                  <w:tcMar>
                    <w:left w:w="0" w:type="dxa"/>
                    <w:right w:w="0" w:type="dxa"/>
                  </w:tcMar>
                  <w:vAlign w:val="center"/>
                </w:tcPr>
                <w:p w14:paraId="6307CA2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r>
            <w:tr w14:paraId="272E1C2A">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409" w:type="pct"/>
                  <w:shd w:val="clear" w:color="auto" w:fill="FFFFFF"/>
                  <w:noWrap w:val="0"/>
                  <w:tcMar>
                    <w:left w:w="0" w:type="dxa"/>
                    <w:right w:w="0" w:type="dxa"/>
                  </w:tcMar>
                  <w:vAlign w:val="center"/>
                </w:tcPr>
                <w:p w14:paraId="6472EFE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DA00</w:t>
                  </w:r>
                  <w:r>
                    <w:rPr>
                      <w:rFonts w:hint="eastAsia" w:ascii="Times New Roman" w:hAnsi="Times New Roman" w:eastAsia="宋体" w:cs="Times New Roman"/>
                      <w:color w:val="auto"/>
                      <w:sz w:val="21"/>
                      <w:highlight w:val="none"/>
                      <w:lang w:val="en-US" w:eastAsia="zh-CN"/>
                    </w:rPr>
                    <w:t>2</w:t>
                  </w:r>
                </w:p>
              </w:tc>
              <w:tc>
                <w:tcPr>
                  <w:tcW w:w="356" w:type="pct"/>
                  <w:shd w:val="clear" w:color="auto" w:fill="FFFFFF"/>
                  <w:noWrap w:val="0"/>
                  <w:tcMar>
                    <w:left w:w="0" w:type="dxa"/>
                    <w:right w:w="0" w:type="dxa"/>
                  </w:tcMar>
                  <w:vAlign w:val="center"/>
                </w:tcPr>
                <w:p w14:paraId="096644A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排气筒</w:t>
                  </w:r>
                </w:p>
              </w:tc>
              <w:tc>
                <w:tcPr>
                  <w:tcW w:w="679" w:type="pct"/>
                  <w:shd w:val="clear" w:color="auto" w:fill="FFFFFF"/>
                  <w:noWrap w:val="0"/>
                  <w:tcMar>
                    <w:left w:w="0" w:type="dxa"/>
                    <w:right w:w="0" w:type="dxa"/>
                  </w:tcMar>
                  <w:vAlign w:val="center"/>
                </w:tcPr>
                <w:p w14:paraId="01EE524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131.170627</w:t>
                  </w:r>
                </w:p>
              </w:tc>
              <w:tc>
                <w:tcPr>
                  <w:tcW w:w="580" w:type="pct"/>
                  <w:shd w:val="clear" w:color="auto" w:fill="FFFFFF"/>
                  <w:noWrap w:val="0"/>
                  <w:tcMar>
                    <w:left w:w="0" w:type="dxa"/>
                    <w:right w:w="0" w:type="dxa"/>
                  </w:tcMar>
                  <w:vAlign w:val="center"/>
                </w:tcPr>
                <w:p w14:paraId="2B81D47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46.61354</w:t>
                  </w:r>
                  <w:r>
                    <w:rPr>
                      <w:rFonts w:hint="eastAsia" w:ascii="Times New Roman" w:hAnsi="Times New Roman" w:eastAsia="宋体" w:cs="Times New Roman"/>
                      <w:color w:val="auto"/>
                      <w:sz w:val="21"/>
                      <w:highlight w:val="none"/>
                      <w:lang w:val="en-US" w:eastAsia="zh-CN"/>
                    </w:rPr>
                    <w:t>4</w:t>
                  </w:r>
                </w:p>
              </w:tc>
              <w:tc>
                <w:tcPr>
                  <w:tcW w:w="879" w:type="pct"/>
                  <w:shd w:val="clear" w:color="auto" w:fill="FFFFFF"/>
                  <w:noWrap w:val="0"/>
                  <w:tcMar>
                    <w:left w:w="0" w:type="dxa"/>
                    <w:right w:w="0" w:type="dxa"/>
                  </w:tcMar>
                  <w:vAlign w:val="center"/>
                </w:tcPr>
                <w:p w14:paraId="3DC7BC8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非甲烷总烃</w:t>
                  </w:r>
                </w:p>
              </w:tc>
              <w:tc>
                <w:tcPr>
                  <w:tcW w:w="434" w:type="pct"/>
                  <w:shd w:val="clear" w:color="auto" w:fill="FFFFFF"/>
                  <w:noWrap w:val="0"/>
                  <w:tcMar>
                    <w:left w:w="0" w:type="dxa"/>
                    <w:right w:w="0" w:type="dxa"/>
                  </w:tcMar>
                  <w:vAlign w:val="center"/>
                </w:tcPr>
                <w:p w14:paraId="45792F4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15</w:t>
                  </w:r>
                </w:p>
              </w:tc>
              <w:tc>
                <w:tcPr>
                  <w:tcW w:w="376" w:type="pct"/>
                  <w:shd w:val="clear" w:color="auto" w:fill="FFFFFF"/>
                  <w:noWrap w:val="0"/>
                  <w:tcMar>
                    <w:left w:w="0" w:type="dxa"/>
                    <w:right w:w="0" w:type="dxa"/>
                  </w:tcMar>
                  <w:vAlign w:val="center"/>
                </w:tcPr>
                <w:p w14:paraId="6AC80B7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0.3</w:t>
                  </w:r>
                </w:p>
              </w:tc>
              <w:tc>
                <w:tcPr>
                  <w:tcW w:w="434" w:type="pct"/>
                  <w:shd w:val="clear" w:color="auto" w:fill="FFFFFF"/>
                  <w:noWrap w:val="0"/>
                  <w:tcMar>
                    <w:left w:w="0" w:type="dxa"/>
                    <w:right w:w="0" w:type="dxa"/>
                  </w:tcMar>
                  <w:vAlign w:val="center"/>
                </w:tcPr>
                <w:p w14:paraId="1FA35D7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eastAsia="宋体" w:cs="Times New Roman"/>
                      <w:color w:val="auto"/>
                      <w:sz w:val="21"/>
                      <w:highlight w:val="none"/>
                      <w:lang w:val="en-US" w:eastAsia="zh-CN"/>
                    </w:rPr>
                  </w:pPr>
                  <w:r>
                    <w:rPr>
                      <w:rFonts w:hint="eastAsia" w:cs="Times New Roman"/>
                      <w:color w:val="auto"/>
                      <w:sz w:val="21"/>
                      <w:highlight w:val="none"/>
                      <w:lang w:val="en-US" w:eastAsia="zh-CN"/>
                    </w:rPr>
                    <w:t>20</w:t>
                  </w:r>
                </w:p>
              </w:tc>
              <w:tc>
                <w:tcPr>
                  <w:tcW w:w="424" w:type="pct"/>
                  <w:shd w:val="clear" w:color="auto" w:fill="FFFFFF"/>
                  <w:noWrap w:val="0"/>
                  <w:tcMar>
                    <w:left w:w="0" w:type="dxa"/>
                    <w:right w:w="0" w:type="dxa"/>
                  </w:tcMar>
                  <w:vAlign w:val="center"/>
                </w:tcPr>
                <w:p w14:paraId="5034A1D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eastAsia="宋体" w:cs="Times New Roman"/>
                      <w:color w:val="auto"/>
                      <w:sz w:val="21"/>
                      <w:highlight w:val="none"/>
                      <w:lang w:val="en-US" w:eastAsia="zh-CN"/>
                    </w:rPr>
                  </w:pPr>
                  <w:r>
                    <w:rPr>
                      <w:rFonts w:hint="eastAsia" w:cs="Times New Roman"/>
                      <w:color w:val="auto"/>
                      <w:sz w:val="21"/>
                      <w:highlight w:val="none"/>
                      <w:lang w:val="en-US" w:eastAsia="zh-CN"/>
                    </w:rPr>
                    <w:t>0.0219</w:t>
                  </w:r>
                </w:p>
              </w:tc>
              <w:tc>
                <w:tcPr>
                  <w:tcW w:w="424" w:type="pct"/>
                  <w:shd w:val="clear" w:color="auto" w:fill="FFFFFF"/>
                  <w:noWrap w:val="0"/>
                  <w:tcMar>
                    <w:left w:w="0" w:type="dxa"/>
                    <w:right w:w="0" w:type="dxa"/>
                  </w:tcMar>
                  <w:vAlign w:val="center"/>
                </w:tcPr>
                <w:p w14:paraId="26EE142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一般排放口</w:t>
                  </w:r>
                </w:p>
              </w:tc>
            </w:tr>
          </w:tbl>
          <w:p w14:paraId="7CA61CA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b/>
                <w:bCs w:val="0"/>
                <w:snapToGrid w:val="0"/>
                <w:color w:val="auto"/>
                <w:kern w:val="0"/>
                <w:sz w:val="24"/>
                <w:szCs w:val="24"/>
                <w:lang w:val="en-US" w:eastAsia="zh-CN"/>
              </w:rPr>
            </w:pPr>
            <w:r>
              <w:rPr>
                <w:rFonts w:hint="eastAsia" w:eastAsia="微软雅黑" w:cs="Times New Roman"/>
                <w:b/>
                <w:bCs w:val="0"/>
                <w:snapToGrid w:val="0"/>
                <w:color w:val="auto"/>
                <w:kern w:val="0"/>
                <w:sz w:val="24"/>
                <w:szCs w:val="24"/>
                <w:lang w:val="en-US" w:eastAsia="zh-CN"/>
              </w:rPr>
              <w:t>5、</w:t>
            </w:r>
            <w:r>
              <w:rPr>
                <w:rFonts w:hint="default"/>
                <w:b/>
                <w:bCs w:val="0"/>
                <w:snapToGrid w:val="0"/>
                <w:color w:val="auto"/>
                <w:kern w:val="0"/>
                <w:sz w:val="24"/>
                <w:szCs w:val="24"/>
                <w:lang w:val="en-US" w:eastAsia="zh-CN"/>
              </w:rPr>
              <w:t>废气监测计划</w:t>
            </w:r>
          </w:p>
          <w:p w14:paraId="32BB312B">
            <w:pPr>
              <w:adjustRightInd w:val="0"/>
              <w:snapToGrid w:val="0"/>
              <w:spacing w:line="360" w:lineRule="auto"/>
              <w:ind w:firstLine="480" w:firstLineChars="200"/>
              <w:rPr>
                <w:rFonts w:hint="default"/>
                <w:bCs/>
                <w:snapToGrid w:val="0"/>
                <w:color w:val="auto"/>
                <w:kern w:val="0"/>
                <w:sz w:val="24"/>
                <w:szCs w:val="24"/>
                <w:lang w:val="en-US" w:eastAsia="zh-CN"/>
              </w:rPr>
            </w:pPr>
            <w:r>
              <w:rPr>
                <w:rFonts w:hint="default"/>
                <w:bCs/>
                <w:snapToGrid w:val="0"/>
                <w:color w:val="auto"/>
                <w:kern w:val="0"/>
                <w:sz w:val="24"/>
                <w:szCs w:val="24"/>
                <w:lang w:val="en-US" w:eastAsia="zh-CN"/>
              </w:rPr>
              <w:t>根据《排污许可证申请与核发技术规范锅炉》（HJ 953-2018）、《排污单位自行监测技术指南火力发电及锅炉》（HJ 820-2017）、《排污许可证申请与核发技术规范人造板工业》（HJ 1032-2019）及《排污单位自行监测技术指南人造板工业》（HJ 1206-2021）</w:t>
            </w:r>
            <w:r>
              <w:rPr>
                <w:rFonts w:hint="eastAsia"/>
                <w:bCs/>
                <w:snapToGrid w:val="0"/>
                <w:color w:val="auto"/>
                <w:kern w:val="0"/>
                <w:sz w:val="24"/>
                <w:szCs w:val="24"/>
                <w:lang w:val="en-US" w:eastAsia="zh-CN"/>
              </w:rPr>
              <w:t>，</w:t>
            </w:r>
            <w:r>
              <w:rPr>
                <w:rFonts w:hint="default"/>
                <w:bCs/>
                <w:snapToGrid w:val="0"/>
                <w:color w:val="auto"/>
                <w:kern w:val="0"/>
                <w:sz w:val="24"/>
                <w:szCs w:val="24"/>
                <w:lang w:val="en-US" w:eastAsia="zh-CN"/>
              </w:rPr>
              <w:t>本项目需要提出生产运行期的污染源监测计划。若企业不具备监测条件进行上述污染源及环境质量监测，可委托有资质的环境监测单位进行监测中的相关规定。本项目废气监测方案详见下表。</w:t>
            </w:r>
          </w:p>
          <w:p w14:paraId="0A2A55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表4-</w:t>
            </w:r>
            <w:r>
              <w:rPr>
                <w:rFonts w:hint="eastAsia" w:cs="Times New Roman"/>
                <w:b/>
                <w:bCs w:val="0"/>
                <w:color w:val="auto"/>
                <w:sz w:val="24"/>
                <w:szCs w:val="24"/>
                <w:highlight w:val="none"/>
                <w:lang w:val="en-US" w:eastAsia="zh-CN"/>
              </w:rPr>
              <w:t>7</w:t>
            </w:r>
            <w:r>
              <w:rPr>
                <w:rFonts w:hint="default" w:ascii="Times New Roman" w:hAnsi="Times New Roman" w:eastAsia="宋体" w:cs="Times New Roman"/>
                <w:b/>
                <w:bCs w:val="0"/>
                <w:color w:val="auto"/>
                <w:sz w:val="24"/>
                <w:szCs w:val="24"/>
                <w:highlight w:val="none"/>
                <w:lang w:val="en-US" w:eastAsia="zh-CN"/>
              </w:rPr>
              <w:t xml:space="preserve">  自行监测方案</w:t>
            </w:r>
          </w:p>
          <w:tbl>
            <w:tblPr>
              <w:tblStyle w:val="31"/>
              <w:tblW w:w="80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2"/>
              <w:gridCol w:w="2106"/>
              <w:gridCol w:w="1790"/>
              <w:gridCol w:w="1925"/>
              <w:gridCol w:w="1465"/>
            </w:tblGrid>
            <w:tr w14:paraId="164E0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90" w:type="pct"/>
                  <w:tcBorders>
                    <w:tl2br w:val="nil"/>
                    <w:tr2bl w:val="nil"/>
                  </w:tcBorders>
                  <w:noWrap w:val="0"/>
                  <w:tcMar>
                    <w:top w:w="0" w:type="dxa"/>
                    <w:left w:w="0" w:type="dxa"/>
                    <w:bottom w:w="0" w:type="dxa"/>
                    <w:right w:w="0" w:type="dxa"/>
                  </w:tcMar>
                  <w:vAlign w:val="center"/>
                </w:tcPr>
                <w:p w14:paraId="202A958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序号</w:t>
                  </w:r>
                </w:p>
              </w:tc>
              <w:tc>
                <w:tcPr>
                  <w:tcW w:w="1303" w:type="pct"/>
                  <w:tcBorders>
                    <w:tl2br w:val="nil"/>
                    <w:tr2bl w:val="nil"/>
                  </w:tcBorders>
                  <w:noWrap w:val="0"/>
                  <w:tcMar>
                    <w:top w:w="0" w:type="dxa"/>
                    <w:left w:w="0" w:type="dxa"/>
                    <w:bottom w:w="0" w:type="dxa"/>
                    <w:right w:w="0" w:type="dxa"/>
                  </w:tcMar>
                  <w:vAlign w:val="center"/>
                </w:tcPr>
                <w:p w14:paraId="0837413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监测点位</w:t>
                  </w:r>
                </w:p>
              </w:tc>
              <w:tc>
                <w:tcPr>
                  <w:tcW w:w="1107" w:type="pct"/>
                  <w:tcBorders>
                    <w:tl2br w:val="nil"/>
                    <w:tr2bl w:val="nil"/>
                  </w:tcBorders>
                  <w:noWrap w:val="0"/>
                  <w:tcMar>
                    <w:top w:w="0" w:type="dxa"/>
                    <w:left w:w="0" w:type="dxa"/>
                    <w:bottom w:w="0" w:type="dxa"/>
                    <w:right w:w="0" w:type="dxa"/>
                  </w:tcMar>
                  <w:vAlign w:val="center"/>
                </w:tcPr>
                <w:p w14:paraId="1EC0A48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监测指标</w:t>
                  </w:r>
                </w:p>
              </w:tc>
              <w:tc>
                <w:tcPr>
                  <w:tcW w:w="1191" w:type="pct"/>
                  <w:tcBorders>
                    <w:tl2br w:val="nil"/>
                    <w:tr2bl w:val="nil"/>
                  </w:tcBorders>
                  <w:noWrap w:val="0"/>
                  <w:tcMar>
                    <w:top w:w="0" w:type="dxa"/>
                    <w:left w:w="0" w:type="dxa"/>
                    <w:bottom w:w="0" w:type="dxa"/>
                    <w:right w:w="0" w:type="dxa"/>
                  </w:tcMar>
                  <w:vAlign w:val="center"/>
                </w:tcPr>
                <w:p w14:paraId="00FCA0D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监测频次</w:t>
                  </w:r>
                </w:p>
              </w:tc>
              <w:tc>
                <w:tcPr>
                  <w:tcW w:w="906" w:type="pct"/>
                  <w:tcBorders>
                    <w:tl2br w:val="nil"/>
                    <w:tr2bl w:val="nil"/>
                  </w:tcBorders>
                  <w:noWrap w:val="0"/>
                  <w:tcMar>
                    <w:top w:w="0" w:type="dxa"/>
                    <w:left w:w="0" w:type="dxa"/>
                    <w:bottom w:w="0" w:type="dxa"/>
                    <w:right w:w="0" w:type="dxa"/>
                  </w:tcMar>
                  <w:vAlign w:val="center"/>
                </w:tcPr>
                <w:p w14:paraId="20CA24B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执行机构</w:t>
                  </w:r>
                </w:p>
              </w:tc>
            </w:tr>
            <w:tr w14:paraId="17A96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490" w:type="pct"/>
                  <w:tcBorders>
                    <w:tl2br w:val="nil"/>
                    <w:tr2bl w:val="nil"/>
                  </w:tcBorders>
                  <w:noWrap w:val="0"/>
                  <w:tcMar>
                    <w:top w:w="0" w:type="dxa"/>
                    <w:left w:w="0" w:type="dxa"/>
                    <w:bottom w:w="0" w:type="dxa"/>
                    <w:right w:w="0" w:type="dxa"/>
                  </w:tcMar>
                  <w:vAlign w:val="center"/>
                </w:tcPr>
                <w:p w14:paraId="14F7BD4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1</w:t>
                  </w:r>
                </w:p>
              </w:tc>
              <w:tc>
                <w:tcPr>
                  <w:tcW w:w="1303" w:type="pct"/>
                  <w:tcBorders>
                    <w:tl2br w:val="nil"/>
                    <w:tr2bl w:val="nil"/>
                  </w:tcBorders>
                  <w:noWrap w:val="0"/>
                  <w:tcMar>
                    <w:top w:w="0" w:type="dxa"/>
                    <w:left w:w="0" w:type="dxa"/>
                    <w:bottom w:w="0" w:type="dxa"/>
                    <w:right w:w="0" w:type="dxa"/>
                  </w:tcMar>
                  <w:vAlign w:val="center"/>
                </w:tcPr>
                <w:p w14:paraId="3630A59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DA001</w:t>
                  </w:r>
                  <w:r>
                    <w:rPr>
                      <w:rFonts w:hint="default" w:ascii="Times New Roman" w:hAnsi="Times New Roman" w:eastAsia="宋体" w:cs="Times New Roman"/>
                      <w:color w:val="auto"/>
                      <w:sz w:val="21"/>
                      <w:lang w:val="en-US" w:eastAsia="zh-CN"/>
                    </w:rPr>
                    <w:t>采样口</w:t>
                  </w:r>
                </w:p>
              </w:tc>
              <w:tc>
                <w:tcPr>
                  <w:tcW w:w="1107" w:type="pct"/>
                  <w:tcBorders>
                    <w:tl2br w:val="nil"/>
                    <w:tr2bl w:val="nil"/>
                  </w:tcBorders>
                  <w:noWrap w:val="0"/>
                  <w:tcMar>
                    <w:top w:w="0" w:type="dxa"/>
                    <w:left w:w="0" w:type="dxa"/>
                    <w:bottom w:w="0" w:type="dxa"/>
                    <w:right w:w="0" w:type="dxa"/>
                  </w:tcMar>
                  <w:vAlign w:val="center"/>
                </w:tcPr>
                <w:p w14:paraId="5A8B319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颗粒物、SO</w:t>
                  </w:r>
                  <w:r>
                    <w:rPr>
                      <w:rFonts w:hint="default" w:ascii="Times New Roman" w:hAnsi="Times New Roman" w:eastAsia="宋体" w:cs="Times New Roman"/>
                      <w:color w:val="auto"/>
                      <w:sz w:val="21"/>
                      <w:vertAlign w:val="subscript"/>
                      <w:lang w:val="en-US" w:eastAsia="zh-CN"/>
                    </w:rPr>
                    <w:t>2</w:t>
                  </w:r>
                  <w:r>
                    <w:rPr>
                      <w:rFonts w:hint="default" w:ascii="Times New Roman" w:hAnsi="Times New Roman" w:eastAsia="宋体" w:cs="Times New Roman"/>
                      <w:color w:val="auto"/>
                      <w:sz w:val="21"/>
                      <w:lang w:val="en-US" w:eastAsia="zh-CN"/>
                    </w:rPr>
                    <w:t>、NO</w:t>
                  </w:r>
                  <w:r>
                    <w:rPr>
                      <w:rFonts w:hint="default" w:ascii="Times New Roman" w:hAnsi="Times New Roman" w:eastAsia="宋体" w:cs="Times New Roman"/>
                      <w:color w:val="auto"/>
                      <w:sz w:val="21"/>
                      <w:vertAlign w:val="subscript"/>
                      <w:lang w:val="en-US" w:eastAsia="zh-CN"/>
                    </w:rPr>
                    <w:t>X</w:t>
                  </w:r>
                  <w:r>
                    <w:rPr>
                      <w:rFonts w:hint="default" w:ascii="Times New Roman" w:hAnsi="Times New Roman" w:eastAsia="宋体" w:cs="Times New Roman"/>
                      <w:color w:val="auto"/>
                      <w:sz w:val="21"/>
                      <w:lang w:val="en-US" w:eastAsia="zh-CN"/>
                    </w:rPr>
                    <w:t>、烟气黑度</w:t>
                  </w:r>
                </w:p>
              </w:tc>
              <w:tc>
                <w:tcPr>
                  <w:tcW w:w="1191" w:type="pct"/>
                  <w:tcBorders>
                    <w:tl2br w:val="nil"/>
                    <w:tr2bl w:val="nil"/>
                  </w:tcBorders>
                  <w:noWrap w:val="0"/>
                  <w:tcMar>
                    <w:top w:w="0" w:type="dxa"/>
                    <w:left w:w="0" w:type="dxa"/>
                    <w:bottom w:w="0" w:type="dxa"/>
                    <w:right w:w="0" w:type="dxa"/>
                  </w:tcMar>
                  <w:vAlign w:val="center"/>
                </w:tcPr>
                <w:p w14:paraId="3708310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1次</w:t>
                  </w:r>
                  <w:r>
                    <w:rPr>
                      <w:rFonts w:hint="default" w:ascii="Times New Roman" w:hAnsi="Times New Roman" w:eastAsia="宋体" w:cs="Times New Roman"/>
                      <w:color w:val="auto"/>
                      <w:sz w:val="21"/>
                      <w:lang w:val="en-US" w:eastAsia="zh-CN"/>
                    </w:rPr>
                    <w:t>/</w:t>
                  </w:r>
                  <w:r>
                    <w:rPr>
                      <w:rFonts w:hint="eastAsia" w:cs="Times New Roman"/>
                      <w:color w:val="auto"/>
                      <w:sz w:val="21"/>
                      <w:lang w:val="en-US" w:eastAsia="zh-CN"/>
                    </w:rPr>
                    <w:t>月</w:t>
                  </w:r>
                </w:p>
              </w:tc>
              <w:tc>
                <w:tcPr>
                  <w:tcW w:w="906" w:type="pct"/>
                  <w:vMerge w:val="restart"/>
                  <w:tcBorders>
                    <w:tl2br w:val="nil"/>
                    <w:tr2bl w:val="nil"/>
                  </w:tcBorders>
                  <w:noWrap w:val="0"/>
                  <w:tcMar>
                    <w:top w:w="0" w:type="dxa"/>
                    <w:left w:w="0" w:type="dxa"/>
                    <w:bottom w:w="0" w:type="dxa"/>
                    <w:right w:w="0" w:type="dxa"/>
                  </w:tcMar>
                  <w:vAlign w:val="center"/>
                </w:tcPr>
                <w:p w14:paraId="60AEC9C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lang w:val="en-US" w:eastAsia="zh-CN" w:bidi="ar-SA"/>
                    </w:rPr>
                  </w:pPr>
                  <w:r>
                    <w:rPr>
                      <w:rFonts w:hint="eastAsia" w:cs="Times New Roman"/>
                      <w:color w:val="auto"/>
                      <w:sz w:val="21"/>
                      <w:lang w:val="en-US" w:eastAsia="zh-CN"/>
                    </w:rPr>
                    <w:t>有资质检测单位</w:t>
                  </w:r>
                </w:p>
              </w:tc>
            </w:tr>
            <w:tr w14:paraId="277B3D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490" w:type="pct"/>
                  <w:tcBorders>
                    <w:tl2br w:val="nil"/>
                    <w:tr2bl w:val="nil"/>
                  </w:tcBorders>
                  <w:noWrap w:val="0"/>
                  <w:tcMar>
                    <w:top w:w="0" w:type="dxa"/>
                    <w:left w:w="0" w:type="dxa"/>
                    <w:bottom w:w="0" w:type="dxa"/>
                    <w:right w:w="0" w:type="dxa"/>
                  </w:tcMar>
                  <w:vAlign w:val="center"/>
                </w:tcPr>
                <w:p w14:paraId="51B41C9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2</w:t>
                  </w:r>
                </w:p>
              </w:tc>
              <w:tc>
                <w:tcPr>
                  <w:tcW w:w="1303" w:type="pct"/>
                  <w:tcBorders>
                    <w:tl2br w:val="nil"/>
                    <w:tr2bl w:val="nil"/>
                  </w:tcBorders>
                  <w:noWrap w:val="0"/>
                  <w:tcMar>
                    <w:top w:w="0" w:type="dxa"/>
                    <w:left w:w="0" w:type="dxa"/>
                    <w:bottom w:w="0" w:type="dxa"/>
                    <w:right w:w="0" w:type="dxa"/>
                  </w:tcMar>
                  <w:vAlign w:val="center"/>
                </w:tcPr>
                <w:p w14:paraId="6E74DE1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DA002</w:t>
                  </w:r>
                  <w:r>
                    <w:rPr>
                      <w:rFonts w:hint="default" w:ascii="Times New Roman" w:hAnsi="Times New Roman" w:eastAsia="宋体" w:cs="Times New Roman"/>
                      <w:color w:val="auto"/>
                      <w:sz w:val="21"/>
                      <w:lang w:val="en-US" w:eastAsia="zh-CN"/>
                    </w:rPr>
                    <w:t>采样口</w:t>
                  </w:r>
                </w:p>
              </w:tc>
              <w:tc>
                <w:tcPr>
                  <w:tcW w:w="1107" w:type="pct"/>
                  <w:tcBorders>
                    <w:tl2br w:val="nil"/>
                    <w:tr2bl w:val="nil"/>
                  </w:tcBorders>
                  <w:noWrap w:val="0"/>
                  <w:tcMar>
                    <w:top w:w="0" w:type="dxa"/>
                    <w:left w:w="0" w:type="dxa"/>
                    <w:bottom w:w="0" w:type="dxa"/>
                    <w:right w:w="0" w:type="dxa"/>
                  </w:tcMar>
                  <w:vAlign w:val="center"/>
                </w:tcPr>
                <w:p w14:paraId="3EDE6D1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非甲烷总烃</w:t>
                  </w:r>
                </w:p>
              </w:tc>
              <w:tc>
                <w:tcPr>
                  <w:tcW w:w="1191" w:type="pct"/>
                  <w:tcBorders>
                    <w:tl2br w:val="nil"/>
                    <w:tr2bl w:val="nil"/>
                  </w:tcBorders>
                  <w:noWrap w:val="0"/>
                  <w:tcMar>
                    <w:top w:w="0" w:type="dxa"/>
                    <w:left w:w="0" w:type="dxa"/>
                    <w:bottom w:w="0" w:type="dxa"/>
                    <w:right w:w="0" w:type="dxa"/>
                  </w:tcMar>
                  <w:vAlign w:val="center"/>
                </w:tcPr>
                <w:p w14:paraId="512A152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1次/年</w:t>
                  </w:r>
                </w:p>
              </w:tc>
              <w:tc>
                <w:tcPr>
                  <w:tcW w:w="906" w:type="pct"/>
                  <w:vMerge w:val="continue"/>
                  <w:tcBorders>
                    <w:tl2br w:val="nil"/>
                    <w:tr2bl w:val="nil"/>
                  </w:tcBorders>
                  <w:noWrap w:val="0"/>
                  <w:tcMar>
                    <w:top w:w="0" w:type="dxa"/>
                    <w:left w:w="0" w:type="dxa"/>
                    <w:bottom w:w="0" w:type="dxa"/>
                    <w:right w:w="0" w:type="dxa"/>
                  </w:tcMar>
                  <w:vAlign w:val="center"/>
                </w:tcPr>
                <w:p w14:paraId="75B8DE6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p>
              </w:tc>
            </w:tr>
            <w:tr w14:paraId="2E0EC7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490" w:type="pct"/>
                  <w:tcBorders>
                    <w:tl2br w:val="nil"/>
                    <w:tr2bl w:val="nil"/>
                  </w:tcBorders>
                  <w:noWrap w:val="0"/>
                  <w:tcMar>
                    <w:top w:w="0" w:type="dxa"/>
                    <w:left w:w="0" w:type="dxa"/>
                    <w:bottom w:w="0" w:type="dxa"/>
                    <w:right w:w="0" w:type="dxa"/>
                  </w:tcMar>
                  <w:vAlign w:val="center"/>
                </w:tcPr>
                <w:p w14:paraId="563ABB4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3</w:t>
                  </w:r>
                </w:p>
              </w:tc>
              <w:tc>
                <w:tcPr>
                  <w:tcW w:w="1303" w:type="pct"/>
                  <w:tcBorders>
                    <w:tl2br w:val="nil"/>
                    <w:tr2bl w:val="nil"/>
                  </w:tcBorders>
                  <w:shd w:val="clear" w:color="auto" w:fill="auto"/>
                  <w:noWrap w:val="0"/>
                  <w:tcMar>
                    <w:top w:w="0" w:type="dxa"/>
                    <w:left w:w="0" w:type="dxa"/>
                    <w:bottom w:w="0" w:type="dxa"/>
                    <w:right w:w="0" w:type="dxa"/>
                  </w:tcMar>
                  <w:vAlign w:val="center"/>
                </w:tcPr>
                <w:p w14:paraId="588082C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lang w:val="en-US" w:eastAsia="zh-CN" w:bidi="ar-SA"/>
                    </w:rPr>
                  </w:pPr>
                  <w:r>
                    <w:rPr>
                      <w:rFonts w:hint="eastAsia" w:cs="Times New Roman"/>
                      <w:color w:val="auto"/>
                      <w:sz w:val="21"/>
                      <w:lang w:val="en-US" w:eastAsia="zh-CN"/>
                    </w:rPr>
                    <w:t>厂房外</w:t>
                  </w:r>
                </w:p>
              </w:tc>
              <w:tc>
                <w:tcPr>
                  <w:tcW w:w="1107" w:type="pct"/>
                  <w:tcBorders>
                    <w:tl2br w:val="nil"/>
                    <w:tr2bl w:val="nil"/>
                  </w:tcBorders>
                  <w:shd w:val="clear" w:color="auto" w:fill="auto"/>
                  <w:noWrap w:val="0"/>
                  <w:tcMar>
                    <w:top w:w="0" w:type="dxa"/>
                    <w:left w:w="0" w:type="dxa"/>
                    <w:bottom w:w="0" w:type="dxa"/>
                    <w:right w:w="0" w:type="dxa"/>
                  </w:tcMar>
                  <w:vAlign w:val="center"/>
                </w:tcPr>
                <w:p w14:paraId="0A9D403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lang w:val="en-US" w:eastAsia="zh-CN" w:bidi="ar-SA"/>
                    </w:rPr>
                  </w:pPr>
                  <w:r>
                    <w:rPr>
                      <w:rFonts w:hint="eastAsia" w:cs="Times New Roman"/>
                      <w:color w:val="auto"/>
                      <w:sz w:val="21"/>
                      <w:lang w:val="en-US" w:eastAsia="zh-CN"/>
                    </w:rPr>
                    <w:t>非甲烷总烃</w:t>
                  </w:r>
                </w:p>
              </w:tc>
              <w:tc>
                <w:tcPr>
                  <w:tcW w:w="1191" w:type="pct"/>
                  <w:tcBorders>
                    <w:tl2br w:val="nil"/>
                    <w:tr2bl w:val="nil"/>
                  </w:tcBorders>
                  <w:shd w:val="clear" w:color="auto" w:fill="auto"/>
                  <w:noWrap w:val="0"/>
                  <w:tcMar>
                    <w:top w:w="0" w:type="dxa"/>
                    <w:left w:w="0" w:type="dxa"/>
                    <w:bottom w:w="0" w:type="dxa"/>
                    <w:right w:w="0" w:type="dxa"/>
                  </w:tcMar>
                  <w:vAlign w:val="center"/>
                </w:tcPr>
                <w:p w14:paraId="056669F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lang w:val="en-US" w:eastAsia="zh-CN" w:bidi="ar-SA"/>
                    </w:rPr>
                  </w:pPr>
                  <w:r>
                    <w:rPr>
                      <w:rFonts w:hint="eastAsia" w:cs="Times New Roman"/>
                      <w:color w:val="auto"/>
                      <w:sz w:val="21"/>
                      <w:lang w:val="en-US" w:eastAsia="zh-CN"/>
                    </w:rPr>
                    <w:t>1次</w:t>
                  </w:r>
                  <w:r>
                    <w:rPr>
                      <w:rFonts w:hint="default" w:ascii="Times New Roman" w:hAnsi="Times New Roman" w:eastAsia="宋体" w:cs="Times New Roman"/>
                      <w:color w:val="auto"/>
                      <w:sz w:val="21"/>
                      <w:lang w:val="en-US" w:eastAsia="zh-CN"/>
                    </w:rPr>
                    <w:t>/</w:t>
                  </w:r>
                  <w:r>
                    <w:rPr>
                      <w:rFonts w:hint="eastAsia" w:cs="Times New Roman"/>
                      <w:color w:val="auto"/>
                      <w:sz w:val="21"/>
                      <w:lang w:val="en-US" w:eastAsia="zh-CN"/>
                    </w:rPr>
                    <w:t>季</w:t>
                  </w:r>
                </w:p>
              </w:tc>
              <w:tc>
                <w:tcPr>
                  <w:tcW w:w="906" w:type="pct"/>
                  <w:vMerge w:val="continue"/>
                  <w:tcBorders>
                    <w:tl2br w:val="nil"/>
                    <w:tr2bl w:val="nil"/>
                  </w:tcBorders>
                  <w:shd w:val="clear" w:color="auto" w:fill="auto"/>
                  <w:noWrap w:val="0"/>
                  <w:tcMar>
                    <w:top w:w="0" w:type="dxa"/>
                    <w:left w:w="0" w:type="dxa"/>
                    <w:bottom w:w="0" w:type="dxa"/>
                    <w:right w:w="0" w:type="dxa"/>
                  </w:tcMar>
                  <w:vAlign w:val="center"/>
                </w:tcPr>
                <w:p w14:paraId="7B9DCF5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lang w:val="en-US" w:eastAsia="zh-CN" w:bidi="ar-SA"/>
                    </w:rPr>
                  </w:pPr>
                </w:p>
              </w:tc>
            </w:tr>
            <w:tr w14:paraId="7BBCC7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490" w:type="pct"/>
                  <w:tcBorders>
                    <w:tl2br w:val="nil"/>
                    <w:tr2bl w:val="nil"/>
                  </w:tcBorders>
                  <w:noWrap w:val="0"/>
                  <w:tcMar>
                    <w:top w:w="0" w:type="dxa"/>
                    <w:left w:w="0" w:type="dxa"/>
                    <w:bottom w:w="0" w:type="dxa"/>
                    <w:right w:w="0" w:type="dxa"/>
                  </w:tcMar>
                  <w:vAlign w:val="center"/>
                </w:tcPr>
                <w:p w14:paraId="543BC26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cs="Times New Roman"/>
                      <w:color w:val="auto"/>
                      <w:sz w:val="21"/>
                      <w:lang w:val="en-US" w:eastAsia="zh-CN"/>
                    </w:rPr>
                  </w:pPr>
                  <w:r>
                    <w:rPr>
                      <w:rFonts w:hint="eastAsia" w:cs="Times New Roman"/>
                      <w:color w:val="auto"/>
                      <w:sz w:val="21"/>
                      <w:lang w:val="en-US" w:eastAsia="zh-CN"/>
                    </w:rPr>
                    <w:t>4</w:t>
                  </w:r>
                </w:p>
              </w:tc>
              <w:tc>
                <w:tcPr>
                  <w:tcW w:w="1303" w:type="pct"/>
                  <w:tcBorders>
                    <w:tl2br w:val="nil"/>
                    <w:tr2bl w:val="nil"/>
                  </w:tcBorders>
                  <w:shd w:val="clear" w:color="auto" w:fill="auto"/>
                  <w:noWrap w:val="0"/>
                  <w:tcMar>
                    <w:top w:w="0" w:type="dxa"/>
                    <w:left w:w="0" w:type="dxa"/>
                    <w:bottom w:w="0" w:type="dxa"/>
                    <w:right w:w="0" w:type="dxa"/>
                  </w:tcMar>
                  <w:vAlign w:val="center"/>
                </w:tcPr>
                <w:p w14:paraId="56A7B8C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厂界</w:t>
                  </w:r>
                </w:p>
              </w:tc>
              <w:tc>
                <w:tcPr>
                  <w:tcW w:w="1107" w:type="pct"/>
                  <w:tcBorders>
                    <w:tl2br w:val="nil"/>
                    <w:tr2bl w:val="nil"/>
                  </w:tcBorders>
                  <w:shd w:val="clear" w:color="auto" w:fill="auto"/>
                  <w:noWrap w:val="0"/>
                  <w:tcMar>
                    <w:top w:w="0" w:type="dxa"/>
                    <w:left w:w="0" w:type="dxa"/>
                    <w:bottom w:w="0" w:type="dxa"/>
                    <w:right w:w="0" w:type="dxa"/>
                  </w:tcMar>
                  <w:vAlign w:val="center"/>
                </w:tcPr>
                <w:p w14:paraId="10BAF4B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eastAsia" w:cs="Times New Roman"/>
                      <w:color w:val="auto"/>
                      <w:sz w:val="21"/>
                      <w:lang w:val="en-US" w:eastAsia="zh-CN"/>
                    </w:rPr>
                  </w:pPr>
                  <w:r>
                    <w:rPr>
                      <w:rFonts w:hint="eastAsia" w:cs="Times New Roman"/>
                      <w:color w:val="auto"/>
                      <w:sz w:val="21"/>
                      <w:lang w:val="en-US" w:eastAsia="zh-CN"/>
                    </w:rPr>
                    <w:t>颗粒物、非甲烷总烃</w:t>
                  </w:r>
                </w:p>
              </w:tc>
              <w:tc>
                <w:tcPr>
                  <w:tcW w:w="1191" w:type="pct"/>
                  <w:tcBorders>
                    <w:tl2br w:val="nil"/>
                    <w:tr2bl w:val="nil"/>
                  </w:tcBorders>
                  <w:shd w:val="clear" w:color="auto" w:fill="auto"/>
                  <w:noWrap w:val="0"/>
                  <w:tcMar>
                    <w:top w:w="0" w:type="dxa"/>
                    <w:left w:w="0" w:type="dxa"/>
                    <w:bottom w:w="0" w:type="dxa"/>
                    <w:right w:w="0" w:type="dxa"/>
                  </w:tcMar>
                  <w:vAlign w:val="center"/>
                </w:tcPr>
                <w:p w14:paraId="41451A2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eastAsia" w:cs="Times New Roman"/>
                      <w:color w:val="auto"/>
                      <w:sz w:val="21"/>
                      <w:lang w:val="en-US" w:eastAsia="zh-CN"/>
                    </w:rPr>
                  </w:pPr>
                  <w:r>
                    <w:rPr>
                      <w:rFonts w:hint="eastAsia" w:cs="Times New Roman"/>
                      <w:color w:val="auto"/>
                      <w:sz w:val="21"/>
                      <w:lang w:val="en-US" w:eastAsia="zh-CN"/>
                    </w:rPr>
                    <w:t>1次</w:t>
                  </w:r>
                  <w:r>
                    <w:rPr>
                      <w:rFonts w:hint="default" w:ascii="Times New Roman" w:hAnsi="Times New Roman" w:eastAsia="宋体" w:cs="Times New Roman"/>
                      <w:color w:val="auto"/>
                      <w:sz w:val="21"/>
                      <w:lang w:val="en-US" w:eastAsia="zh-CN"/>
                    </w:rPr>
                    <w:t>/</w:t>
                  </w:r>
                  <w:r>
                    <w:rPr>
                      <w:rFonts w:hint="eastAsia" w:eastAsia="宋体" w:cs="Times New Roman"/>
                      <w:color w:val="auto"/>
                      <w:sz w:val="21"/>
                      <w:lang w:val="en-US" w:eastAsia="zh-CN"/>
                    </w:rPr>
                    <w:t>季</w:t>
                  </w:r>
                </w:p>
              </w:tc>
              <w:tc>
                <w:tcPr>
                  <w:tcW w:w="906" w:type="pct"/>
                  <w:vMerge w:val="continue"/>
                  <w:tcBorders>
                    <w:tl2br w:val="nil"/>
                    <w:tr2bl w:val="nil"/>
                  </w:tcBorders>
                  <w:shd w:val="clear" w:color="auto" w:fill="auto"/>
                  <w:noWrap w:val="0"/>
                  <w:tcMar>
                    <w:top w:w="0" w:type="dxa"/>
                    <w:left w:w="0" w:type="dxa"/>
                    <w:bottom w:w="0" w:type="dxa"/>
                    <w:right w:w="0" w:type="dxa"/>
                  </w:tcMar>
                  <w:vAlign w:val="center"/>
                </w:tcPr>
                <w:p w14:paraId="73EFAB0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lang w:val="en-US" w:eastAsia="zh-CN" w:bidi="ar-SA"/>
                    </w:rPr>
                  </w:pPr>
                </w:p>
              </w:tc>
            </w:tr>
          </w:tbl>
          <w:p w14:paraId="1627B538">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rPr>
            </w:pPr>
          </w:p>
        </w:tc>
      </w:tr>
    </w:tbl>
    <w:p w14:paraId="4A229C13">
      <w:pPr>
        <w:rPr>
          <w:color w:val="auto"/>
        </w:rPr>
      </w:pPr>
    </w:p>
    <w:p w14:paraId="2C5D768D">
      <w:pPr>
        <w:rPr>
          <w:color w:val="auto"/>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5BA761B">
      <w:pPr>
        <w:spacing w:line="500" w:lineRule="exact"/>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w:t>
      </w:r>
      <w:r>
        <w:rPr>
          <w:rFonts w:hint="eastAsia"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 xml:space="preserve">  本工程正常工况废气污染源源强核算结果一览表</w:t>
      </w:r>
    </w:p>
    <w:tbl>
      <w:tblPr>
        <w:tblStyle w:val="31"/>
        <w:tblW w:w="5021"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11"/>
        <w:gridCol w:w="405"/>
        <w:gridCol w:w="525"/>
        <w:gridCol w:w="758"/>
        <w:gridCol w:w="798"/>
        <w:gridCol w:w="798"/>
        <w:gridCol w:w="964"/>
        <w:gridCol w:w="813"/>
        <w:gridCol w:w="845"/>
        <w:gridCol w:w="873"/>
        <w:gridCol w:w="796"/>
        <w:gridCol w:w="651"/>
        <w:gridCol w:w="512"/>
        <w:gridCol w:w="783"/>
        <w:gridCol w:w="994"/>
        <w:gridCol w:w="768"/>
        <w:gridCol w:w="851"/>
        <w:gridCol w:w="452"/>
      </w:tblGrid>
      <w:tr w14:paraId="49E716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8" w:hRule="atLeast"/>
        </w:trPr>
        <w:tc>
          <w:tcPr>
            <w:tcW w:w="195" w:type="pct"/>
            <w:vMerge w:val="restart"/>
            <w:noWrap w:val="0"/>
            <w:tcMar>
              <w:top w:w="15" w:type="dxa"/>
              <w:left w:w="15" w:type="dxa"/>
              <w:right w:w="15" w:type="dxa"/>
            </w:tcMar>
            <w:vAlign w:val="center"/>
          </w:tcPr>
          <w:p w14:paraId="7E099516">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生产线</w:t>
            </w:r>
          </w:p>
        </w:tc>
        <w:tc>
          <w:tcPr>
            <w:tcW w:w="154" w:type="pct"/>
            <w:vMerge w:val="restart"/>
            <w:noWrap w:val="0"/>
            <w:tcMar>
              <w:top w:w="15" w:type="dxa"/>
              <w:left w:w="15" w:type="dxa"/>
              <w:right w:w="15" w:type="dxa"/>
            </w:tcMar>
            <w:vAlign w:val="center"/>
          </w:tcPr>
          <w:p w14:paraId="5368C97D">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污染源</w:t>
            </w:r>
          </w:p>
        </w:tc>
        <w:tc>
          <w:tcPr>
            <w:tcW w:w="200" w:type="pct"/>
            <w:vMerge w:val="restart"/>
            <w:noWrap w:val="0"/>
            <w:vAlign w:val="center"/>
          </w:tcPr>
          <w:p w14:paraId="67715783">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排放方式</w:t>
            </w:r>
          </w:p>
        </w:tc>
        <w:tc>
          <w:tcPr>
            <w:tcW w:w="289" w:type="pct"/>
            <w:vMerge w:val="restart"/>
            <w:noWrap w:val="0"/>
            <w:tcMar>
              <w:top w:w="15" w:type="dxa"/>
              <w:left w:w="15" w:type="dxa"/>
              <w:right w:w="15" w:type="dxa"/>
            </w:tcMar>
            <w:vAlign w:val="center"/>
          </w:tcPr>
          <w:p w14:paraId="697FC181">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污染物</w:t>
            </w:r>
          </w:p>
        </w:tc>
        <w:tc>
          <w:tcPr>
            <w:tcW w:w="1610" w:type="pct"/>
            <w:gridSpan w:val="5"/>
            <w:noWrap w:val="0"/>
            <w:tcMar>
              <w:top w:w="15" w:type="dxa"/>
              <w:left w:w="15" w:type="dxa"/>
              <w:right w:w="15" w:type="dxa"/>
            </w:tcMar>
            <w:vAlign w:val="center"/>
          </w:tcPr>
          <w:p w14:paraId="5FC88DE6">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污染物产生</w:t>
            </w:r>
          </w:p>
        </w:tc>
        <w:tc>
          <w:tcPr>
            <w:tcW w:w="885" w:type="pct"/>
            <w:gridSpan w:val="3"/>
            <w:noWrap w:val="0"/>
            <w:tcMar>
              <w:top w:w="15" w:type="dxa"/>
              <w:left w:w="15" w:type="dxa"/>
              <w:right w:w="15" w:type="dxa"/>
            </w:tcMar>
            <w:vAlign w:val="center"/>
          </w:tcPr>
          <w:p w14:paraId="27DBACAB">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治理措施</w:t>
            </w:r>
          </w:p>
        </w:tc>
        <w:tc>
          <w:tcPr>
            <w:tcW w:w="1491" w:type="pct"/>
            <w:gridSpan w:val="5"/>
            <w:noWrap w:val="0"/>
            <w:tcMar>
              <w:top w:w="15" w:type="dxa"/>
              <w:left w:w="15" w:type="dxa"/>
              <w:right w:w="15" w:type="dxa"/>
            </w:tcMar>
            <w:vAlign w:val="center"/>
          </w:tcPr>
          <w:p w14:paraId="0BCA8567">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污染物排放</w:t>
            </w:r>
          </w:p>
        </w:tc>
        <w:tc>
          <w:tcPr>
            <w:tcW w:w="172" w:type="pct"/>
            <w:vMerge w:val="restart"/>
            <w:noWrap w:val="0"/>
            <w:tcMar>
              <w:top w:w="15" w:type="dxa"/>
              <w:left w:w="15" w:type="dxa"/>
              <w:right w:w="15" w:type="dxa"/>
            </w:tcMar>
            <w:vAlign w:val="center"/>
          </w:tcPr>
          <w:p w14:paraId="59A5A5BA">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排放时间</w:t>
            </w:r>
          </w:p>
          <w:p w14:paraId="6D103DB2">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h</w:t>
            </w:r>
          </w:p>
        </w:tc>
      </w:tr>
      <w:tr w14:paraId="5738B1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5" w:hRule="atLeast"/>
        </w:trPr>
        <w:tc>
          <w:tcPr>
            <w:tcW w:w="195" w:type="pct"/>
            <w:vMerge w:val="continue"/>
            <w:noWrap w:val="0"/>
            <w:tcMar>
              <w:top w:w="15" w:type="dxa"/>
              <w:left w:w="15" w:type="dxa"/>
              <w:right w:w="15" w:type="dxa"/>
            </w:tcMar>
            <w:vAlign w:val="center"/>
          </w:tcPr>
          <w:p w14:paraId="6101A60C">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154" w:type="pct"/>
            <w:vMerge w:val="continue"/>
            <w:noWrap w:val="0"/>
            <w:tcMar>
              <w:top w:w="15" w:type="dxa"/>
              <w:left w:w="15" w:type="dxa"/>
              <w:right w:w="15" w:type="dxa"/>
            </w:tcMar>
            <w:vAlign w:val="center"/>
          </w:tcPr>
          <w:p w14:paraId="5C31DB0E">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00" w:type="pct"/>
            <w:vMerge w:val="continue"/>
            <w:noWrap w:val="0"/>
            <w:vAlign w:val="center"/>
          </w:tcPr>
          <w:p w14:paraId="0A190C40">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89" w:type="pct"/>
            <w:vMerge w:val="continue"/>
            <w:noWrap w:val="0"/>
            <w:tcMar>
              <w:top w:w="15" w:type="dxa"/>
              <w:left w:w="15" w:type="dxa"/>
              <w:right w:w="15" w:type="dxa"/>
            </w:tcMar>
            <w:vAlign w:val="center"/>
          </w:tcPr>
          <w:p w14:paraId="130B870B">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304" w:type="pct"/>
            <w:noWrap w:val="0"/>
            <w:tcMar>
              <w:top w:w="15" w:type="dxa"/>
              <w:left w:w="15" w:type="dxa"/>
              <w:right w:w="15" w:type="dxa"/>
            </w:tcMar>
            <w:vAlign w:val="center"/>
          </w:tcPr>
          <w:p w14:paraId="2B7925E7">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核算方法</w:t>
            </w:r>
          </w:p>
        </w:tc>
        <w:tc>
          <w:tcPr>
            <w:tcW w:w="304" w:type="pct"/>
            <w:noWrap w:val="0"/>
            <w:tcMar>
              <w:top w:w="15" w:type="dxa"/>
              <w:left w:w="15" w:type="dxa"/>
              <w:right w:w="15" w:type="dxa"/>
            </w:tcMar>
            <w:vAlign w:val="center"/>
          </w:tcPr>
          <w:p w14:paraId="0E6B3BD9">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废气量m</w:t>
            </w:r>
            <w:r>
              <w:rPr>
                <w:snapToGrid w:val="0"/>
                <w:color w:val="auto"/>
                <w:kern w:val="0"/>
                <w:sz w:val="21"/>
                <w:szCs w:val="21"/>
                <w:vertAlign w:val="superscript"/>
              </w:rPr>
              <w:t>3</w:t>
            </w:r>
            <w:r>
              <w:rPr>
                <w:snapToGrid w:val="0"/>
                <w:color w:val="auto"/>
                <w:kern w:val="0"/>
                <w:sz w:val="21"/>
                <w:szCs w:val="21"/>
              </w:rPr>
              <w:t>/h</w:t>
            </w:r>
          </w:p>
        </w:tc>
        <w:tc>
          <w:tcPr>
            <w:tcW w:w="368" w:type="pct"/>
            <w:noWrap w:val="0"/>
            <w:tcMar>
              <w:top w:w="15" w:type="dxa"/>
              <w:left w:w="15" w:type="dxa"/>
              <w:right w:w="15" w:type="dxa"/>
            </w:tcMar>
            <w:vAlign w:val="center"/>
          </w:tcPr>
          <w:p w14:paraId="57777272">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rFonts w:hint="eastAsia"/>
                <w:snapToGrid w:val="0"/>
                <w:color w:val="auto"/>
                <w:kern w:val="0"/>
                <w:sz w:val="21"/>
                <w:szCs w:val="21"/>
                <w:lang w:val="en-US" w:eastAsia="zh-CN"/>
              </w:rPr>
              <w:t>产生</w:t>
            </w:r>
            <w:r>
              <w:rPr>
                <w:snapToGrid w:val="0"/>
                <w:color w:val="auto"/>
                <w:kern w:val="0"/>
                <w:sz w:val="21"/>
                <w:szCs w:val="21"/>
              </w:rPr>
              <w:t>浓度mg/m</w:t>
            </w:r>
            <w:r>
              <w:rPr>
                <w:snapToGrid w:val="0"/>
                <w:color w:val="auto"/>
                <w:kern w:val="0"/>
                <w:sz w:val="21"/>
                <w:szCs w:val="21"/>
                <w:vertAlign w:val="superscript"/>
              </w:rPr>
              <w:t>3</w:t>
            </w:r>
          </w:p>
        </w:tc>
        <w:tc>
          <w:tcPr>
            <w:tcW w:w="310" w:type="pct"/>
            <w:noWrap w:val="0"/>
            <w:tcMar>
              <w:top w:w="15" w:type="dxa"/>
              <w:left w:w="15" w:type="dxa"/>
              <w:right w:w="15" w:type="dxa"/>
            </w:tcMar>
            <w:vAlign w:val="center"/>
          </w:tcPr>
          <w:p w14:paraId="2E7AAD4C">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产生</w:t>
            </w:r>
            <w:r>
              <w:rPr>
                <w:rFonts w:hint="eastAsia"/>
                <w:snapToGrid w:val="0"/>
                <w:color w:val="auto"/>
                <w:kern w:val="0"/>
                <w:sz w:val="21"/>
                <w:szCs w:val="21"/>
                <w:lang w:val="en-US" w:eastAsia="zh-CN"/>
              </w:rPr>
              <w:t>速率</w:t>
            </w:r>
            <w:r>
              <w:rPr>
                <w:snapToGrid w:val="0"/>
                <w:color w:val="auto"/>
                <w:kern w:val="0"/>
                <w:sz w:val="21"/>
                <w:szCs w:val="21"/>
              </w:rPr>
              <w:t>kg/h</w:t>
            </w:r>
          </w:p>
        </w:tc>
        <w:tc>
          <w:tcPr>
            <w:tcW w:w="322" w:type="pct"/>
            <w:noWrap w:val="0"/>
            <w:tcMar>
              <w:top w:w="15" w:type="dxa"/>
              <w:left w:w="15" w:type="dxa"/>
              <w:right w:w="15" w:type="dxa"/>
            </w:tcMar>
            <w:vAlign w:val="center"/>
          </w:tcPr>
          <w:p w14:paraId="50510C10">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年产生量t/a</w:t>
            </w:r>
          </w:p>
        </w:tc>
        <w:tc>
          <w:tcPr>
            <w:tcW w:w="333" w:type="pct"/>
            <w:noWrap w:val="0"/>
            <w:tcMar>
              <w:top w:w="15" w:type="dxa"/>
              <w:left w:w="15" w:type="dxa"/>
              <w:right w:w="15" w:type="dxa"/>
            </w:tcMar>
            <w:vAlign w:val="center"/>
          </w:tcPr>
          <w:p w14:paraId="6B6F851A">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工艺</w:t>
            </w:r>
          </w:p>
        </w:tc>
        <w:tc>
          <w:tcPr>
            <w:tcW w:w="303" w:type="pct"/>
            <w:noWrap w:val="0"/>
            <w:tcMar>
              <w:top w:w="15" w:type="dxa"/>
              <w:left w:w="15" w:type="dxa"/>
              <w:right w:w="15" w:type="dxa"/>
            </w:tcMar>
            <w:vAlign w:val="center"/>
          </w:tcPr>
          <w:p w14:paraId="1F2049EB">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效率%</w:t>
            </w:r>
          </w:p>
        </w:tc>
        <w:tc>
          <w:tcPr>
            <w:tcW w:w="248" w:type="pct"/>
            <w:noWrap w:val="0"/>
            <w:vAlign w:val="center"/>
          </w:tcPr>
          <w:p w14:paraId="587F46C6">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是否为可行技术</w:t>
            </w:r>
          </w:p>
        </w:tc>
        <w:tc>
          <w:tcPr>
            <w:tcW w:w="195" w:type="pct"/>
            <w:noWrap w:val="0"/>
            <w:tcMar>
              <w:top w:w="15" w:type="dxa"/>
              <w:left w:w="15" w:type="dxa"/>
              <w:right w:w="15" w:type="dxa"/>
            </w:tcMar>
            <w:vAlign w:val="center"/>
          </w:tcPr>
          <w:p w14:paraId="3D4ACEED">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核算方法</w:t>
            </w:r>
          </w:p>
        </w:tc>
        <w:tc>
          <w:tcPr>
            <w:tcW w:w="298" w:type="pct"/>
            <w:noWrap w:val="0"/>
            <w:vAlign w:val="center"/>
          </w:tcPr>
          <w:p w14:paraId="03A5DF33">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废气量m</w:t>
            </w:r>
            <w:r>
              <w:rPr>
                <w:snapToGrid w:val="0"/>
                <w:color w:val="auto"/>
                <w:kern w:val="0"/>
                <w:sz w:val="21"/>
                <w:szCs w:val="21"/>
                <w:vertAlign w:val="superscript"/>
              </w:rPr>
              <w:t>3</w:t>
            </w:r>
            <w:r>
              <w:rPr>
                <w:snapToGrid w:val="0"/>
                <w:color w:val="auto"/>
                <w:kern w:val="0"/>
                <w:sz w:val="21"/>
                <w:szCs w:val="21"/>
              </w:rPr>
              <w:t>/h</w:t>
            </w:r>
          </w:p>
        </w:tc>
        <w:tc>
          <w:tcPr>
            <w:tcW w:w="379" w:type="pct"/>
            <w:noWrap w:val="0"/>
            <w:vAlign w:val="center"/>
          </w:tcPr>
          <w:p w14:paraId="696F28B9">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rFonts w:hint="eastAsia"/>
                <w:snapToGrid w:val="0"/>
                <w:color w:val="auto"/>
                <w:kern w:val="0"/>
                <w:sz w:val="21"/>
                <w:szCs w:val="21"/>
                <w:lang w:val="en-US" w:eastAsia="zh-CN"/>
              </w:rPr>
              <w:t>排放</w:t>
            </w:r>
            <w:r>
              <w:rPr>
                <w:snapToGrid w:val="0"/>
                <w:color w:val="auto"/>
                <w:kern w:val="0"/>
                <w:sz w:val="21"/>
                <w:szCs w:val="21"/>
              </w:rPr>
              <w:t>浓度mg/m</w:t>
            </w:r>
            <w:r>
              <w:rPr>
                <w:snapToGrid w:val="0"/>
                <w:color w:val="auto"/>
                <w:kern w:val="0"/>
                <w:sz w:val="21"/>
                <w:szCs w:val="21"/>
                <w:vertAlign w:val="superscript"/>
              </w:rPr>
              <w:t>3</w:t>
            </w:r>
          </w:p>
        </w:tc>
        <w:tc>
          <w:tcPr>
            <w:tcW w:w="293" w:type="pct"/>
            <w:noWrap w:val="0"/>
            <w:tcMar>
              <w:top w:w="15" w:type="dxa"/>
              <w:left w:w="15" w:type="dxa"/>
              <w:right w:w="15" w:type="dxa"/>
            </w:tcMar>
            <w:vAlign w:val="center"/>
          </w:tcPr>
          <w:p w14:paraId="23111C1C">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排放</w:t>
            </w:r>
            <w:r>
              <w:rPr>
                <w:rFonts w:hint="eastAsia"/>
                <w:snapToGrid w:val="0"/>
                <w:color w:val="auto"/>
                <w:kern w:val="0"/>
                <w:sz w:val="21"/>
                <w:szCs w:val="21"/>
                <w:lang w:val="en-US" w:eastAsia="zh-CN"/>
              </w:rPr>
              <w:t>速率</w:t>
            </w:r>
            <w:r>
              <w:rPr>
                <w:snapToGrid w:val="0"/>
                <w:color w:val="auto"/>
                <w:kern w:val="0"/>
                <w:sz w:val="21"/>
                <w:szCs w:val="21"/>
              </w:rPr>
              <w:t>kg/h</w:t>
            </w:r>
          </w:p>
        </w:tc>
        <w:tc>
          <w:tcPr>
            <w:tcW w:w="324" w:type="pct"/>
            <w:noWrap w:val="0"/>
            <w:tcMar>
              <w:top w:w="15" w:type="dxa"/>
              <w:left w:w="15" w:type="dxa"/>
              <w:right w:w="15" w:type="dxa"/>
            </w:tcMar>
            <w:vAlign w:val="center"/>
          </w:tcPr>
          <w:p w14:paraId="71E35BD2">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年排放量t/a</w:t>
            </w:r>
          </w:p>
        </w:tc>
        <w:tc>
          <w:tcPr>
            <w:tcW w:w="172" w:type="pct"/>
            <w:vMerge w:val="continue"/>
            <w:noWrap w:val="0"/>
            <w:tcMar>
              <w:top w:w="15" w:type="dxa"/>
              <w:left w:w="15" w:type="dxa"/>
              <w:right w:w="15" w:type="dxa"/>
            </w:tcMar>
            <w:vAlign w:val="center"/>
          </w:tcPr>
          <w:p w14:paraId="1160D803">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r>
      <w:tr w14:paraId="18406F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5" w:hRule="atLeast"/>
        </w:trPr>
        <w:tc>
          <w:tcPr>
            <w:tcW w:w="195" w:type="pct"/>
            <w:vMerge w:val="restart"/>
            <w:noWrap w:val="0"/>
            <w:tcMar>
              <w:top w:w="15" w:type="dxa"/>
              <w:left w:w="15" w:type="dxa"/>
              <w:right w:w="15" w:type="dxa"/>
            </w:tcMar>
            <w:vAlign w:val="center"/>
          </w:tcPr>
          <w:p w14:paraId="32B350A3">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eastAsia="zh-CN"/>
              </w:rPr>
            </w:pPr>
            <w:r>
              <w:rPr>
                <w:rFonts w:hint="eastAsia"/>
                <w:snapToGrid w:val="0"/>
                <w:color w:val="auto"/>
                <w:kern w:val="0"/>
                <w:sz w:val="21"/>
                <w:szCs w:val="21"/>
                <w:lang w:val="en-US" w:eastAsia="zh-CN"/>
              </w:rPr>
              <w:t>生物质燃烧</w:t>
            </w:r>
          </w:p>
        </w:tc>
        <w:tc>
          <w:tcPr>
            <w:tcW w:w="154" w:type="pct"/>
            <w:vMerge w:val="restart"/>
            <w:noWrap w:val="0"/>
            <w:tcMar>
              <w:top w:w="15" w:type="dxa"/>
              <w:left w:w="15" w:type="dxa"/>
              <w:right w:w="15" w:type="dxa"/>
            </w:tcMar>
            <w:vAlign w:val="center"/>
          </w:tcPr>
          <w:p w14:paraId="056CFA22">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锅炉</w:t>
            </w:r>
          </w:p>
        </w:tc>
        <w:tc>
          <w:tcPr>
            <w:tcW w:w="200" w:type="pct"/>
            <w:vMerge w:val="restart"/>
            <w:noWrap w:val="0"/>
            <w:vAlign w:val="center"/>
          </w:tcPr>
          <w:p w14:paraId="2D1722E7">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有组织</w:t>
            </w:r>
          </w:p>
        </w:tc>
        <w:tc>
          <w:tcPr>
            <w:tcW w:w="289" w:type="pct"/>
            <w:tcBorders>
              <w:bottom w:val="single" w:color="auto" w:sz="4" w:space="0"/>
            </w:tcBorders>
            <w:noWrap w:val="0"/>
            <w:tcMar>
              <w:top w:w="15" w:type="dxa"/>
              <w:left w:w="15" w:type="dxa"/>
              <w:right w:w="15" w:type="dxa"/>
            </w:tcMar>
            <w:vAlign w:val="center"/>
          </w:tcPr>
          <w:p w14:paraId="1BB69CF2">
            <w:pPr>
              <w:pStyle w:val="76"/>
              <w:keepNext w:val="0"/>
              <w:keepLines w:val="0"/>
              <w:pageBreakBefore w:val="0"/>
              <w:kinsoku/>
              <w:wordWrap/>
              <w:overflowPunct/>
              <w:topLinePunct w:val="0"/>
              <w:autoSpaceDE/>
              <w:autoSpaceDN/>
              <w:bidi w:val="0"/>
              <w:adjustRightInd w:val="0"/>
              <w:snapToGrid w:val="0"/>
              <w:ind w:firstLine="0"/>
              <w:rPr>
                <w:snapToGrid w:val="0"/>
                <w:color w:val="auto"/>
                <w:kern w:val="0"/>
                <w:sz w:val="21"/>
                <w:szCs w:val="21"/>
              </w:rPr>
            </w:pPr>
            <w:r>
              <w:rPr>
                <w:snapToGrid w:val="0"/>
                <w:color w:val="auto"/>
                <w:kern w:val="0"/>
                <w:sz w:val="21"/>
                <w:szCs w:val="21"/>
              </w:rPr>
              <w:t>SO</w:t>
            </w:r>
            <w:r>
              <w:rPr>
                <w:snapToGrid w:val="0"/>
                <w:color w:val="auto"/>
                <w:kern w:val="0"/>
                <w:sz w:val="21"/>
                <w:szCs w:val="21"/>
                <w:vertAlign w:val="subscript"/>
              </w:rPr>
              <w:t>2</w:t>
            </w:r>
          </w:p>
        </w:tc>
        <w:tc>
          <w:tcPr>
            <w:tcW w:w="304" w:type="pct"/>
            <w:tcBorders>
              <w:bottom w:val="single" w:color="auto" w:sz="4" w:space="0"/>
            </w:tcBorders>
            <w:noWrap w:val="0"/>
            <w:tcMar>
              <w:top w:w="15" w:type="dxa"/>
              <w:left w:w="15" w:type="dxa"/>
              <w:right w:w="15" w:type="dxa"/>
            </w:tcMar>
            <w:vAlign w:val="center"/>
          </w:tcPr>
          <w:p w14:paraId="188A1406">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物料衡算法</w:t>
            </w:r>
          </w:p>
        </w:tc>
        <w:tc>
          <w:tcPr>
            <w:tcW w:w="304" w:type="pct"/>
            <w:vMerge w:val="restart"/>
            <w:noWrap w:val="0"/>
            <w:tcMar>
              <w:top w:w="15" w:type="dxa"/>
              <w:left w:w="15" w:type="dxa"/>
              <w:right w:w="15" w:type="dxa"/>
            </w:tcMar>
            <w:vAlign w:val="center"/>
          </w:tcPr>
          <w:p w14:paraId="7F615EFD">
            <w:pPr>
              <w:keepNext w:val="0"/>
              <w:keepLines w:val="0"/>
              <w:pageBreakBefore w:val="0"/>
              <w:widowControl/>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3714.91</w:t>
            </w:r>
          </w:p>
        </w:tc>
        <w:tc>
          <w:tcPr>
            <w:tcW w:w="368" w:type="pct"/>
            <w:noWrap w:val="0"/>
            <w:tcMar>
              <w:top w:w="15" w:type="dxa"/>
              <w:left w:w="15" w:type="dxa"/>
              <w:right w:w="15" w:type="dxa"/>
            </w:tcMar>
            <w:vAlign w:val="center"/>
          </w:tcPr>
          <w:p w14:paraId="0E5C1B0F">
            <w:pPr>
              <w:pStyle w:val="76"/>
              <w:keepNext w:val="0"/>
              <w:keepLines w:val="0"/>
              <w:pageBreakBefore w:val="0"/>
              <w:kinsoku/>
              <w:wordWrap/>
              <w:overflowPunct/>
              <w:topLinePunct w:val="0"/>
              <w:autoSpaceDE/>
              <w:autoSpaceDN/>
              <w:bidi w:val="0"/>
              <w:adjustRightInd w:val="0"/>
              <w:snapToGrid w:val="0"/>
              <w:ind w:firstLine="0"/>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41.13</w:t>
            </w:r>
          </w:p>
        </w:tc>
        <w:tc>
          <w:tcPr>
            <w:tcW w:w="310" w:type="pct"/>
            <w:noWrap w:val="0"/>
            <w:tcMar>
              <w:top w:w="15" w:type="dxa"/>
              <w:left w:w="15" w:type="dxa"/>
              <w:right w:w="15" w:type="dxa"/>
            </w:tcMar>
            <w:vAlign w:val="center"/>
          </w:tcPr>
          <w:p w14:paraId="3A9892BF">
            <w:pPr>
              <w:keepNext w:val="0"/>
              <w:keepLines w:val="0"/>
              <w:pageBreakBefore w:val="0"/>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snapToGrid w:val="0"/>
                <w:color w:val="auto"/>
                <w:kern w:val="0"/>
                <w:sz w:val="21"/>
                <w:szCs w:val="21"/>
              </w:rPr>
              <w:t>0.</w:t>
            </w:r>
            <w:r>
              <w:rPr>
                <w:rFonts w:hint="eastAsia"/>
                <w:snapToGrid w:val="0"/>
                <w:color w:val="auto"/>
                <w:kern w:val="0"/>
                <w:sz w:val="21"/>
                <w:szCs w:val="21"/>
                <w:lang w:val="en-US" w:eastAsia="zh-CN"/>
              </w:rPr>
              <w:t>15</w:t>
            </w:r>
          </w:p>
        </w:tc>
        <w:tc>
          <w:tcPr>
            <w:tcW w:w="322" w:type="pct"/>
            <w:noWrap w:val="0"/>
            <w:tcMar>
              <w:top w:w="15" w:type="dxa"/>
              <w:left w:w="15" w:type="dxa"/>
              <w:right w:w="15" w:type="dxa"/>
            </w:tcMar>
            <w:vAlign w:val="center"/>
          </w:tcPr>
          <w:p w14:paraId="174CC289">
            <w:pPr>
              <w:pStyle w:val="76"/>
              <w:keepNext w:val="0"/>
              <w:keepLines w:val="0"/>
              <w:pageBreakBefore w:val="0"/>
              <w:kinsoku/>
              <w:wordWrap/>
              <w:overflowPunct/>
              <w:topLinePunct w:val="0"/>
              <w:autoSpaceDE/>
              <w:autoSpaceDN/>
              <w:bidi w:val="0"/>
              <w:adjustRightInd w:val="0"/>
              <w:snapToGrid w:val="0"/>
              <w:ind w:firstLine="0"/>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0.33</w:t>
            </w:r>
          </w:p>
        </w:tc>
        <w:tc>
          <w:tcPr>
            <w:tcW w:w="333" w:type="pct"/>
            <w:vMerge w:val="restart"/>
            <w:noWrap w:val="0"/>
            <w:tcMar>
              <w:top w:w="15" w:type="dxa"/>
              <w:left w:w="15" w:type="dxa"/>
              <w:right w:w="15" w:type="dxa"/>
            </w:tcMar>
            <w:vAlign w:val="center"/>
          </w:tcPr>
          <w:p w14:paraId="23BA826D">
            <w:pPr>
              <w:keepNext w:val="0"/>
              <w:keepLines w:val="0"/>
              <w:pageBreakBefore w:val="0"/>
              <w:kinsoku/>
              <w:wordWrap/>
              <w:overflowPunct/>
              <w:topLinePunct w:val="0"/>
              <w:autoSpaceDE/>
              <w:autoSpaceDN/>
              <w:bidi w:val="0"/>
              <w:adjustRightInd w:val="0"/>
              <w:snapToGrid w:val="0"/>
              <w:ind w:firstLine="0"/>
              <w:jc w:val="center"/>
              <w:rPr>
                <w:bCs/>
                <w:snapToGrid w:val="0"/>
                <w:color w:val="auto"/>
                <w:kern w:val="0"/>
                <w:sz w:val="21"/>
                <w:szCs w:val="21"/>
              </w:rPr>
            </w:pPr>
            <w:r>
              <w:rPr>
                <w:bCs/>
                <w:snapToGrid w:val="0"/>
                <w:color w:val="auto"/>
                <w:kern w:val="0"/>
                <w:sz w:val="21"/>
                <w:szCs w:val="21"/>
              </w:rPr>
              <w:t>布袋除尘器+30m</w:t>
            </w:r>
            <w:r>
              <w:rPr>
                <w:snapToGrid w:val="0"/>
                <w:color w:val="auto"/>
                <w:kern w:val="0"/>
                <w:sz w:val="21"/>
                <w:szCs w:val="21"/>
              </w:rPr>
              <w:t>高排气筒</w:t>
            </w:r>
          </w:p>
        </w:tc>
        <w:tc>
          <w:tcPr>
            <w:tcW w:w="303" w:type="pct"/>
            <w:noWrap w:val="0"/>
            <w:tcMar>
              <w:top w:w="15" w:type="dxa"/>
              <w:left w:w="15" w:type="dxa"/>
              <w:right w:w="15" w:type="dxa"/>
            </w:tcMar>
            <w:vAlign w:val="center"/>
          </w:tcPr>
          <w:p w14:paraId="40B53D99">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w:t>
            </w:r>
          </w:p>
        </w:tc>
        <w:tc>
          <w:tcPr>
            <w:tcW w:w="248" w:type="pct"/>
            <w:vMerge w:val="restart"/>
            <w:noWrap w:val="0"/>
            <w:vAlign w:val="center"/>
          </w:tcPr>
          <w:p w14:paraId="0F50FD0D">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是</w:t>
            </w:r>
          </w:p>
        </w:tc>
        <w:tc>
          <w:tcPr>
            <w:tcW w:w="195" w:type="pct"/>
            <w:vMerge w:val="restart"/>
            <w:noWrap w:val="0"/>
            <w:tcMar>
              <w:top w:w="15" w:type="dxa"/>
              <w:left w:w="15" w:type="dxa"/>
              <w:right w:w="15" w:type="dxa"/>
            </w:tcMar>
            <w:vAlign w:val="center"/>
          </w:tcPr>
          <w:p w14:paraId="4AD72917">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物料衡算法</w:t>
            </w:r>
          </w:p>
        </w:tc>
        <w:tc>
          <w:tcPr>
            <w:tcW w:w="298" w:type="pct"/>
            <w:vMerge w:val="restart"/>
            <w:noWrap w:val="0"/>
            <w:vAlign w:val="center"/>
          </w:tcPr>
          <w:p w14:paraId="688C9F6A">
            <w:pPr>
              <w:keepNext w:val="0"/>
              <w:keepLines w:val="0"/>
              <w:pageBreakBefore w:val="0"/>
              <w:widowControl/>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3714.91</w:t>
            </w:r>
          </w:p>
        </w:tc>
        <w:tc>
          <w:tcPr>
            <w:tcW w:w="379" w:type="pct"/>
            <w:noWrap w:val="0"/>
            <w:vAlign w:val="center"/>
          </w:tcPr>
          <w:p w14:paraId="7D7FCE92">
            <w:pPr>
              <w:pStyle w:val="76"/>
              <w:keepNext w:val="0"/>
              <w:keepLines w:val="0"/>
              <w:pageBreakBefore w:val="0"/>
              <w:kinsoku/>
              <w:wordWrap/>
              <w:overflowPunct/>
              <w:topLinePunct w:val="0"/>
              <w:autoSpaceDE/>
              <w:autoSpaceDN/>
              <w:bidi w:val="0"/>
              <w:adjustRightInd w:val="0"/>
              <w:snapToGrid w:val="0"/>
              <w:ind w:firstLine="0" w:firstLineChars="0"/>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41.13</w:t>
            </w:r>
          </w:p>
        </w:tc>
        <w:tc>
          <w:tcPr>
            <w:tcW w:w="293" w:type="pct"/>
            <w:noWrap w:val="0"/>
            <w:tcMar>
              <w:top w:w="15" w:type="dxa"/>
              <w:left w:w="15" w:type="dxa"/>
              <w:right w:w="15" w:type="dxa"/>
            </w:tcMar>
            <w:vAlign w:val="center"/>
          </w:tcPr>
          <w:p w14:paraId="52BB63F1">
            <w:pPr>
              <w:keepNext w:val="0"/>
              <w:keepLines w:val="0"/>
              <w:pageBreakBefore w:val="0"/>
              <w:kinsoku/>
              <w:wordWrap/>
              <w:overflowPunct/>
              <w:topLinePunct w:val="0"/>
              <w:autoSpaceDE/>
              <w:autoSpaceDN/>
              <w:bidi w:val="0"/>
              <w:adjustRightInd w:val="0"/>
              <w:snapToGrid w:val="0"/>
              <w:ind w:firstLine="0" w:firstLineChars="0"/>
              <w:jc w:val="center"/>
              <w:rPr>
                <w:snapToGrid w:val="0"/>
                <w:color w:val="auto"/>
                <w:kern w:val="0"/>
                <w:sz w:val="21"/>
                <w:szCs w:val="21"/>
              </w:rPr>
            </w:pPr>
            <w:r>
              <w:rPr>
                <w:snapToGrid w:val="0"/>
                <w:color w:val="auto"/>
                <w:kern w:val="0"/>
                <w:sz w:val="21"/>
                <w:szCs w:val="21"/>
              </w:rPr>
              <w:t>0.</w:t>
            </w:r>
            <w:r>
              <w:rPr>
                <w:rFonts w:hint="eastAsia"/>
                <w:snapToGrid w:val="0"/>
                <w:color w:val="auto"/>
                <w:kern w:val="0"/>
                <w:sz w:val="21"/>
                <w:szCs w:val="21"/>
                <w:lang w:val="en-US" w:eastAsia="zh-CN"/>
              </w:rPr>
              <w:t>15</w:t>
            </w:r>
          </w:p>
        </w:tc>
        <w:tc>
          <w:tcPr>
            <w:tcW w:w="324" w:type="pct"/>
            <w:noWrap w:val="0"/>
            <w:tcMar>
              <w:top w:w="15" w:type="dxa"/>
              <w:left w:w="15" w:type="dxa"/>
              <w:right w:w="15" w:type="dxa"/>
            </w:tcMar>
            <w:vAlign w:val="center"/>
          </w:tcPr>
          <w:p w14:paraId="28D73BD8">
            <w:pPr>
              <w:pStyle w:val="76"/>
              <w:keepNext w:val="0"/>
              <w:keepLines w:val="0"/>
              <w:pageBreakBefore w:val="0"/>
              <w:kinsoku/>
              <w:wordWrap/>
              <w:overflowPunct/>
              <w:topLinePunct w:val="0"/>
              <w:autoSpaceDE/>
              <w:autoSpaceDN/>
              <w:bidi w:val="0"/>
              <w:adjustRightInd w:val="0"/>
              <w:snapToGrid w:val="0"/>
              <w:ind w:firstLine="0" w:firstLineChars="0"/>
              <w:rPr>
                <w:snapToGrid w:val="0"/>
                <w:color w:val="auto"/>
                <w:kern w:val="0"/>
                <w:sz w:val="21"/>
                <w:szCs w:val="21"/>
              </w:rPr>
            </w:pPr>
            <w:r>
              <w:rPr>
                <w:rFonts w:hint="eastAsia"/>
                <w:snapToGrid w:val="0"/>
                <w:color w:val="auto"/>
                <w:kern w:val="0"/>
                <w:sz w:val="21"/>
                <w:szCs w:val="21"/>
                <w:lang w:val="en-US" w:eastAsia="zh-CN"/>
              </w:rPr>
              <w:t>0.33</w:t>
            </w:r>
          </w:p>
        </w:tc>
        <w:tc>
          <w:tcPr>
            <w:tcW w:w="172" w:type="pct"/>
            <w:vMerge w:val="restart"/>
            <w:noWrap w:val="0"/>
            <w:tcMar>
              <w:top w:w="15" w:type="dxa"/>
              <w:left w:w="15" w:type="dxa"/>
              <w:right w:w="15" w:type="dxa"/>
            </w:tcMar>
            <w:vAlign w:val="center"/>
          </w:tcPr>
          <w:p w14:paraId="018C86A9">
            <w:pPr>
              <w:keepNext w:val="0"/>
              <w:keepLines w:val="0"/>
              <w:pageBreakBefore w:val="0"/>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2160</w:t>
            </w:r>
          </w:p>
        </w:tc>
      </w:tr>
      <w:tr w14:paraId="1FA5FB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5" w:hRule="atLeast"/>
        </w:trPr>
        <w:tc>
          <w:tcPr>
            <w:tcW w:w="195" w:type="pct"/>
            <w:vMerge w:val="continue"/>
            <w:noWrap w:val="0"/>
            <w:tcMar>
              <w:top w:w="15" w:type="dxa"/>
              <w:left w:w="15" w:type="dxa"/>
              <w:right w:w="15" w:type="dxa"/>
            </w:tcMar>
            <w:vAlign w:val="center"/>
          </w:tcPr>
          <w:p w14:paraId="47DD1789">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154" w:type="pct"/>
            <w:vMerge w:val="continue"/>
            <w:noWrap w:val="0"/>
            <w:tcMar>
              <w:top w:w="15" w:type="dxa"/>
              <w:left w:w="15" w:type="dxa"/>
              <w:right w:w="15" w:type="dxa"/>
            </w:tcMar>
            <w:vAlign w:val="center"/>
          </w:tcPr>
          <w:p w14:paraId="4A2D9C83">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00" w:type="pct"/>
            <w:vMerge w:val="continue"/>
            <w:noWrap w:val="0"/>
            <w:vAlign w:val="center"/>
          </w:tcPr>
          <w:p w14:paraId="4B045753">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89" w:type="pct"/>
            <w:tcBorders>
              <w:top w:val="single" w:color="auto" w:sz="4" w:space="0"/>
            </w:tcBorders>
            <w:noWrap w:val="0"/>
            <w:tcMar>
              <w:top w:w="15" w:type="dxa"/>
              <w:left w:w="15" w:type="dxa"/>
              <w:right w:w="15" w:type="dxa"/>
            </w:tcMar>
            <w:vAlign w:val="center"/>
          </w:tcPr>
          <w:p w14:paraId="22F3C07A">
            <w:pPr>
              <w:pStyle w:val="76"/>
              <w:keepNext w:val="0"/>
              <w:keepLines w:val="0"/>
              <w:pageBreakBefore w:val="0"/>
              <w:kinsoku/>
              <w:wordWrap/>
              <w:overflowPunct/>
              <w:topLinePunct w:val="0"/>
              <w:autoSpaceDE/>
              <w:autoSpaceDN/>
              <w:bidi w:val="0"/>
              <w:adjustRightInd w:val="0"/>
              <w:snapToGrid w:val="0"/>
              <w:ind w:firstLine="0"/>
              <w:rPr>
                <w:snapToGrid w:val="0"/>
                <w:color w:val="auto"/>
                <w:kern w:val="0"/>
                <w:sz w:val="21"/>
                <w:szCs w:val="21"/>
              </w:rPr>
            </w:pPr>
            <w:r>
              <w:rPr>
                <w:snapToGrid w:val="0"/>
                <w:color w:val="auto"/>
                <w:kern w:val="0"/>
                <w:sz w:val="21"/>
                <w:szCs w:val="21"/>
              </w:rPr>
              <w:t>NO</w:t>
            </w:r>
            <w:r>
              <w:rPr>
                <w:snapToGrid w:val="0"/>
                <w:color w:val="auto"/>
                <w:kern w:val="0"/>
                <w:sz w:val="21"/>
                <w:szCs w:val="21"/>
                <w:vertAlign w:val="subscript"/>
              </w:rPr>
              <w:t>x</w:t>
            </w:r>
          </w:p>
        </w:tc>
        <w:tc>
          <w:tcPr>
            <w:tcW w:w="304" w:type="pct"/>
            <w:tcBorders>
              <w:top w:val="single" w:color="auto" w:sz="4" w:space="0"/>
              <w:bottom w:val="single" w:color="auto" w:sz="4" w:space="0"/>
            </w:tcBorders>
            <w:noWrap w:val="0"/>
            <w:tcMar>
              <w:top w:w="15" w:type="dxa"/>
              <w:left w:w="15" w:type="dxa"/>
              <w:right w:w="15" w:type="dxa"/>
            </w:tcMar>
            <w:vAlign w:val="center"/>
          </w:tcPr>
          <w:p w14:paraId="247C6AD5">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排污系数法</w:t>
            </w:r>
          </w:p>
        </w:tc>
        <w:tc>
          <w:tcPr>
            <w:tcW w:w="304" w:type="pct"/>
            <w:vMerge w:val="continue"/>
            <w:noWrap w:val="0"/>
            <w:tcMar>
              <w:top w:w="15" w:type="dxa"/>
              <w:left w:w="15" w:type="dxa"/>
              <w:right w:w="15" w:type="dxa"/>
            </w:tcMar>
            <w:vAlign w:val="center"/>
          </w:tcPr>
          <w:p w14:paraId="6EA526BA">
            <w:pPr>
              <w:keepNext w:val="0"/>
              <w:keepLines w:val="0"/>
              <w:pageBreakBefore w:val="0"/>
              <w:widowControl/>
              <w:kinsoku/>
              <w:wordWrap/>
              <w:overflowPunct/>
              <w:topLinePunct w:val="0"/>
              <w:autoSpaceDE/>
              <w:autoSpaceDN/>
              <w:bidi w:val="0"/>
              <w:adjustRightInd w:val="0"/>
              <w:snapToGrid w:val="0"/>
              <w:ind w:firstLine="0"/>
              <w:jc w:val="center"/>
              <w:rPr>
                <w:snapToGrid w:val="0"/>
                <w:color w:val="auto"/>
                <w:kern w:val="0"/>
                <w:sz w:val="21"/>
                <w:szCs w:val="21"/>
              </w:rPr>
            </w:pPr>
          </w:p>
        </w:tc>
        <w:tc>
          <w:tcPr>
            <w:tcW w:w="368" w:type="pct"/>
            <w:noWrap w:val="0"/>
            <w:tcMar>
              <w:top w:w="15" w:type="dxa"/>
              <w:left w:w="15" w:type="dxa"/>
              <w:right w:w="15" w:type="dxa"/>
            </w:tcMar>
            <w:vAlign w:val="center"/>
          </w:tcPr>
          <w:p w14:paraId="6FE39F4E">
            <w:pPr>
              <w:pStyle w:val="76"/>
              <w:keepNext w:val="0"/>
              <w:keepLines w:val="0"/>
              <w:pageBreakBefore w:val="0"/>
              <w:kinsoku/>
              <w:wordWrap/>
              <w:overflowPunct/>
              <w:topLinePunct w:val="0"/>
              <w:autoSpaceDE/>
              <w:autoSpaceDN/>
              <w:bidi w:val="0"/>
              <w:adjustRightInd w:val="0"/>
              <w:snapToGrid w:val="0"/>
              <w:ind w:firstLine="0"/>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194.41</w:t>
            </w:r>
          </w:p>
        </w:tc>
        <w:tc>
          <w:tcPr>
            <w:tcW w:w="310" w:type="pct"/>
            <w:noWrap w:val="0"/>
            <w:tcMar>
              <w:top w:w="15" w:type="dxa"/>
              <w:left w:w="15" w:type="dxa"/>
              <w:right w:w="15" w:type="dxa"/>
            </w:tcMar>
            <w:vAlign w:val="center"/>
          </w:tcPr>
          <w:p w14:paraId="69EC29C5">
            <w:pPr>
              <w:keepNext w:val="0"/>
              <w:keepLines w:val="0"/>
              <w:pageBreakBefore w:val="0"/>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snapToGrid w:val="0"/>
                <w:color w:val="auto"/>
                <w:kern w:val="0"/>
                <w:sz w:val="21"/>
                <w:szCs w:val="21"/>
              </w:rPr>
              <w:t>0.</w:t>
            </w:r>
            <w:r>
              <w:rPr>
                <w:rFonts w:hint="eastAsia"/>
                <w:snapToGrid w:val="0"/>
                <w:color w:val="auto"/>
                <w:kern w:val="0"/>
                <w:sz w:val="21"/>
                <w:szCs w:val="21"/>
                <w:lang w:val="en-US" w:eastAsia="zh-CN"/>
              </w:rPr>
              <w:t>72</w:t>
            </w:r>
          </w:p>
        </w:tc>
        <w:tc>
          <w:tcPr>
            <w:tcW w:w="322" w:type="pct"/>
            <w:noWrap w:val="0"/>
            <w:tcMar>
              <w:top w:w="15" w:type="dxa"/>
              <w:left w:w="15" w:type="dxa"/>
              <w:right w:w="15" w:type="dxa"/>
            </w:tcMar>
            <w:vAlign w:val="center"/>
          </w:tcPr>
          <w:p w14:paraId="1B6A3AB6">
            <w:pPr>
              <w:keepNext w:val="0"/>
              <w:keepLines w:val="0"/>
              <w:pageBreakBefore w:val="0"/>
              <w:widowControl/>
              <w:kinsoku/>
              <w:wordWrap/>
              <w:overflowPunct/>
              <w:topLinePunct w:val="0"/>
              <w:autoSpaceDE/>
              <w:autoSpaceDN/>
              <w:bidi w:val="0"/>
              <w:adjustRightInd w:val="0"/>
              <w:snapToGrid w:val="0"/>
              <w:ind w:firstLine="0"/>
              <w:jc w:val="center"/>
              <w:textAlignment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1.56</w:t>
            </w:r>
          </w:p>
        </w:tc>
        <w:tc>
          <w:tcPr>
            <w:tcW w:w="333" w:type="pct"/>
            <w:vMerge w:val="continue"/>
            <w:noWrap w:val="0"/>
            <w:tcMar>
              <w:top w:w="15" w:type="dxa"/>
              <w:left w:w="15" w:type="dxa"/>
              <w:right w:w="15" w:type="dxa"/>
            </w:tcMar>
            <w:vAlign w:val="center"/>
          </w:tcPr>
          <w:p w14:paraId="10F6A05D">
            <w:pPr>
              <w:keepNext w:val="0"/>
              <w:keepLines w:val="0"/>
              <w:pageBreakBefore w:val="0"/>
              <w:kinsoku/>
              <w:wordWrap/>
              <w:overflowPunct/>
              <w:topLinePunct w:val="0"/>
              <w:autoSpaceDE/>
              <w:autoSpaceDN/>
              <w:bidi w:val="0"/>
              <w:adjustRightInd w:val="0"/>
              <w:snapToGrid w:val="0"/>
              <w:ind w:firstLine="0"/>
              <w:jc w:val="center"/>
              <w:rPr>
                <w:bCs/>
                <w:snapToGrid w:val="0"/>
                <w:color w:val="auto"/>
                <w:kern w:val="0"/>
                <w:sz w:val="21"/>
                <w:szCs w:val="21"/>
              </w:rPr>
            </w:pPr>
          </w:p>
        </w:tc>
        <w:tc>
          <w:tcPr>
            <w:tcW w:w="303" w:type="pct"/>
            <w:noWrap w:val="0"/>
            <w:tcMar>
              <w:top w:w="15" w:type="dxa"/>
              <w:left w:w="15" w:type="dxa"/>
              <w:right w:w="15" w:type="dxa"/>
            </w:tcMar>
            <w:vAlign w:val="center"/>
          </w:tcPr>
          <w:p w14:paraId="117066D4">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w:t>
            </w:r>
          </w:p>
        </w:tc>
        <w:tc>
          <w:tcPr>
            <w:tcW w:w="248" w:type="pct"/>
            <w:vMerge w:val="continue"/>
            <w:noWrap w:val="0"/>
            <w:vAlign w:val="center"/>
          </w:tcPr>
          <w:p w14:paraId="0A09A02A">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195" w:type="pct"/>
            <w:vMerge w:val="continue"/>
            <w:noWrap w:val="0"/>
            <w:tcMar>
              <w:top w:w="15" w:type="dxa"/>
              <w:left w:w="15" w:type="dxa"/>
              <w:right w:w="15" w:type="dxa"/>
            </w:tcMar>
            <w:vAlign w:val="center"/>
          </w:tcPr>
          <w:p w14:paraId="749399F3">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98" w:type="pct"/>
            <w:vMerge w:val="continue"/>
            <w:noWrap w:val="0"/>
            <w:vAlign w:val="center"/>
          </w:tcPr>
          <w:p w14:paraId="045718D2">
            <w:pPr>
              <w:keepNext w:val="0"/>
              <w:keepLines w:val="0"/>
              <w:pageBreakBefore w:val="0"/>
              <w:widowControl/>
              <w:kinsoku/>
              <w:wordWrap/>
              <w:overflowPunct/>
              <w:topLinePunct w:val="0"/>
              <w:autoSpaceDE/>
              <w:autoSpaceDN/>
              <w:bidi w:val="0"/>
              <w:adjustRightInd w:val="0"/>
              <w:snapToGrid w:val="0"/>
              <w:ind w:firstLine="0"/>
              <w:jc w:val="center"/>
              <w:rPr>
                <w:snapToGrid w:val="0"/>
                <w:color w:val="auto"/>
                <w:kern w:val="0"/>
                <w:sz w:val="21"/>
                <w:szCs w:val="21"/>
              </w:rPr>
            </w:pPr>
          </w:p>
        </w:tc>
        <w:tc>
          <w:tcPr>
            <w:tcW w:w="379" w:type="pct"/>
            <w:noWrap w:val="0"/>
            <w:vAlign w:val="center"/>
          </w:tcPr>
          <w:p w14:paraId="7618C09D">
            <w:pPr>
              <w:pStyle w:val="76"/>
              <w:keepNext w:val="0"/>
              <w:keepLines w:val="0"/>
              <w:pageBreakBefore w:val="0"/>
              <w:kinsoku/>
              <w:wordWrap/>
              <w:overflowPunct/>
              <w:topLinePunct w:val="0"/>
              <w:autoSpaceDE/>
              <w:autoSpaceDN/>
              <w:bidi w:val="0"/>
              <w:adjustRightInd w:val="0"/>
              <w:snapToGrid w:val="0"/>
              <w:ind w:firstLine="0" w:firstLineChars="0"/>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194.41</w:t>
            </w:r>
          </w:p>
        </w:tc>
        <w:tc>
          <w:tcPr>
            <w:tcW w:w="293" w:type="pct"/>
            <w:noWrap w:val="0"/>
            <w:tcMar>
              <w:top w:w="15" w:type="dxa"/>
              <w:left w:w="15" w:type="dxa"/>
              <w:right w:w="15" w:type="dxa"/>
            </w:tcMar>
            <w:vAlign w:val="center"/>
          </w:tcPr>
          <w:p w14:paraId="3CE4869F">
            <w:pPr>
              <w:keepNext w:val="0"/>
              <w:keepLines w:val="0"/>
              <w:pageBreakBefore w:val="0"/>
              <w:kinsoku/>
              <w:wordWrap/>
              <w:overflowPunct/>
              <w:topLinePunct w:val="0"/>
              <w:autoSpaceDE/>
              <w:autoSpaceDN/>
              <w:bidi w:val="0"/>
              <w:adjustRightInd w:val="0"/>
              <w:snapToGrid w:val="0"/>
              <w:ind w:firstLine="0" w:firstLineChars="0"/>
              <w:jc w:val="center"/>
              <w:rPr>
                <w:snapToGrid w:val="0"/>
                <w:color w:val="auto"/>
                <w:kern w:val="0"/>
                <w:sz w:val="21"/>
                <w:szCs w:val="21"/>
              </w:rPr>
            </w:pPr>
            <w:r>
              <w:rPr>
                <w:snapToGrid w:val="0"/>
                <w:color w:val="auto"/>
                <w:kern w:val="0"/>
                <w:sz w:val="21"/>
                <w:szCs w:val="21"/>
              </w:rPr>
              <w:t>0.</w:t>
            </w:r>
            <w:r>
              <w:rPr>
                <w:rFonts w:hint="eastAsia"/>
                <w:snapToGrid w:val="0"/>
                <w:color w:val="auto"/>
                <w:kern w:val="0"/>
                <w:sz w:val="21"/>
                <w:szCs w:val="21"/>
                <w:lang w:val="en-US" w:eastAsia="zh-CN"/>
              </w:rPr>
              <w:t>72</w:t>
            </w:r>
          </w:p>
        </w:tc>
        <w:tc>
          <w:tcPr>
            <w:tcW w:w="324" w:type="pct"/>
            <w:noWrap w:val="0"/>
            <w:tcMar>
              <w:top w:w="15" w:type="dxa"/>
              <w:left w:w="15" w:type="dxa"/>
              <w:right w:w="15" w:type="dxa"/>
            </w:tcMar>
            <w:vAlign w:val="center"/>
          </w:tcPr>
          <w:p w14:paraId="7496C524">
            <w:pPr>
              <w:keepNext w:val="0"/>
              <w:keepLines w:val="0"/>
              <w:pageBreakBefore w:val="0"/>
              <w:widowControl/>
              <w:kinsoku/>
              <w:wordWrap/>
              <w:overflowPunct/>
              <w:topLinePunct w:val="0"/>
              <w:autoSpaceDE/>
              <w:autoSpaceDN/>
              <w:bidi w:val="0"/>
              <w:adjustRightInd w:val="0"/>
              <w:snapToGrid w:val="0"/>
              <w:ind w:firstLine="0" w:firstLineChars="0"/>
              <w:jc w:val="center"/>
              <w:textAlignment w:val="center"/>
              <w:rPr>
                <w:snapToGrid w:val="0"/>
                <w:color w:val="auto"/>
                <w:kern w:val="0"/>
                <w:sz w:val="21"/>
                <w:szCs w:val="21"/>
              </w:rPr>
            </w:pPr>
            <w:r>
              <w:rPr>
                <w:rFonts w:hint="eastAsia"/>
                <w:snapToGrid w:val="0"/>
                <w:color w:val="auto"/>
                <w:kern w:val="0"/>
                <w:sz w:val="21"/>
                <w:szCs w:val="21"/>
                <w:lang w:val="en-US" w:eastAsia="zh-CN"/>
              </w:rPr>
              <w:t>1.56</w:t>
            </w:r>
          </w:p>
        </w:tc>
        <w:tc>
          <w:tcPr>
            <w:tcW w:w="172" w:type="pct"/>
            <w:vMerge w:val="continue"/>
            <w:noWrap w:val="0"/>
            <w:tcMar>
              <w:top w:w="15" w:type="dxa"/>
              <w:left w:w="15" w:type="dxa"/>
              <w:right w:w="15" w:type="dxa"/>
            </w:tcMar>
            <w:vAlign w:val="center"/>
          </w:tcPr>
          <w:p w14:paraId="170553A6">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r>
      <w:tr w14:paraId="3014AC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5" w:hRule="atLeast"/>
        </w:trPr>
        <w:tc>
          <w:tcPr>
            <w:tcW w:w="195" w:type="pct"/>
            <w:vMerge w:val="continue"/>
            <w:noWrap w:val="0"/>
            <w:tcMar>
              <w:top w:w="15" w:type="dxa"/>
              <w:left w:w="15" w:type="dxa"/>
              <w:right w:w="15" w:type="dxa"/>
            </w:tcMar>
            <w:vAlign w:val="center"/>
          </w:tcPr>
          <w:p w14:paraId="6448A1AB">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154" w:type="pct"/>
            <w:vMerge w:val="continue"/>
            <w:noWrap w:val="0"/>
            <w:tcMar>
              <w:top w:w="15" w:type="dxa"/>
              <w:left w:w="15" w:type="dxa"/>
              <w:right w:w="15" w:type="dxa"/>
            </w:tcMar>
            <w:vAlign w:val="center"/>
          </w:tcPr>
          <w:p w14:paraId="1D1EFABA">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00" w:type="pct"/>
            <w:vMerge w:val="continue"/>
            <w:noWrap w:val="0"/>
            <w:vAlign w:val="center"/>
          </w:tcPr>
          <w:p w14:paraId="5384AF9D">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89" w:type="pct"/>
            <w:noWrap w:val="0"/>
            <w:tcMar>
              <w:top w:w="15" w:type="dxa"/>
              <w:left w:w="15" w:type="dxa"/>
              <w:right w:w="15" w:type="dxa"/>
            </w:tcMar>
            <w:vAlign w:val="center"/>
          </w:tcPr>
          <w:p w14:paraId="3255F6A7">
            <w:pPr>
              <w:pStyle w:val="76"/>
              <w:keepNext w:val="0"/>
              <w:keepLines w:val="0"/>
              <w:pageBreakBefore w:val="0"/>
              <w:kinsoku/>
              <w:wordWrap/>
              <w:overflowPunct/>
              <w:topLinePunct w:val="0"/>
              <w:autoSpaceDE/>
              <w:autoSpaceDN/>
              <w:bidi w:val="0"/>
              <w:adjustRightInd w:val="0"/>
              <w:snapToGrid w:val="0"/>
              <w:ind w:firstLine="0"/>
              <w:rPr>
                <w:snapToGrid w:val="0"/>
                <w:color w:val="auto"/>
                <w:kern w:val="0"/>
                <w:sz w:val="21"/>
                <w:szCs w:val="21"/>
              </w:rPr>
            </w:pPr>
            <w:r>
              <w:rPr>
                <w:snapToGrid w:val="0"/>
                <w:color w:val="auto"/>
                <w:kern w:val="0"/>
                <w:sz w:val="21"/>
                <w:szCs w:val="21"/>
              </w:rPr>
              <w:t>颗粒物</w:t>
            </w:r>
          </w:p>
        </w:tc>
        <w:tc>
          <w:tcPr>
            <w:tcW w:w="304" w:type="pct"/>
            <w:tcBorders>
              <w:top w:val="single" w:color="auto" w:sz="4" w:space="0"/>
              <w:bottom w:val="single" w:color="auto" w:sz="4" w:space="0"/>
            </w:tcBorders>
            <w:noWrap w:val="0"/>
            <w:tcMar>
              <w:top w:w="15" w:type="dxa"/>
              <w:left w:w="15" w:type="dxa"/>
              <w:right w:w="15" w:type="dxa"/>
            </w:tcMar>
            <w:vAlign w:val="center"/>
          </w:tcPr>
          <w:p w14:paraId="5D4062AC">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物料衡算法</w:t>
            </w:r>
          </w:p>
        </w:tc>
        <w:tc>
          <w:tcPr>
            <w:tcW w:w="304" w:type="pct"/>
            <w:vMerge w:val="continue"/>
            <w:noWrap w:val="0"/>
            <w:tcMar>
              <w:top w:w="15" w:type="dxa"/>
              <w:left w:w="15" w:type="dxa"/>
              <w:right w:w="15" w:type="dxa"/>
            </w:tcMar>
            <w:vAlign w:val="center"/>
          </w:tcPr>
          <w:p w14:paraId="336DCC7F">
            <w:pPr>
              <w:keepNext w:val="0"/>
              <w:keepLines w:val="0"/>
              <w:pageBreakBefore w:val="0"/>
              <w:widowControl/>
              <w:kinsoku/>
              <w:wordWrap/>
              <w:overflowPunct/>
              <w:topLinePunct w:val="0"/>
              <w:autoSpaceDE/>
              <w:autoSpaceDN/>
              <w:bidi w:val="0"/>
              <w:adjustRightInd w:val="0"/>
              <w:snapToGrid w:val="0"/>
              <w:ind w:firstLine="0"/>
              <w:jc w:val="center"/>
              <w:rPr>
                <w:snapToGrid w:val="0"/>
                <w:color w:val="auto"/>
                <w:kern w:val="0"/>
                <w:sz w:val="21"/>
                <w:szCs w:val="21"/>
              </w:rPr>
            </w:pPr>
          </w:p>
        </w:tc>
        <w:tc>
          <w:tcPr>
            <w:tcW w:w="368" w:type="pct"/>
            <w:noWrap w:val="0"/>
            <w:tcMar>
              <w:top w:w="15" w:type="dxa"/>
              <w:left w:w="15" w:type="dxa"/>
              <w:right w:w="15" w:type="dxa"/>
            </w:tcMar>
            <w:vAlign w:val="center"/>
          </w:tcPr>
          <w:p w14:paraId="43F850FD">
            <w:pPr>
              <w:pStyle w:val="76"/>
              <w:keepNext w:val="0"/>
              <w:keepLines w:val="0"/>
              <w:pageBreakBefore w:val="0"/>
              <w:kinsoku/>
              <w:wordWrap/>
              <w:overflowPunct/>
              <w:topLinePunct w:val="0"/>
              <w:autoSpaceDE/>
              <w:autoSpaceDN/>
              <w:bidi w:val="0"/>
              <w:adjustRightInd w:val="0"/>
              <w:snapToGrid w:val="0"/>
              <w:ind w:firstLine="0"/>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3180</w:t>
            </w:r>
          </w:p>
        </w:tc>
        <w:tc>
          <w:tcPr>
            <w:tcW w:w="310" w:type="pct"/>
            <w:noWrap w:val="0"/>
            <w:tcMar>
              <w:top w:w="15" w:type="dxa"/>
              <w:left w:w="15" w:type="dxa"/>
              <w:right w:w="15" w:type="dxa"/>
            </w:tcMar>
            <w:vAlign w:val="center"/>
          </w:tcPr>
          <w:p w14:paraId="30CC1898">
            <w:pPr>
              <w:keepNext w:val="0"/>
              <w:keepLines w:val="0"/>
              <w:pageBreakBefore w:val="0"/>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11.81</w:t>
            </w:r>
          </w:p>
        </w:tc>
        <w:tc>
          <w:tcPr>
            <w:tcW w:w="322" w:type="pct"/>
            <w:noWrap w:val="0"/>
            <w:tcMar>
              <w:top w:w="15" w:type="dxa"/>
              <w:left w:w="15" w:type="dxa"/>
              <w:right w:w="15" w:type="dxa"/>
            </w:tcMar>
            <w:vAlign w:val="center"/>
          </w:tcPr>
          <w:p w14:paraId="64989E69">
            <w:pPr>
              <w:pStyle w:val="76"/>
              <w:keepNext w:val="0"/>
              <w:keepLines w:val="0"/>
              <w:pageBreakBefore w:val="0"/>
              <w:kinsoku/>
              <w:wordWrap/>
              <w:overflowPunct/>
              <w:topLinePunct w:val="0"/>
              <w:autoSpaceDE/>
              <w:autoSpaceDN/>
              <w:bidi w:val="0"/>
              <w:adjustRightInd w:val="0"/>
              <w:snapToGrid w:val="0"/>
              <w:ind w:firstLine="0"/>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25.51</w:t>
            </w:r>
          </w:p>
        </w:tc>
        <w:tc>
          <w:tcPr>
            <w:tcW w:w="333" w:type="pct"/>
            <w:vMerge w:val="continue"/>
            <w:noWrap w:val="0"/>
            <w:tcMar>
              <w:top w:w="15" w:type="dxa"/>
              <w:left w:w="15" w:type="dxa"/>
              <w:right w:w="15" w:type="dxa"/>
            </w:tcMar>
            <w:vAlign w:val="center"/>
          </w:tcPr>
          <w:p w14:paraId="1B964859">
            <w:pPr>
              <w:keepNext w:val="0"/>
              <w:keepLines w:val="0"/>
              <w:pageBreakBefore w:val="0"/>
              <w:kinsoku/>
              <w:wordWrap/>
              <w:overflowPunct/>
              <w:topLinePunct w:val="0"/>
              <w:autoSpaceDE/>
              <w:autoSpaceDN/>
              <w:bidi w:val="0"/>
              <w:adjustRightInd w:val="0"/>
              <w:snapToGrid w:val="0"/>
              <w:ind w:firstLine="0"/>
              <w:jc w:val="center"/>
              <w:rPr>
                <w:bCs/>
                <w:snapToGrid w:val="0"/>
                <w:color w:val="auto"/>
                <w:kern w:val="0"/>
                <w:sz w:val="21"/>
                <w:szCs w:val="21"/>
              </w:rPr>
            </w:pPr>
          </w:p>
        </w:tc>
        <w:tc>
          <w:tcPr>
            <w:tcW w:w="303" w:type="pct"/>
            <w:noWrap w:val="0"/>
            <w:tcMar>
              <w:top w:w="15" w:type="dxa"/>
              <w:left w:w="15" w:type="dxa"/>
              <w:right w:w="15" w:type="dxa"/>
            </w:tcMar>
            <w:vAlign w:val="center"/>
          </w:tcPr>
          <w:p w14:paraId="4D7247F5">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eastAsia="zh-CN"/>
              </w:rPr>
            </w:pPr>
            <w:r>
              <w:rPr>
                <w:snapToGrid w:val="0"/>
                <w:color w:val="auto"/>
                <w:kern w:val="0"/>
                <w:sz w:val="21"/>
                <w:szCs w:val="21"/>
              </w:rPr>
              <w:t>99.</w:t>
            </w:r>
            <w:r>
              <w:rPr>
                <w:rFonts w:hint="eastAsia"/>
                <w:snapToGrid w:val="0"/>
                <w:color w:val="auto"/>
                <w:kern w:val="0"/>
                <w:sz w:val="21"/>
                <w:szCs w:val="21"/>
                <w:lang w:val="en-US" w:eastAsia="zh-CN"/>
              </w:rPr>
              <w:t>6</w:t>
            </w:r>
          </w:p>
        </w:tc>
        <w:tc>
          <w:tcPr>
            <w:tcW w:w="248" w:type="pct"/>
            <w:vMerge w:val="continue"/>
            <w:noWrap w:val="0"/>
            <w:vAlign w:val="center"/>
          </w:tcPr>
          <w:p w14:paraId="2362C369">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195" w:type="pct"/>
            <w:vMerge w:val="continue"/>
            <w:noWrap w:val="0"/>
            <w:tcMar>
              <w:top w:w="15" w:type="dxa"/>
              <w:left w:w="15" w:type="dxa"/>
              <w:right w:w="15" w:type="dxa"/>
            </w:tcMar>
            <w:vAlign w:val="center"/>
          </w:tcPr>
          <w:p w14:paraId="5C0EB307">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98" w:type="pct"/>
            <w:vMerge w:val="continue"/>
            <w:noWrap w:val="0"/>
            <w:vAlign w:val="center"/>
          </w:tcPr>
          <w:p w14:paraId="0892A5D8">
            <w:pPr>
              <w:keepNext w:val="0"/>
              <w:keepLines w:val="0"/>
              <w:pageBreakBefore w:val="0"/>
              <w:widowControl/>
              <w:kinsoku/>
              <w:wordWrap/>
              <w:overflowPunct/>
              <w:topLinePunct w:val="0"/>
              <w:autoSpaceDE/>
              <w:autoSpaceDN/>
              <w:bidi w:val="0"/>
              <w:adjustRightInd w:val="0"/>
              <w:snapToGrid w:val="0"/>
              <w:ind w:firstLine="0"/>
              <w:jc w:val="center"/>
              <w:rPr>
                <w:snapToGrid w:val="0"/>
                <w:color w:val="auto"/>
                <w:kern w:val="0"/>
                <w:sz w:val="21"/>
                <w:szCs w:val="21"/>
              </w:rPr>
            </w:pPr>
          </w:p>
        </w:tc>
        <w:tc>
          <w:tcPr>
            <w:tcW w:w="379" w:type="pct"/>
            <w:noWrap w:val="0"/>
            <w:vAlign w:val="center"/>
          </w:tcPr>
          <w:p w14:paraId="70AA274D">
            <w:pPr>
              <w:pStyle w:val="76"/>
              <w:keepNext w:val="0"/>
              <w:keepLines w:val="0"/>
              <w:pageBreakBefore w:val="0"/>
              <w:kinsoku/>
              <w:wordWrap/>
              <w:overflowPunct/>
              <w:topLinePunct w:val="0"/>
              <w:autoSpaceDE/>
              <w:autoSpaceDN/>
              <w:bidi w:val="0"/>
              <w:adjustRightInd w:val="0"/>
              <w:snapToGrid w:val="0"/>
              <w:ind w:firstLine="0"/>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12.46</w:t>
            </w:r>
          </w:p>
        </w:tc>
        <w:tc>
          <w:tcPr>
            <w:tcW w:w="293" w:type="pct"/>
            <w:noWrap w:val="0"/>
            <w:tcMar>
              <w:top w:w="15" w:type="dxa"/>
              <w:left w:w="15" w:type="dxa"/>
              <w:right w:w="15" w:type="dxa"/>
            </w:tcMar>
            <w:vAlign w:val="center"/>
          </w:tcPr>
          <w:p w14:paraId="194C2230">
            <w:pPr>
              <w:keepNext w:val="0"/>
              <w:keepLines w:val="0"/>
              <w:pageBreakBefore w:val="0"/>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0.05</w:t>
            </w:r>
          </w:p>
        </w:tc>
        <w:tc>
          <w:tcPr>
            <w:tcW w:w="324" w:type="pct"/>
            <w:noWrap w:val="0"/>
            <w:tcMar>
              <w:top w:w="15" w:type="dxa"/>
              <w:left w:w="15" w:type="dxa"/>
              <w:right w:w="15" w:type="dxa"/>
            </w:tcMar>
            <w:vAlign w:val="center"/>
          </w:tcPr>
          <w:p w14:paraId="4CEA043D">
            <w:pPr>
              <w:pStyle w:val="76"/>
              <w:keepNext w:val="0"/>
              <w:keepLines w:val="0"/>
              <w:pageBreakBefore w:val="0"/>
              <w:kinsoku/>
              <w:wordWrap/>
              <w:overflowPunct/>
              <w:topLinePunct w:val="0"/>
              <w:autoSpaceDE/>
              <w:autoSpaceDN/>
              <w:bidi w:val="0"/>
              <w:adjustRightInd w:val="0"/>
              <w:snapToGrid w:val="0"/>
              <w:ind w:firstLine="0"/>
              <w:rPr>
                <w:rFonts w:hint="default" w:eastAsia="宋体"/>
                <w:snapToGrid w:val="0"/>
                <w:color w:val="auto"/>
                <w:kern w:val="0"/>
                <w:sz w:val="21"/>
                <w:szCs w:val="21"/>
                <w:lang w:val="en-US" w:eastAsia="zh-CN"/>
              </w:rPr>
            </w:pPr>
            <w:r>
              <w:rPr>
                <w:snapToGrid w:val="0"/>
                <w:color w:val="auto"/>
                <w:kern w:val="0"/>
                <w:sz w:val="21"/>
                <w:szCs w:val="21"/>
              </w:rPr>
              <w:t>0.</w:t>
            </w:r>
            <w:r>
              <w:rPr>
                <w:rFonts w:hint="eastAsia"/>
                <w:snapToGrid w:val="0"/>
                <w:color w:val="auto"/>
                <w:kern w:val="0"/>
                <w:sz w:val="21"/>
                <w:szCs w:val="21"/>
                <w:lang w:val="en-US" w:eastAsia="zh-CN"/>
              </w:rPr>
              <w:t>10</w:t>
            </w:r>
          </w:p>
        </w:tc>
        <w:tc>
          <w:tcPr>
            <w:tcW w:w="172" w:type="pct"/>
            <w:vMerge w:val="continue"/>
            <w:noWrap w:val="0"/>
            <w:tcMar>
              <w:top w:w="15" w:type="dxa"/>
              <w:left w:w="15" w:type="dxa"/>
              <w:right w:w="15" w:type="dxa"/>
            </w:tcMar>
            <w:vAlign w:val="center"/>
          </w:tcPr>
          <w:p w14:paraId="06943058">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r>
      <w:tr w14:paraId="041FE7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3" w:hRule="atLeast"/>
        </w:trPr>
        <w:tc>
          <w:tcPr>
            <w:tcW w:w="195" w:type="pct"/>
            <w:vMerge w:val="restart"/>
            <w:noWrap w:val="0"/>
            <w:tcMar>
              <w:top w:w="15" w:type="dxa"/>
              <w:left w:w="15" w:type="dxa"/>
              <w:right w:w="15" w:type="dxa"/>
            </w:tcMar>
            <w:vAlign w:val="center"/>
          </w:tcPr>
          <w:p w14:paraId="2459C3A7">
            <w:pPr>
              <w:keepNext w:val="0"/>
              <w:keepLines w:val="0"/>
              <w:pageBreakBefore w:val="0"/>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涂胶、热压工段</w:t>
            </w:r>
          </w:p>
        </w:tc>
        <w:tc>
          <w:tcPr>
            <w:tcW w:w="154" w:type="pct"/>
            <w:vMerge w:val="restart"/>
            <w:noWrap w:val="0"/>
            <w:tcMar>
              <w:top w:w="15" w:type="dxa"/>
              <w:left w:w="15" w:type="dxa"/>
              <w:right w:w="15" w:type="dxa"/>
            </w:tcMar>
            <w:vAlign w:val="center"/>
          </w:tcPr>
          <w:p w14:paraId="63D6C781">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生产车间</w:t>
            </w:r>
          </w:p>
        </w:tc>
        <w:tc>
          <w:tcPr>
            <w:tcW w:w="200" w:type="pct"/>
            <w:tcBorders>
              <w:bottom w:val="single" w:color="000000" w:sz="4" w:space="0"/>
            </w:tcBorders>
            <w:noWrap w:val="0"/>
            <w:vAlign w:val="center"/>
          </w:tcPr>
          <w:p w14:paraId="7278F30A">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有组织</w:t>
            </w:r>
          </w:p>
        </w:tc>
        <w:tc>
          <w:tcPr>
            <w:tcW w:w="289" w:type="pct"/>
            <w:vMerge w:val="restart"/>
            <w:noWrap w:val="0"/>
            <w:tcMar>
              <w:top w:w="15" w:type="dxa"/>
              <w:left w:w="15" w:type="dxa"/>
              <w:right w:w="15" w:type="dxa"/>
            </w:tcMar>
            <w:vAlign w:val="center"/>
          </w:tcPr>
          <w:p w14:paraId="1A356B90">
            <w:pPr>
              <w:pStyle w:val="76"/>
              <w:keepNext w:val="0"/>
              <w:keepLines w:val="0"/>
              <w:pageBreakBefore w:val="0"/>
              <w:kinsoku/>
              <w:wordWrap/>
              <w:overflowPunct/>
              <w:topLinePunct w:val="0"/>
              <w:autoSpaceDE/>
              <w:autoSpaceDN/>
              <w:bidi w:val="0"/>
              <w:adjustRightInd w:val="0"/>
              <w:snapToGrid w:val="0"/>
              <w:ind w:firstLine="0"/>
              <w:rPr>
                <w:rFonts w:hint="eastAsia"/>
                <w:snapToGrid w:val="0"/>
                <w:color w:val="auto"/>
                <w:kern w:val="0"/>
                <w:sz w:val="21"/>
                <w:szCs w:val="21"/>
                <w:lang w:val="en-US" w:eastAsia="zh-CN"/>
              </w:rPr>
            </w:pPr>
            <w:r>
              <w:rPr>
                <w:rFonts w:hint="eastAsia" w:cs="Times New Roman"/>
                <w:color w:val="auto"/>
                <w:sz w:val="21"/>
                <w:szCs w:val="21"/>
                <w:highlight w:val="none"/>
                <w:lang w:val="en-US" w:eastAsia="zh-CN"/>
              </w:rPr>
              <w:t>非甲烷总烃</w:t>
            </w:r>
          </w:p>
        </w:tc>
        <w:tc>
          <w:tcPr>
            <w:tcW w:w="304" w:type="pct"/>
            <w:vMerge w:val="restart"/>
            <w:tcBorders>
              <w:top w:val="single" w:color="auto" w:sz="4" w:space="0"/>
            </w:tcBorders>
            <w:noWrap w:val="0"/>
            <w:tcMar>
              <w:top w:w="15" w:type="dxa"/>
              <w:left w:w="15" w:type="dxa"/>
              <w:right w:w="15" w:type="dxa"/>
            </w:tcMar>
            <w:vAlign w:val="center"/>
          </w:tcPr>
          <w:p w14:paraId="5E67CCDF">
            <w:pPr>
              <w:keepNext w:val="0"/>
              <w:keepLines w:val="0"/>
              <w:pageBreakBefore w:val="0"/>
              <w:kinsoku/>
              <w:wordWrap/>
              <w:overflowPunct/>
              <w:topLinePunct w:val="0"/>
              <w:autoSpaceDE/>
              <w:autoSpaceDN/>
              <w:bidi w:val="0"/>
              <w:adjustRightInd w:val="0"/>
              <w:snapToGrid w:val="0"/>
              <w:ind w:firstLine="0"/>
              <w:jc w:val="center"/>
              <w:rPr>
                <w:rFonts w:hint="default"/>
                <w:snapToGrid w:val="0"/>
                <w:color w:val="auto"/>
                <w:kern w:val="0"/>
                <w:sz w:val="21"/>
                <w:szCs w:val="21"/>
                <w:lang w:val="en-US" w:eastAsia="zh-CN"/>
              </w:rPr>
            </w:pPr>
            <w:r>
              <w:rPr>
                <w:snapToGrid w:val="0"/>
                <w:color w:val="auto"/>
                <w:kern w:val="0"/>
                <w:sz w:val="21"/>
                <w:szCs w:val="21"/>
              </w:rPr>
              <w:t>物料衡算</w:t>
            </w:r>
            <w:r>
              <w:rPr>
                <w:rFonts w:hint="eastAsia"/>
                <w:snapToGrid w:val="0"/>
                <w:color w:val="auto"/>
                <w:kern w:val="0"/>
                <w:sz w:val="21"/>
                <w:szCs w:val="21"/>
                <w:lang w:val="en-US" w:eastAsia="zh-CN"/>
              </w:rPr>
              <w:t>法</w:t>
            </w:r>
          </w:p>
        </w:tc>
        <w:tc>
          <w:tcPr>
            <w:tcW w:w="304" w:type="pct"/>
            <w:noWrap w:val="0"/>
            <w:tcMar>
              <w:top w:w="15" w:type="dxa"/>
              <w:left w:w="15" w:type="dxa"/>
              <w:right w:w="15" w:type="dxa"/>
            </w:tcMar>
            <w:vAlign w:val="center"/>
          </w:tcPr>
          <w:p w14:paraId="741945A5">
            <w:pPr>
              <w:keepNext w:val="0"/>
              <w:keepLines w:val="0"/>
              <w:pageBreakBefore w:val="0"/>
              <w:widowControl/>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3000</w:t>
            </w:r>
          </w:p>
        </w:tc>
        <w:tc>
          <w:tcPr>
            <w:tcW w:w="368" w:type="pct"/>
            <w:noWrap w:val="0"/>
            <w:tcMar>
              <w:top w:w="15" w:type="dxa"/>
              <w:left w:w="15" w:type="dxa"/>
              <w:right w:w="15" w:type="dxa"/>
            </w:tcMar>
            <w:vAlign w:val="center"/>
          </w:tcPr>
          <w:p w14:paraId="6E8A4639">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cs="Times New Roman"/>
                <w:snapToGrid w:val="0"/>
                <w:color w:val="auto"/>
                <w:kern w:val="0"/>
                <w:sz w:val="21"/>
                <w:szCs w:val="21"/>
                <w:lang w:val="en-US" w:eastAsia="zh-CN"/>
              </w:rPr>
            </w:pPr>
            <w:r>
              <w:rPr>
                <w:rFonts w:hint="eastAsia" w:cs="Times New Roman"/>
                <w:snapToGrid w:val="0"/>
                <w:color w:val="auto"/>
                <w:kern w:val="0"/>
                <w:sz w:val="21"/>
                <w:szCs w:val="21"/>
                <w:lang w:val="en-US" w:eastAsia="zh-CN"/>
              </w:rPr>
              <w:t>40.43</w:t>
            </w:r>
          </w:p>
        </w:tc>
        <w:tc>
          <w:tcPr>
            <w:tcW w:w="310" w:type="pct"/>
            <w:noWrap w:val="0"/>
            <w:tcMar>
              <w:top w:w="15" w:type="dxa"/>
              <w:left w:w="15" w:type="dxa"/>
              <w:right w:w="15" w:type="dxa"/>
            </w:tcMar>
            <w:vAlign w:val="center"/>
          </w:tcPr>
          <w:p w14:paraId="31297B7B">
            <w:pPr>
              <w:keepNext w:val="0"/>
              <w:keepLines w:val="0"/>
              <w:pageBreakBefore w:val="0"/>
              <w:kinsoku/>
              <w:wordWrap/>
              <w:overflowPunct/>
              <w:topLinePunct w:val="0"/>
              <w:autoSpaceDE/>
              <w:autoSpaceDN/>
              <w:bidi w:val="0"/>
              <w:adjustRightInd w:val="0"/>
              <w:snapToGrid w:val="0"/>
              <w:ind w:firstLine="0"/>
              <w:jc w:val="center"/>
              <w:rPr>
                <w:rFonts w:hint="default"/>
                <w:snapToGrid w:val="0"/>
                <w:color w:val="auto"/>
                <w:kern w:val="0"/>
                <w:sz w:val="21"/>
                <w:szCs w:val="21"/>
                <w:lang w:val="en-US" w:eastAsia="zh-CN"/>
              </w:rPr>
            </w:pPr>
            <w:r>
              <w:rPr>
                <w:rFonts w:hint="eastAsia" w:cs="Times New Roman"/>
                <w:color w:val="auto"/>
                <w:sz w:val="21"/>
                <w:szCs w:val="21"/>
                <w:highlight w:val="none"/>
                <w:lang w:val="en-US" w:eastAsia="zh-CN"/>
              </w:rPr>
              <w:t>0.121</w:t>
            </w:r>
          </w:p>
        </w:tc>
        <w:tc>
          <w:tcPr>
            <w:tcW w:w="322" w:type="pct"/>
            <w:noWrap w:val="0"/>
            <w:tcMar>
              <w:top w:w="15" w:type="dxa"/>
              <w:left w:w="15" w:type="dxa"/>
              <w:right w:w="15" w:type="dxa"/>
            </w:tcMar>
            <w:vAlign w:val="center"/>
          </w:tcPr>
          <w:p w14:paraId="22ABEDB3">
            <w:pPr>
              <w:pStyle w:val="76"/>
              <w:keepNext w:val="0"/>
              <w:keepLines w:val="0"/>
              <w:pageBreakBefore w:val="0"/>
              <w:kinsoku/>
              <w:wordWrap/>
              <w:overflowPunct/>
              <w:topLinePunct w:val="0"/>
              <w:autoSpaceDE/>
              <w:autoSpaceDN/>
              <w:bidi w:val="0"/>
              <w:adjustRightInd w:val="0"/>
              <w:snapToGrid w:val="0"/>
              <w:ind w:firstLine="0"/>
              <w:rPr>
                <w:rFonts w:hint="default"/>
                <w:snapToGrid w:val="0"/>
                <w:color w:val="auto"/>
                <w:kern w:val="0"/>
                <w:sz w:val="21"/>
                <w:szCs w:val="21"/>
                <w:lang w:val="en-US" w:eastAsia="zh-CN"/>
              </w:rPr>
            </w:pPr>
            <w:r>
              <w:rPr>
                <w:rFonts w:hint="eastAsia" w:cs="Times New Roman"/>
                <w:color w:val="auto"/>
                <w:sz w:val="21"/>
                <w:szCs w:val="21"/>
                <w:highlight w:val="none"/>
                <w:lang w:val="en-US" w:eastAsia="zh-CN"/>
              </w:rPr>
              <w:t>0.262</w:t>
            </w:r>
          </w:p>
        </w:tc>
        <w:tc>
          <w:tcPr>
            <w:tcW w:w="333" w:type="pct"/>
            <w:vMerge w:val="restart"/>
            <w:noWrap w:val="0"/>
            <w:tcMar>
              <w:top w:w="15" w:type="dxa"/>
              <w:left w:w="15" w:type="dxa"/>
              <w:right w:w="15" w:type="dxa"/>
            </w:tcMar>
            <w:vAlign w:val="center"/>
          </w:tcPr>
          <w:p w14:paraId="2D93271E">
            <w:pPr>
              <w:keepNext w:val="0"/>
              <w:keepLines w:val="0"/>
              <w:pageBreakBefore w:val="0"/>
              <w:kinsoku/>
              <w:wordWrap/>
              <w:overflowPunct/>
              <w:topLinePunct w:val="0"/>
              <w:autoSpaceDE/>
              <w:autoSpaceDN/>
              <w:bidi w:val="0"/>
              <w:adjustRightInd w:val="0"/>
              <w:snapToGrid w:val="0"/>
              <w:ind w:firstLine="0"/>
              <w:jc w:val="center"/>
              <w:rPr>
                <w:bCs/>
                <w:snapToGrid w:val="0"/>
                <w:color w:val="auto"/>
                <w:kern w:val="0"/>
                <w:sz w:val="21"/>
                <w:szCs w:val="21"/>
              </w:rPr>
            </w:pPr>
            <w:r>
              <w:rPr>
                <w:rFonts w:hint="eastAsia"/>
                <w:color w:val="auto"/>
                <w:sz w:val="21"/>
                <w:szCs w:val="21"/>
                <w:lang w:val="en-US" w:eastAsia="zh-CN"/>
              </w:rPr>
              <w:t>集气罩、活性炭吸附</w:t>
            </w:r>
            <w:r>
              <w:rPr>
                <w:bCs/>
                <w:snapToGrid w:val="0"/>
                <w:color w:val="auto"/>
                <w:kern w:val="0"/>
                <w:sz w:val="21"/>
                <w:szCs w:val="21"/>
              </w:rPr>
              <w:t>+</w:t>
            </w:r>
            <w:r>
              <w:rPr>
                <w:rFonts w:hint="eastAsia"/>
                <w:bCs/>
                <w:snapToGrid w:val="0"/>
                <w:color w:val="auto"/>
                <w:kern w:val="0"/>
                <w:sz w:val="21"/>
                <w:szCs w:val="21"/>
                <w:lang w:val="en-US" w:eastAsia="zh-CN"/>
              </w:rPr>
              <w:t>15</w:t>
            </w:r>
            <w:r>
              <w:rPr>
                <w:bCs/>
                <w:snapToGrid w:val="0"/>
                <w:color w:val="auto"/>
                <w:kern w:val="0"/>
                <w:sz w:val="21"/>
                <w:szCs w:val="21"/>
              </w:rPr>
              <w:t>m</w:t>
            </w:r>
            <w:r>
              <w:rPr>
                <w:snapToGrid w:val="0"/>
                <w:color w:val="auto"/>
                <w:kern w:val="0"/>
                <w:sz w:val="21"/>
                <w:szCs w:val="21"/>
              </w:rPr>
              <w:t>高排气筒</w:t>
            </w:r>
          </w:p>
        </w:tc>
        <w:tc>
          <w:tcPr>
            <w:tcW w:w="303" w:type="pct"/>
            <w:noWrap w:val="0"/>
            <w:tcMar>
              <w:top w:w="15" w:type="dxa"/>
              <w:left w:w="15" w:type="dxa"/>
              <w:right w:w="15" w:type="dxa"/>
            </w:tcMar>
            <w:vAlign w:val="center"/>
          </w:tcPr>
          <w:p w14:paraId="4E36595A">
            <w:pPr>
              <w:keepNext w:val="0"/>
              <w:keepLines w:val="0"/>
              <w:pageBreakBefore w:val="0"/>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收集效率90，去除率80</w:t>
            </w:r>
          </w:p>
        </w:tc>
        <w:tc>
          <w:tcPr>
            <w:tcW w:w="248" w:type="pct"/>
            <w:vMerge w:val="restart"/>
            <w:noWrap w:val="0"/>
            <w:vAlign w:val="center"/>
          </w:tcPr>
          <w:p w14:paraId="71D6894A">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snapToGrid w:val="0"/>
                <w:color w:val="auto"/>
                <w:kern w:val="0"/>
                <w:sz w:val="21"/>
                <w:szCs w:val="21"/>
              </w:rPr>
              <w:t>是</w:t>
            </w:r>
          </w:p>
        </w:tc>
        <w:tc>
          <w:tcPr>
            <w:tcW w:w="195" w:type="pct"/>
            <w:vMerge w:val="restart"/>
            <w:noWrap w:val="0"/>
            <w:tcMar>
              <w:top w:w="15" w:type="dxa"/>
              <w:left w:w="15" w:type="dxa"/>
              <w:right w:w="15" w:type="dxa"/>
            </w:tcMar>
            <w:vAlign w:val="center"/>
          </w:tcPr>
          <w:p w14:paraId="3D6EBAFD">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eastAsia="zh-CN"/>
              </w:rPr>
            </w:pPr>
            <w:r>
              <w:rPr>
                <w:rFonts w:hint="eastAsia"/>
                <w:snapToGrid w:val="0"/>
                <w:color w:val="auto"/>
                <w:kern w:val="0"/>
                <w:sz w:val="21"/>
                <w:szCs w:val="21"/>
                <w:lang w:val="en-US" w:eastAsia="zh-CN"/>
              </w:rPr>
              <w:t>排污系数法</w:t>
            </w:r>
          </w:p>
        </w:tc>
        <w:tc>
          <w:tcPr>
            <w:tcW w:w="298" w:type="pct"/>
            <w:noWrap w:val="0"/>
            <w:vAlign w:val="center"/>
          </w:tcPr>
          <w:p w14:paraId="6BC9DEDC">
            <w:pPr>
              <w:keepNext w:val="0"/>
              <w:keepLines w:val="0"/>
              <w:pageBreakBefore w:val="0"/>
              <w:widowControl/>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3000</w:t>
            </w:r>
          </w:p>
        </w:tc>
        <w:tc>
          <w:tcPr>
            <w:tcW w:w="379" w:type="pct"/>
            <w:noWrap w:val="0"/>
            <w:vAlign w:val="center"/>
          </w:tcPr>
          <w:p w14:paraId="4CA7F8C7">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7.284</w:t>
            </w:r>
          </w:p>
        </w:tc>
        <w:tc>
          <w:tcPr>
            <w:tcW w:w="293" w:type="pct"/>
            <w:noWrap w:val="0"/>
            <w:tcMar>
              <w:top w:w="15" w:type="dxa"/>
              <w:left w:w="15" w:type="dxa"/>
              <w:right w:w="15" w:type="dxa"/>
            </w:tcMar>
            <w:vAlign w:val="center"/>
          </w:tcPr>
          <w:p w14:paraId="3D66147A">
            <w:pPr>
              <w:keepNext w:val="0"/>
              <w:keepLines w:val="0"/>
              <w:pageBreakBefore w:val="0"/>
              <w:kinsoku/>
              <w:wordWrap/>
              <w:overflowPunct/>
              <w:topLinePunct w:val="0"/>
              <w:autoSpaceDE/>
              <w:autoSpaceDN/>
              <w:bidi w:val="0"/>
              <w:adjustRightInd w:val="0"/>
              <w:snapToGrid w:val="0"/>
              <w:ind w:firstLine="0"/>
              <w:jc w:val="center"/>
              <w:rPr>
                <w:rFonts w:hint="default"/>
                <w:snapToGrid w:val="0"/>
                <w:color w:val="auto"/>
                <w:kern w:val="0"/>
                <w:sz w:val="21"/>
                <w:szCs w:val="21"/>
                <w:highlight w:val="none"/>
                <w:lang w:val="en-US" w:eastAsia="zh-CN"/>
              </w:rPr>
            </w:pPr>
            <w:r>
              <w:rPr>
                <w:rFonts w:hint="eastAsia" w:cs="Times New Roman"/>
                <w:color w:val="auto"/>
                <w:sz w:val="21"/>
                <w:szCs w:val="21"/>
                <w:highlight w:val="none"/>
                <w:lang w:val="en-US" w:eastAsia="zh-CN"/>
              </w:rPr>
              <w:t>0.0219</w:t>
            </w:r>
          </w:p>
        </w:tc>
        <w:tc>
          <w:tcPr>
            <w:tcW w:w="324" w:type="pct"/>
            <w:noWrap w:val="0"/>
            <w:tcMar>
              <w:top w:w="15" w:type="dxa"/>
              <w:left w:w="15" w:type="dxa"/>
              <w:right w:w="15" w:type="dxa"/>
            </w:tcMar>
            <w:vAlign w:val="center"/>
          </w:tcPr>
          <w:p w14:paraId="0C077B8E">
            <w:pPr>
              <w:pStyle w:val="76"/>
              <w:keepNext w:val="0"/>
              <w:keepLines w:val="0"/>
              <w:pageBreakBefore w:val="0"/>
              <w:kinsoku/>
              <w:wordWrap/>
              <w:overflowPunct/>
              <w:topLinePunct w:val="0"/>
              <w:autoSpaceDE/>
              <w:autoSpaceDN/>
              <w:bidi w:val="0"/>
              <w:adjustRightInd w:val="0"/>
              <w:snapToGrid w:val="0"/>
              <w:ind w:firstLine="0"/>
              <w:rPr>
                <w:rFonts w:hint="default"/>
                <w:snapToGrid w:val="0"/>
                <w:color w:val="auto"/>
                <w:kern w:val="0"/>
                <w:sz w:val="21"/>
                <w:szCs w:val="21"/>
                <w:highlight w:val="none"/>
                <w:lang w:val="en-US" w:eastAsia="zh-CN"/>
              </w:rPr>
            </w:pPr>
            <w:r>
              <w:rPr>
                <w:rFonts w:hint="eastAsia" w:cs="Times New Roman"/>
                <w:color w:val="auto"/>
                <w:sz w:val="21"/>
                <w:szCs w:val="21"/>
                <w:highlight w:val="none"/>
                <w:lang w:val="en-US" w:eastAsia="zh-CN"/>
              </w:rPr>
              <w:t>0.0472</w:t>
            </w:r>
          </w:p>
        </w:tc>
        <w:tc>
          <w:tcPr>
            <w:tcW w:w="172" w:type="pct"/>
            <w:vMerge w:val="continue"/>
            <w:noWrap w:val="0"/>
            <w:tcMar>
              <w:top w:w="15" w:type="dxa"/>
              <w:left w:w="15" w:type="dxa"/>
              <w:right w:w="15" w:type="dxa"/>
            </w:tcMar>
            <w:vAlign w:val="center"/>
          </w:tcPr>
          <w:p w14:paraId="4036658B">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r>
      <w:tr w14:paraId="52E139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93" w:hRule="atLeast"/>
        </w:trPr>
        <w:tc>
          <w:tcPr>
            <w:tcW w:w="195" w:type="pct"/>
            <w:vMerge w:val="continue"/>
            <w:noWrap w:val="0"/>
            <w:tcMar>
              <w:top w:w="15" w:type="dxa"/>
              <w:left w:w="15" w:type="dxa"/>
              <w:right w:w="15" w:type="dxa"/>
            </w:tcMar>
            <w:vAlign w:val="center"/>
          </w:tcPr>
          <w:p w14:paraId="2B119001">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154" w:type="pct"/>
            <w:vMerge w:val="continue"/>
            <w:noWrap w:val="0"/>
            <w:tcMar>
              <w:top w:w="15" w:type="dxa"/>
              <w:left w:w="15" w:type="dxa"/>
              <w:right w:w="15" w:type="dxa"/>
            </w:tcMar>
            <w:vAlign w:val="center"/>
          </w:tcPr>
          <w:p w14:paraId="3169E0DD">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00" w:type="pct"/>
            <w:tcBorders>
              <w:top w:val="single" w:color="000000" w:sz="4" w:space="0"/>
              <w:bottom w:val="single" w:color="000000" w:sz="4" w:space="0"/>
            </w:tcBorders>
            <w:noWrap w:val="0"/>
            <w:vAlign w:val="center"/>
          </w:tcPr>
          <w:p w14:paraId="67BECAEA">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无组织</w:t>
            </w:r>
          </w:p>
        </w:tc>
        <w:tc>
          <w:tcPr>
            <w:tcW w:w="289" w:type="pct"/>
            <w:vMerge w:val="continue"/>
            <w:noWrap w:val="0"/>
            <w:tcMar>
              <w:top w:w="15" w:type="dxa"/>
              <w:left w:w="15" w:type="dxa"/>
              <w:right w:w="15" w:type="dxa"/>
            </w:tcMar>
            <w:vAlign w:val="center"/>
          </w:tcPr>
          <w:p w14:paraId="695B6A6F">
            <w:pPr>
              <w:pStyle w:val="76"/>
              <w:keepNext w:val="0"/>
              <w:keepLines w:val="0"/>
              <w:pageBreakBefore w:val="0"/>
              <w:kinsoku/>
              <w:wordWrap/>
              <w:overflowPunct/>
              <w:topLinePunct w:val="0"/>
              <w:autoSpaceDE/>
              <w:autoSpaceDN/>
              <w:bidi w:val="0"/>
              <w:adjustRightInd w:val="0"/>
              <w:snapToGrid w:val="0"/>
              <w:ind w:firstLine="0"/>
              <w:rPr>
                <w:rFonts w:hint="eastAsia"/>
                <w:snapToGrid w:val="0"/>
                <w:color w:val="auto"/>
                <w:kern w:val="0"/>
                <w:sz w:val="21"/>
                <w:szCs w:val="21"/>
                <w:lang w:val="en-US" w:eastAsia="zh-CN"/>
              </w:rPr>
            </w:pPr>
          </w:p>
        </w:tc>
        <w:tc>
          <w:tcPr>
            <w:tcW w:w="304" w:type="pct"/>
            <w:vMerge w:val="continue"/>
            <w:noWrap w:val="0"/>
            <w:tcMar>
              <w:top w:w="15" w:type="dxa"/>
              <w:left w:w="15" w:type="dxa"/>
              <w:right w:w="15" w:type="dxa"/>
            </w:tcMar>
            <w:vAlign w:val="center"/>
          </w:tcPr>
          <w:p w14:paraId="4F03967D">
            <w:pPr>
              <w:keepNext w:val="0"/>
              <w:keepLines w:val="0"/>
              <w:pageBreakBefore w:val="0"/>
              <w:kinsoku/>
              <w:wordWrap/>
              <w:overflowPunct/>
              <w:topLinePunct w:val="0"/>
              <w:autoSpaceDE/>
              <w:autoSpaceDN/>
              <w:bidi w:val="0"/>
              <w:adjustRightInd w:val="0"/>
              <w:snapToGrid w:val="0"/>
              <w:ind w:firstLine="0"/>
              <w:jc w:val="center"/>
              <w:rPr>
                <w:rFonts w:hint="eastAsia"/>
                <w:snapToGrid w:val="0"/>
                <w:color w:val="auto"/>
                <w:kern w:val="0"/>
                <w:sz w:val="21"/>
                <w:szCs w:val="21"/>
                <w:lang w:val="en-US" w:eastAsia="zh-CN"/>
              </w:rPr>
            </w:pPr>
          </w:p>
        </w:tc>
        <w:tc>
          <w:tcPr>
            <w:tcW w:w="304" w:type="pct"/>
            <w:noWrap w:val="0"/>
            <w:tcMar>
              <w:top w:w="15" w:type="dxa"/>
              <w:left w:w="15" w:type="dxa"/>
              <w:right w:w="15" w:type="dxa"/>
            </w:tcMar>
            <w:vAlign w:val="center"/>
          </w:tcPr>
          <w:p w14:paraId="7975E6F3">
            <w:pPr>
              <w:keepNext w:val="0"/>
              <w:keepLines w:val="0"/>
              <w:pageBreakBefore w:val="0"/>
              <w:widowControl/>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w:t>
            </w:r>
          </w:p>
        </w:tc>
        <w:tc>
          <w:tcPr>
            <w:tcW w:w="368" w:type="pct"/>
            <w:noWrap w:val="0"/>
            <w:tcMar>
              <w:top w:w="15" w:type="dxa"/>
              <w:left w:w="15" w:type="dxa"/>
              <w:right w:w="15" w:type="dxa"/>
            </w:tcMar>
            <w:vAlign w:val="center"/>
          </w:tcPr>
          <w:p w14:paraId="5E8717A0">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cs="Times New Roman"/>
                <w:snapToGrid w:val="0"/>
                <w:color w:val="auto"/>
                <w:kern w:val="0"/>
                <w:sz w:val="21"/>
                <w:szCs w:val="21"/>
                <w:lang w:val="en-US" w:eastAsia="zh-CN"/>
              </w:rPr>
            </w:pPr>
            <w:r>
              <w:rPr>
                <w:rFonts w:hint="eastAsia" w:cs="Times New Roman"/>
                <w:snapToGrid w:val="0"/>
                <w:color w:val="auto"/>
                <w:kern w:val="0"/>
                <w:sz w:val="21"/>
                <w:szCs w:val="21"/>
                <w:lang w:val="en-US" w:eastAsia="zh-CN"/>
              </w:rPr>
              <w:t>/</w:t>
            </w:r>
          </w:p>
        </w:tc>
        <w:tc>
          <w:tcPr>
            <w:tcW w:w="310" w:type="pct"/>
            <w:noWrap w:val="0"/>
            <w:tcMar>
              <w:top w:w="15" w:type="dxa"/>
              <w:left w:w="15" w:type="dxa"/>
              <w:right w:w="15" w:type="dxa"/>
            </w:tcMar>
            <w:vAlign w:val="center"/>
          </w:tcPr>
          <w:p w14:paraId="6816A1AD">
            <w:pPr>
              <w:keepNext w:val="0"/>
              <w:keepLines w:val="0"/>
              <w:pageBreakBefore w:val="0"/>
              <w:kinsoku/>
              <w:wordWrap/>
              <w:overflowPunct/>
              <w:topLinePunct w:val="0"/>
              <w:autoSpaceDE/>
              <w:autoSpaceDN/>
              <w:bidi w:val="0"/>
              <w:adjustRightInd w:val="0"/>
              <w:snapToGrid w:val="0"/>
              <w:ind w:firstLine="0"/>
              <w:jc w:val="center"/>
              <w:rPr>
                <w:rFonts w:hint="default"/>
                <w:snapToGrid w:val="0"/>
                <w:color w:val="auto"/>
                <w:kern w:val="0"/>
                <w:sz w:val="21"/>
                <w:szCs w:val="21"/>
                <w:lang w:val="en-US" w:eastAsia="zh-CN"/>
              </w:rPr>
            </w:pPr>
            <w:r>
              <w:rPr>
                <w:rFonts w:hint="eastAsia" w:cs="Times New Roman"/>
                <w:color w:val="auto"/>
                <w:sz w:val="21"/>
                <w:szCs w:val="21"/>
                <w:highlight w:val="none"/>
                <w:lang w:val="en-US" w:eastAsia="zh-CN"/>
              </w:rPr>
              <w:t>0.0121</w:t>
            </w:r>
          </w:p>
        </w:tc>
        <w:tc>
          <w:tcPr>
            <w:tcW w:w="322" w:type="pct"/>
            <w:noWrap w:val="0"/>
            <w:tcMar>
              <w:top w:w="15" w:type="dxa"/>
              <w:left w:w="15" w:type="dxa"/>
              <w:right w:w="15" w:type="dxa"/>
            </w:tcMar>
            <w:vAlign w:val="center"/>
          </w:tcPr>
          <w:p w14:paraId="0F7C91AE">
            <w:pPr>
              <w:pStyle w:val="76"/>
              <w:keepNext w:val="0"/>
              <w:keepLines w:val="0"/>
              <w:pageBreakBefore w:val="0"/>
              <w:kinsoku/>
              <w:wordWrap/>
              <w:overflowPunct/>
              <w:topLinePunct w:val="0"/>
              <w:autoSpaceDE/>
              <w:autoSpaceDN/>
              <w:bidi w:val="0"/>
              <w:adjustRightInd w:val="0"/>
              <w:snapToGrid w:val="0"/>
              <w:ind w:firstLine="0"/>
              <w:rPr>
                <w:rFonts w:hint="default"/>
                <w:snapToGrid w:val="0"/>
                <w:color w:val="auto"/>
                <w:kern w:val="0"/>
                <w:sz w:val="21"/>
                <w:szCs w:val="21"/>
                <w:lang w:val="en-US" w:eastAsia="zh-CN"/>
              </w:rPr>
            </w:pPr>
            <w:r>
              <w:rPr>
                <w:rFonts w:hint="eastAsia" w:cs="Times New Roman"/>
                <w:color w:val="auto"/>
                <w:sz w:val="21"/>
                <w:szCs w:val="21"/>
                <w:highlight w:val="none"/>
                <w:lang w:val="en-US" w:eastAsia="zh-CN"/>
              </w:rPr>
              <w:t>0.0262</w:t>
            </w:r>
          </w:p>
        </w:tc>
        <w:tc>
          <w:tcPr>
            <w:tcW w:w="333" w:type="pct"/>
            <w:vMerge w:val="continue"/>
            <w:noWrap w:val="0"/>
            <w:tcMar>
              <w:top w:w="15" w:type="dxa"/>
              <w:left w:w="15" w:type="dxa"/>
              <w:right w:w="15" w:type="dxa"/>
            </w:tcMar>
            <w:vAlign w:val="center"/>
          </w:tcPr>
          <w:p w14:paraId="3B093BC6">
            <w:pPr>
              <w:keepNext w:val="0"/>
              <w:keepLines w:val="0"/>
              <w:pageBreakBefore w:val="0"/>
              <w:kinsoku/>
              <w:wordWrap/>
              <w:overflowPunct/>
              <w:topLinePunct w:val="0"/>
              <w:autoSpaceDE/>
              <w:autoSpaceDN/>
              <w:bidi w:val="0"/>
              <w:adjustRightInd w:val="0"/>
              <w:snapToGrid w:val="0"/>
              <w:ind w:firstLine="0"/>
              <w:jc w:val="center"/>
              <w:rPr>
                <w:bCs/>
                <w:snapToGrid w:val="0"/>
                <w:color w:val="auto"/>
                <w:kern w:val="0"/>
                <w:sz w:val="21"/>
                <w:szCs w:val="21"/>
              </w:rPr>
            </w:pPr>
          </w:p>
        </w:tc>
        <w:tc>
          <w:tcPr>
            <w:tcW w:w="303" w:type="pct"/>
            <w:noWrap w:val="0"/>
            <w:tcMar>
              <w:top w:w="15" w:type="dxa"/>
              <w:left w:w="15" w:type="dxa"/>
              <w:right w:w="15" w:type="dxa"/>
            </w:tcMar>
            <w:vAlign w:val="center"/>
          </w:tcPr>
          <w:p w14:paraId="6E1D5490">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w:t>
            </w:r>
          </w:p>
        </w:tc>
        <w:tc>
          <w:tcPr>
            <w:tcW w:w="248" w:type="pct"/>
            <w:vMerge w:val="continue"/>
            <w:noWrap w:val="0"/>
            <w:vAlign w:val="center"/>
          </w:tcPr>
          <w:p w14:paraId="04D2B2A0">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195" w:type="pct"/>
            <w:vMerge w:val="continue"/>
            <w:noWrap w:val="0"/>
            <w:tcMar>
              <w:top w:w="15" w:type="dxa"/>
              <w:left w:w="15" w:type="dxa"/>
              <w:right w:w="15" w:type="dxa"/>
            </w:tcMar>
            <w:vAlign w:val="center"/>
          </w:tcPr>
          <w:p w14:paraId="39636176">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c>
          <w:tcPr>
            <w:tcW w:w="298" w:type="pct"/>
            <w:noWrap w:val="0"/>
            <w:vAlign w:val="center"/>
          </w:tcPr>
          <w:p w14:paraId="12FA0482">
            <w:pPr>
              <w:keepNext w:val="0"/>
              <w:keepLines w:val="0"/>
              <w:pageBreakBefore w:val="0"/>
              <w:widowControl/>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w:t>
            </w:r>
          </w:p>
        </w:tc>
        <w:tc>
          <w:tcPr>
            <w:tcW w:w="379" w:type="pct"/>
            <w:noWrap w:val="0"/>
            <w:vAlign w:val="center"/>
          </w:tcPr>
          <w:p w14:paraId="2714F954">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cs="Times New Roman"/>
                <w:snapToGrid w:val="0"/>
                <w:color w:val="auto"/>
                <w:kern w:val="0"/>
                <w:sz w:val="21"/>
                <w:szCs w:val="21"/>
                <w:lang w:val="en-US" w:eastAsia="zh-CN"/>
              </w:rPr>
            </w:pPr>
            <w:r>
              <w:rPr>
                <w:rFonts w:hint="eastAsia" w:cs="Times New Roman"/>
                <w:snapToGrid w:val="0"/>
                <w:color w:val="auto"/>
                <w:kern w:val="0"/>
                <w:sz w:val="21"/>
                <w:szCs w:val="21"/>
                <w:lang w:val="en-US" w:eastAsia="zh-CN"/>
              </w:rPr>
              <w:t>/</w:t>
            </w:r>
          </w:p>
        </w:tc>
        <w:tc>
          <w:tcPr>
            <w:tcW w:w="293" w:type="pct"/>
            <w:noWrap w:val="0"/>
            <w:tcMar>
              <w:top w:w="15" w:type="dxa"/>
              <w:left w:w="15" w:type="dxa"/>
              <w:right w:w="15" w:type="dxa"/>
            </w:tcMar>
            <w:vAlign w:val="center"/>
          </w:tcPr>
          <w:p w14:paraId="27C7831B">
            <w:pPr>
              <w:keepNext w:val="0"/>
              <w:keepLines w:val="0"/>
              <w:pageBreakBefore w:val="0"/>
              <w:kinsoku/>
              <w:wordWrap/>
              <w:overflowPunct/>
              <w:topLinePunct w:val="0"/>
              <w:autoSpaceDE/>
              <w:autoSpaceDN/>
              <w:bidi w:val="0"/>
              <w:adjustRightInd w:val="0"/>
              <w:snapToGrid w:val="0"/>
              <w:ind w:firstLine="0"/>
              <w:jc w:val="center"/>
              <w:rPr>
                <w:rFonts w:hint="default"/>
                <w:snapToGrid w:val="0"/>
                <w:color w:val="auto"/>
                <w:kern w:val="0"/>
                <w:sz w:val="21"/>
                <w:szCs w:val="21"/>
                <w:lang w:val="en-US" w:eastAsia="zh-CN"/>
              </w:rPr>
            </w:pPr>
            <w:r>
              <w:rPr>
                <w:rFonts w:hint="eastAsia" w:cs="Times New Roman"/>
                <w:color w:val="auto"/>
                <w:sz w:val="21"/>
                <w:szCs w:val="21"/>
                <w:highlight w:val="none"/>
                <w:lang w:val="en-US" w:eastAsia="zh-CN"/>
              </w:rPr>
              <w:t>0.0121</w:t>
            </w:r>
          </w:p>
        </w:tc>
        <w:tc>
          <w:tcPr>
            <w:tcW w:w="324" w:type="pct"/>
            <w:noWrap w:val="0"/>
            <w:tcMar>
              <w:top w:w="15" w:type="dxa"/>
              <w:left w:w="15" w:type="dxa"/>
              <w:right w:w="15" w:type="dxa"/>
            </w:tcMar>
            <w:vAlign w:val="center"/>
          </w:tcPr>
          <w:p w14:paraId="2496CBC3">
            <w:pPr>
              <w:pStyle w:val="76"/>
              <w:keepNext w:val="0"/>
              <w:keepLines w:val="0"/>
              <w:pageBreakBefore w:val="0"/>
              <w:kinsoku/>
              <w:wordWrap/>
              <w:overflowPunct/>
              <w:topLinePunct w:val="0"/>
              <w:autoSpaceDE/>
              <w:autoSpaceDN/>
              <w:bidi w:val="0"/>
              <w:adjustRightInd w:val="0"/>
              <w:snapToGrid w:val="0"/>
              <w:ind w:firstLine="0"/>
              <w:rPr>
                <w:rFonts w:hint="default"/>
                <w:snapToGrid w:val="0"/>
                <w:color w:val="auto"/>
                <w:kern w:val="0"/>
                <w:sz w:val="21"/>
                <w:szCs w:val="21"/>
                <w:lang w:val="en-US" w:eastAsia="zh-CN"/>
              </w:rPr>
            </w:pPr>
            <w:r>
              <w:rPr>
                <w:rFonts w:hint="default" w:ascii="Times New Roman" w:hAnsi="Times New Roman" w:cs="Times New Roman"/>
                <w:color w:val="auto"/>
                <w:sz w:val="21"/>
                <w:szCs w:val="21"/>
                <w:highlight w:val="none"/>
                <w:lang w:val="en-US" w:eastAsia="zh-CN"/>
              </w:rPr>
              <w:t>0.0</w:t>
            </w:r>
            <w:r>
              <w:rPr>
                <w:rFonts w:hint="eastAsia" w:cs="Times New Roman"/>
                <w:color w:val="auto"/>
                <w:sz w:val="21"/>
                <w:szCs w:val="21"/>
                <w:highlight w:val="none"/>
                <w:lang w:val="en-US" w:eastAsia="zh-CN"/>
              </w:rPr>
              <w:t>262</w:t>
            </w:r>
          </w:p>
        </w:tc>
        <w:tc>
          <w:tcPr>
            <w:tcW w:w="172" w:type="pct"/>
            <w:vMerge w:val="continue"/>
            <w:noWrap w:val="0"/>
            <w:tcMar>
              <w:top w:w="15" w:type="dxa"/>
              <w:left w:w="15" w:type="dxa"/>
              <w:right w:w="15" w:type="dxa"/>
            </w:tcMar>
            <w:vAlign w:val="center"/>
          </w:tcPr>
          <w:p w14:paraId="21345F53">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p>
        </w:tc>
      </w:tr>
      <w:tr w14:paraId="00A7AE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93" w:hRule="atLeast"/>
        </w:trPr>
        <w:tc>
          <w:tcPr>
            <w:tcW w:w="195" w:type="pct"/>
            <w:noWrap w:val="0"/>
            <w:tcMar>
              <w:top w:w="15" w:type="dxa"/>
              <w:left w:w="15" w:type="dxa"/>
              <w:right w:w="15" w:type="dxa"/>
            </w:tcMar>
            <w:vAlign w:val="center"/>
          </w:tcPr>
          <w:p w14:paraId="228346A1">
            <w:pPr>
              <w:keepNext w:val="0"/>
              <w:keepLines w:val="0"/>
              <w:pageBreakBefore w:val="0"/>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r>
              <w:rPr>
                <w:rFonts w:hint="eastAsia"/>
                <w:snapToGrid w:val="0"/>
                <w:color w:val="auto"/>
                <w:kern w:val="0"/>
                <w:sz w:val="21"/>
                <w:szCs w:val="21"/>
                <w:lang w:val="en-US" w:eastAsia="zh-CN"/>
              </w:rPr>
              <w:t>锯切、仿形工段</w:t>
            </w:r>
          </w:p>
        </w:tc>
        <w:tc>
          <w:tcPr>
            <w:tcW w:w="154" w:type="pct"/>
            <w:tcBorders>
              <w:bottom w:val="single" w:color="000000" w:sz="12" w:space="0"/>
            </w:tcBorders>
            <w:noWrap w:val="0"/>
            <w:tcMar>
              <w:top w:w="15" w:type="dxa"/>
              <w:left w:w="15" w:type="dxa"/>
              <w:right w:w="15" w:type="dxa"/>
            </w:tcMar>
            <w:vAlign w:val="center"/>
          </w:tcPr>
          <w:p w14:paraId="0F28018A">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生产车间</w:t>
            </w:r>
          </w:p>
        </w:tc>
        <w:tc>
          <w:tcPr>
            <w:tcW w:w="200" w:type="pct"/>
            <w:tcBorders>
              <w:top w:val="single" w:color="000000" w:sz="4" w:space="0"/>
              <w:bottom w:val="single" w:color="000000" w:sz="12" w:space="0"/>
            </w:tcBorders>
            <w:noWrap w:val="0"/>
            <w:vAlign w:val="center"/>
          </w:tcPr>
          <w:p w14:paraId="54CE2254">
            <w:pPr>
              <w:keepNext w:val="0"/>
              <w:keepLines w:val="0"/>
              <w:pageBreakBefore w:val="0"/>
              <w:kinsoku/>
              <w:wordWrap/>
              <w:overflowPunct/>
              <w:topLinePunct w:val="0"/>
              <w:autoSpaceDE/>
              <w:autoSpaceDN/>
              <w:bidi w:val="0"/>
              <w:adjustRightInd w:val="0"/>
              <w:snapToGrid w:val="0"/>
              <w:ind w:firstLine="0"/>
              <w:jc w:val="center"/>
              <w:rPr>
                <w:rFonts w:hint="default"/>
                <w:snapToGrid w:val="0"/>
                <w:color w:val="auto"/>
                <w:kern w:val="0"/>
                <w:sz w:val="21"/>
                <w:szCs w:val="21"/>
                <w:lang w:val="en-US" w:eastAsia="zh-CN"/>
              </w:rPr>
            </w:pPr>
            <w:r>
              <w:rPr>
                <w:rFonts w:hint="eastAsia"/>
                <w:snapToGrid w:val="0"/>
                <w:color w:val="auto"/>
                <w:kern w:val="0"/>
                <w:sz w:val="21"/>
                <w:szCs w:val="21"/>
                <w:lang w:val="en-US" w:eastAsia="zh-CN"/>
              </w:rPr>
              <w:t>无组织</w:t>
            </w:r>
          </w:p>
        </w:tc>
        <w:tc>
          <w:tcPr>
            <w:tcW w:w="289" w:type="pct"/>
            <w:tcBorders>
              <w:bottom w:val="single" w:color="000000" w:sz="12" w:space="0"/>
            </w:tcBorders>
            <w:noWrap w:val="0"/>
            <w:tcMar>
              <w:top w:w="15" w:type="dxa"/>
              <w:left w:w="15" w:type="dxa"/>
              <w:right w:w="15" w:type="dxa"/>
            </w:tcMar>
            <w:vAlign w:val="center"/>
          </w:tcPr>
          <w:p w14:paraId="51069485">
            <w:pPr>
              <w:pStyle w:val="76"/>
              <w:keepNext w:val="0"/>
              <w:keepLines w:val="0"/>
              <w:pageBreakBefore w:val="0"/>
              <w:kinsoku/>
              <w:wordWrap/>
              <w:overflowPunct/>
              <w:topLinePunct w:val="0"/>
              <w:autoSpaceDE/>
              <w:autoSpaceDN/>
              <w:bidi w:val="0"/>
              <w:adjustRightInd w:val="0"/>
              <w:snapToGrid w:val="0"/>
              <w:ind w:firstLine="0"/>
              <w:rPr>
                <w:rFonts w:hint="default"/>
                <w:snapToGrid w:val="0"/>
                <w:color w:val="auto"/>
                <w:kern w:val="0"/>
                <w:sz w:val="21"/>
                <w:szCs w:val="21"/>
                <w:lang w:val="en-US" w:eastAsia="zh-CN"/>
              </w:rPr>
            </w:pPr>
            <w:r>
              <w:rPr>
                <w:rFonts w:hint="eastAsia"/>
                <w:snapToGrid w:val="0"/>
                <w:color w:val="auto"/>
                <w:kern w:val="0"/>
                <w:sz w:val="21"/>
                <w:szCs w:val="21"/>
                <w:lang w:val="en-US" w:eastAsia="zh-CN"/>
              </w:rPr>
              <w:t>颗粒物</w:t>
            </w:r>
          </w:p>
        </w:tc>
        <w:tc>
          <w:tcPr>
            <w:tcW w:w="304" w:type="pct"/>
            <w:noWrap w:val="0"/>
            <w:tcMar>
              <w:top w:w="15" w:type="dxa"/>
              <w:left w:w="15" w:type="dxa"/>
              <w:right w:w="15" w:type="dxa"/>
            </w:tcMar>
            <w:vAlign w:val="center"/>
          </w:tcPr>
          <w:p w14:paraId="35902243">
            <w:pPr>
              <w:keepNext w:val="0"/>
              <w:keepLines w:val="0"/>
              <w:pageBreakBefore w:val="0"/>
              <w:kinsoku/>
              <w:wordWrap/>
              <w:overflowPunct/>
              <w:topLinePunct w:val="0"/>
              <w:autoSpaceDE/>
              <w:autoSpaceDN/>
              <w:bidi w:val="0"/>
              <w:adjustRightInd w:val="0"/>
              <w:snapToGrid w:val="0"/>
              <w:ind w:firstLine="0"/>
              <w:jc w:val="center"/>
              <w:rPr>
                <w:rFonts w:hint="eastAsia"/>
                <w:snapToGrid w:val="0"/>
                <w:color w:val="auto"/>
                <w:kern w:val="0"/>
                <w:sz w:val="21"/>
                <w:szCs w:val="21"/>
                <w:lang w:val="en-US" w:eastAsia="zh-CN"/>
              </w:rPr>
            </w:pPr>
            <w:r>
              <w:rPr>
                <w:rFonts w:hint="eastAsia"/>
                <w:snapToGrid w:val="0"/>
                <w:color w:val="auto"/>
                <w:kern w:val="0"/>
                <w:sz w:val="21"/>
                <w:szCs w:val="21"/>
                <w:lang w:val="en-US" w:eastAsia="zh-CN"/>
              </w:rPr>
              <w:t>排污系数法</w:t>
            </w:r>
          </w:p>
        </w:tc>
        <w:tc>
          <w:tcPr>
            <w:tcW w:w="304" w:type="pct"/>
            <w:noWrap w:val="0"/>
            <w:tcMar>
              <w:top w:w="15" w:type="dxa"/>
              <w:left w:w="15" w:type="dxa"/>
              <w:right w:w="15" w:type="dxa"/>
            </w:tcMar>
            <w:vAlign w:val="center"/>
          </w:tcPr>
          <w:p w14:paraId="1B52F00F">
            <w:pPr>
              <w:keepNext w:val="0"/>
              <w:keepLines w:val="0"/>
              <w:pageBreakBefore w:val="0"/>
              <w:widowControl/>
              <w:kinsoku/>
              <w:wordWrap/>
              <w:overflowPunct/>
              <w:topLinePunct w:val="0"/>
              <w:autoSpaceDE/>
              <w:autoSpaceDN/>
              <w:bidi w:val="0"/>
              <w:adjustRightInd w:val="0"/>
              <w:snapToGrid w:val="0"/>
              <w:ind w:firstLine="0"/>
              <w:jc w:val="center"/>
              <w:rPr>
                <w:rFonts w:hint="default"/>
                <w:snapToGrid w:val="0"/>
                <w:color w:val="auto"/>
                <w:kern w:val="0"/>
                <w:sz w:val="21"/>
                <w:szCs w:val="21"/>
                <w:lang w:val="en-US" w:eastAsia="zh-CN"/>
              </w:rPr>
            </w:pPr>
            <w:r>
              <w:rPr>
                <w:rFonts w:hint="eastAsia"/>
                <w:snapToGrid w:val="0"/>
                <w:color w:val="auto"/>
                <w:kern w:val="0"/>
                <w:sz w:val="21"/>
                <w:szCs w:val="21"/>
                <w:lang w:val="en-US" w:eastAsia="zh-CN"/>
              </w:rPr>
              <w:t>/</w:t>
            </w:r>
          </w:p>
        </w:tc>
        <w:tc>
          <w:tcPr>
            <w:tcW w:w="368" w:type="pct"/>
            <w:noWrap w:val="0"/>
            <w:tcMar>
              <w:top w:w="15" w:type="dxa"/>
              <w:left w:w="15" w:type="dxa"/>
              <w:right w:w="15" w:type="dxa"/>
            </w:tcMar>
            <w:vAlign w:val="center"/>
          </w:tcPr>
          <w:p w14:paraId="3271140C">
            <w:pPr>
              <w:pStyle w:val="76"/>
              <w:keepNext w:val="0"/>
              <w:keepLines w:val="0"/>
              <w:pageBreakBefore w:val="0"/>
              <w:kinsoku/>
              <w:wordWrap/>
              <w:overflowPunct/>
              <w:topLinePunct w:val="0"/>
              <w:autoSpaceDE/>
              <w:autoSpaceDN/>
              <w:bidi w:val="0"/>
              <w:adjustRightInd w:val="0"/>
              <w:snapToGrid w:val="0"/>
              <w:ind w:firstLine="0"/>
              <w:rPr>
                <w:rFonts w:hint="default" w:cs="Times New Roman"/>
                <w:snapToGrid w:val="0"/>
                <w:color w:val="auto"/>
                <w:kern w:val="0"/>
                <w:sz w:val="21"/>
                <w:szCs w:val="21"/>
                <w:lang w:val="en-US" w:eastAsia="zh-CN"/>
              </w:rPr>
            </w:pPr>
            <w:r>
              <w:rPr>
                <w:rFonts w:hint="eastAsia" w:cs="Times New Roman"/>
                <w:snapToGrid w:val="0"/>
                <w:color w:val="auto"/>
                <w:kern w:val="0"/>
                <w:sz w:val="21"/>
                <w:szCs w:val="21"/>
                <w:lang w:val="en-US" w:eastAsia="zh-CN"/>
              </w:rPr>
              <w:t>/</w:t>
            </w:r>
          </w:p>
        </w:tc>
        <w:tc>
          <w:tcPr>
            <w:tcW w:w="310" w:type="pct"/>
            <w:noWrap w:val="0"/>
            <w:tcMar>
              <w:top w:w="15" w:type="dxa"/>
              <w:left w:w="15" w:type="dxa"/>
              <w:right w:w="15" w:type="dxa"/>
            </w:tcMar>
            <w:vAlign w:val="center"/>
          </w:tcPr>
          <w:p w14:paraId="631362DE">
            <w:pPr>
              <w:keepNext w:val="0"/>
              <w:keepLines w:val="0"/>
              <w:pageBreakBefore w:val="0"/>
              <w:kinsoku/>
              <w:wordWrap/>
              <w:overflowPunct/>
              <w:topLinePunct w:val="0"/>
              <w:autoSpaceDE/>
              <w:autoSpaceDN/>
              <w:bidi w:val="0"/>
              <w:adjustRightInd w:val="0"/>
              <w:snapToGrid w:val="0"/>
              <w:ind w:firstLine="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0.90</w:t>
            </w:r>
          </w:p>
        </w:tc>
        <w:tc>
          <w:tcPr>
            <w:tcW w:w="322" w:type="pct"/>
            <w:noWrap w:val="0"/>
            <w:tcMar>
              <w:top w:w="15" w:type="dxa"/>
              <w:left w:w="15" w:type="dxa"/>
              <w:right w:w="15" w:type="dxa"/>
            </w:tcMar>
            <w:vAlign w:val="center"/>
          </w:tcPr>
          <w:p w14:paraId="0990C8E6">
            <w:pPr>
              <w:pStyle w:val="76"/>
              <w:keepNext w:val="0"/>
              <w:keepLines w:val="0"/>
              <w:pageBreakBefore w:val="0"/>
              <w:kinsoku/>
              <w:wordWrap/>
              <w:overflowPunct/>
              <w:topLinePunct w:val="0"/>
              <w:autoSpaceDE/>
              <w:autoSpaceDN/>
              <w:bidi w:val="0"/>
              <w:adjustRightInd w:val="0"/>
              <w:snapToGrid w:val="0"/>
              <w:ind w:firstLine="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5.346</w:t>
            </w:r>
          </w:p>
        </w:tc>
        <w:tc>
          <w:tcPr>
            <w:tcW w:w="333" w:type="pct"/>
            <w:shd w:val="clear" w:color="auto" w:fill="auto"/>
            <w:noWrap w:val="0"/>
            <w:tcMar>
              <w:top w:w="15" w:type="dxa"/>
              <w:left w:w="15" w:type="dxa"/>
              <w:right w:w="15" w:type="dxa"/>
            </w:tcMar>
            <w:vAlign w:val="center"/>
          </w:tcPr>
          <w:p w14:paraId="3FDB5FDB">
            <w:pPr>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集气罩、旋风除尘</w:t>
            </w:r>
          </w:p>
        </w:tc>
        <w:tc>
          <w:tcPr>
            <w:tcW w:w="303" w:type="pct"/>
            <w:noWrap w:val="0"/>
            <w:tcMar>
              <w:top w:w="15" w:type="dxa"/>
              <w:left w:w="15" w:type="dxa"/>
              <w:right w:w="15" w:type="dxa"/>
            </w:tcMar>
            <w:vAlign w:val="center"/>
          </w:tcPr>
          <w:p w14:paraId="02EB57D1">
            <w:pPr>
              <w:keepNext w:val="0"/>
              <w:keepLines w:val="0"/>
              <w:pageBreakBefore w:val="0"/>
              <w:kinsoku/>
              <w:wordWrap/>
              <w:overflowPunct/>
              <w:topLinePunct w:val="0"/>
              <w:autoSpaceDE/>
              <w:autoSpaceDN/>
              <w:bidi w:val="0"/>
              <w:adjustRightInd w:val="0"/>
              <w:snapToGrid w:val="0"/>
              <w:ind w:firstLine="0"/>
              <w:jc w:val="center"/>
              <w:rPr>
                <w:rFonts w:hint="eastAsia"/>
                <w:snapToGrid w:val="0"/>
                <w:color w:val="auto"/>
                <w:kern w:val="0"/>
                <w:sz w:val="21"/>
                <w:szCs w:val="21"/>
                <w:lang w:val="en-US" w:eastAsia="zh-CN"/>
              </w:rPr>
            </w:pPr>
            <w:r>
              <w:rPr>
                <w:rFonts w:hint="eastAsia"/>
                <w:snapToGrid w:val="0"/>
                <w:color w:val="auto"/>
                <w:kern w:val="0"/>
                <w:sz w:val="21"/>
                <w:szCs w:val="21"/>
                <w:lang w:val="en-US" w:eastAsia="zh-CN"/>
              </w:rPr>
              <w:t>收集效率90，去除率80</w:t>
            </w:r>
          </w:p>
        </w:tc>
        <w:tc>
          <w:tcPr>
            <w:tcW w:w="248" w:type="pct"/>
            <w:noWrap w:val="0"/>
            <w:vAlign w:val="center"/>
          </w:tcPr>
          <w:p w14:paraId="3663C359">
            <w:pPr>
              <w:keepNext w:val="0"/>
              <w:keepLines w:val="0"/>
              <w:pageBreakBefore w:val="0"/>
              <w:kinsoku/>
              <w:wordWrap/>
              <w:overflowPunct/>
              <w:topLinePunct w:val="0"/>
              <w:autoSpaceDE/>
              <w:autoSpaceDN/>
              <w:bidi w:val="0"/>
              <w:adjustRightInd w:val="0"/>
              <w:snapToGrid w:val="0"/>
              <w:ind w:firstLine="0"/>
              <w:jc w:val="center"/>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是</w:t>
            </w:r>
          </w:p>
        </w:tc>
        <w:tc>
          <w:tcPr>
            <w:tcW w:w="195" w:type="pct"/>
            <w:noWrap w:val="0"/>
            <w:tcMar>
              <w:top w:w="15" w:type="dxa"/>
              <w:left w:w="15" w:type="dxa"/>
              <w:right w:w="15" w:type="dxa"/>
            </w:tcMar>
            <w:vAlign w:val="center"/>
          </w:tcPr>
          <w:p w14:paraId="75EA0034">
            <w:pPr>
              <w:keepNext w:val="0"/>
              <w:keepLines w:val="0"/>
              <w:pageBreakBefore w:val="0"/>
              <w:kinsoku/>
              <w:wordWrap/>
              <w:overflowPunct/>
              <w:topLinePunct w:val="0"/>
              <w:autoSpaceDE/>
              <w:autoSpaceDN/>
              <w:bidi w:val="0"/>
              <w:adjustRightInd w:val="0"/>
              <w:snapToGrid w:val="0"/>
              <w:ind w:firstLine="0"/>
              <w:jc w:val="center"/>
              <w:rPr>
                <w:snapToGrid w:val="0"/>
                <w:color w:val="auto"/>
                <w:kern w:val="0"/>
                <w:sz w:val="21"/>
                <w:szCs w:val="21"/>
              </w:rPr>
            </w:pPr>
            <w:r>
              <w:rPr>
                <w:rFonts w:hint="eastAsia"/>
                <w:snapToGrid w:val="0"/>
                <w:color w:val="auto"/>
                <w:kern w:val="0"/>
                <w:sz w:val="21"/>
                <w:szCs w:val="21"/>
                <w:lang w:val="en-US" w:eastAsia="zh-CN"/>
              </w:rPr>
              <w:t>排污系数法</w:t>
            </w:r>
          </w:p>
        </w:tc>
        <w:tc>
          <w:tcPr>
            <w:tcW w:w="298" w:type="pct"/>
            <w:noWrap w:val="0"/>
            <w:vAlign w:val="center"/>
          </w:tcPr>
          <w:p w14:paraId="31E18613">
            <w:pPr>
              <w:keepNext w:val="0"/>
              <w:keepLines w:val="0"/>
              <w:pageBreakBefore w:val="0"/>
              <w:widowControl/>
              <w:kinsoku/>
              <w:wordWrap/>
              <w:overflowPunct/>
              <w:topLinePunct w:val="0"/>
              <w:autoSpaceDE/>
              <w:autoSpaceDN/>
              <w:bidi w:val="0"/>
              <w:adjustRightInd w:val="0"/>
              <w:snapToGrid w:val="0"/>
              <w:ind w:firstLine="0"/>
              <w:jc w:val="center"/>
              <w:rPr>
                <w:rFonts w:hint="default"/>
                <w:snapToGrid w:val="0"/>
                <w:color w:val="auto"/>
                <w:kern w:val="0"/>
                <w:sz w:val="21"/>
                <w:szCs w:val="21"/>
                <w:lang w:val="en-US" w:eastAsia="zh-CN"/>
              </w:rPr>
            </w:pPr>
            <w:r>
              <w:rPr>
                <w:rFonts w:hint="eastAsia"/>
                <w:snapToGrid w:val="0"/>
                <w:color w:val="auto"/>
                <w:kern w:val="0"/>
                <w:sz w:val="21"/>
                <w:szCs w:val="21"/>
                <w:lang w:val="en-US" w:eastAsia="zh-CN"/>
              </w:rPr>
              <w:t>/</w:t>
            </w:r>
          </w:p>
        </w:tc>
        <w:tc>
          <w:tcPr>
            <w:tcW w:w="379" w:type="pct"/>
            <w:noWrap w:val="0"/>
            <w:vAlign w:val="center"/>
          </w:tcPr>
          <w:p w14:paraId="2F129F75">
            <w:pPr>
              <w:pStyle w:val="76"/>
              <w:keepNext w:val="0"/>
              <w:keepLines w:val="0"/>
              <w:pageBreakBefore w:val="0"/>
              <w:kinsoku/>
              <w:wordWrap/>
              <w:overflowPunct/>
              <w:topLinePunct w:val="0"/>
              <w:autoSpaceDE/>
              <w:autoSpaceDN/>
              <w:bidi w:val="0"/>
              <w:adjustRightInd w:val="0"/>
              <w:snapToGrid w:val="0"/>
              <w:ind w:firstLine="0"/>
              <w:rPr>
                <w:rFonts w:hint="default" w:cs="Times New Roman"/>
                <w:snapToGrid w:val="0"/>
                <w:color w:val="auto"/>
                <w:kern w:val="0"/>
                <w:sz w:val="21"/>
                <w:szCs w:val="21"/>
                <w:lang w:val="en-US" w:eastAsia="zh-CN"/>
              </w:rPr>
            </w:pPr>
            <w:r>
              <w:rPr>
                <w:rFonts w:hint="eastAsia" w:cs="Times New Roman"/>
                <w:snapToGrid w:val="0"/>
                <w:color w:val="auto"/>
                <w:kern w:val="0"/>
                <w:sz w:val="21"/>
                <w:szCs w:val="21"/>
                <w:lang w:val="en-US" w:eastAsia="zh-CN"/>
              </w:rPr>
              <w:t>/</w:t>
            </w:r>
          </w:p>
        </w:tc>
        <w:tc>
          <w:tcPr>
            <w:tcW w:w="293" w:type="pct"/>
            <w:noWrap w:val="0"/>
            <w:tcMar>
              <w:top w:w="15" w:type="dxa"/>
              <w:left w:w="15" w:type="dxa"/>
              <w:right w:w="15" w:type="dxa"/>
            </w:tcMar>
            <w:vAlign w:val="center"/>
          </w:tcPr>
          <w:p w14:paraId="3423E340">
            <w:pPr>
              <w:keepNext w:val="0"/>
              <w:keepLines w:val="0"/>
              <w:pageBreakBefore w:val="0"/>
              <w:kinsoku/>
              <w:wordWrap/>
              <w:overflowPunct/>
              <w:topLinePunct w:val="0"/>
              <w:autoSpaceDE/>
              <w:autoSpaceDN/>
              <w:bidi w:val="0"/>
              <w:adjustRightInd w:val="0"/>
              <w:snapToGrid w:val="0"/>
              <w:ind w:firstLine="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0.693</w:t>
            </w:r>
          </w:p>
        </w:tc>
        <w:tc>
          <w:tcPr>
            <w:tcW w:w="324" w:type="pct"/>
            <w:noWrap w:val="0"/>
            <w:tcMar>
              <w:top w:w="15" w:type="dxa"/>
              <w:left w:w="15" w:type="dxa"/>
              <w:right w:w="15" w:type="dxa"/>
            </w:tcMar>
            <w:vAlign w:val="center"/>
          </w:tcPr>
          <w:p w14:paraId="3166953B">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1.497</w:t>
            </w:r>
          </w:p>
        </w:tc>
        <w:tc>
          <w:tcPr>
            <w:tcW w:w="172" w:type="pct"/>
            <w:vMerge w:val="continue"/>
            <w:noWrap w:val="0"/>
            <w:tcMar>
              <w:top w:w="15" w:type="dxa"/>
              <w:left w:w="15" w:type="dxa"/>
              <w:right w:w="15" w:type="dxa"/>
            </w:tcMar>
            <w:vAlign w:val="center"/>
          </w:tcPr>
          <w:p w14:paraId="32071CE9">
            <w:pPr>
              <w:keepNext w:val="0"/>
              <w:keepLines w:val="0"/>
              <w:pageBreakBefore w:val="0"/>
              <w:kinsoku/>
              <w:wordWrap/>
              <w:overflowPunct/>
              <w:topLinePunct w:val="0"/>
              <w:autoSpaceDE/>
              <w:autoSpaceDN/>
              <w:bidi w:val="0"/>
              <w:adjustRightInd w:val="0"/>
              <w:snapToGrid w:val="0"/>
              <w:ind w:firstLine="0"/>
              <w:jc w:val="center"/>
              <w:rPr>
                <w:rFonts w:hint="default" w:eastAsia="宋体"/>
                <w:snapToGrid w:val="0"/>
                <w:color w:val="auto"/>
                <w:kern w:val="0"/>
                <w:sz w:val="21"/>
                <w:szCs w:val="21"/>
                <w:lang w:val="en-US" w:eastAsia="zh-CN"/>
              </w:rPr>
            </w:pPr>
          </w:p>
        </w:tc>
      </w:tr>
    </w:tbl>
    <w:p w14:paraId="633B684A">
      <w:pPr>
        <w:keepNext w:val="0"/>
        <w:keepLines w:val="0"/>
        <w:pageBreakBefore w:val="0"/>
        <w:widowControl w:val="0"/>
        <w:kinsoku/>
        <w:wordWrap/>
        <w:overflowPunct/>
        <w:topLinePunct w:val="0"/>
        <w:autoSpaceDE/>
        <w:autoSpaceDN/>
        <w:bidi w:val="0"/>
        <w:adjustRightInd w:val="0"/>
        <w:snapToGrid w:val="0"/>
        <w:spacing w:line="240" w:lineRule="auto"/>
        <w:jc w:val="both"/>
        <w:textAlignment w:val="center"/>
        <w:rPr>
          <w:b/>
          <w:bCs/>
          <w:iCs/>
          <w:snapToGrid w:val="0"/>
          <w:color w:val="auto"/>
          <w:kern w:val="0"/>
          <w:sz w:val="24"/>
          <w:szCs w:val="24"/>
        </w:rPr>
      </w:pPr>
    </w:p>
    <w:p w14:paraId="28058BC3">
      <w:pPr>
        <w:keepNext w:val="0"/>
        <w:keepLines w:val="0"/>
        <w:pageBreakBefore w:val="0"/>
        <w:widowControl w:val="0"/>
        <w:kinsoku/>
        <w:wordWrap/>
        <w:overflowPunct/>
        <w:topLinePunct w:val="0"/>
        <w:autoSpaceDE/>
        <w:autoSpaceDN/>
        <w:bidi w:val="0"/>
        <w:adjustRightInd w:val="0"/>
        <w:snapToGrid w:val="0"/>
        <w:spacing w:line="240" w:lineRule="auto"/>
        <w:jc w:val="both"/>
        <w:textAlignment w:val="center"/>
        <w:rPr>
          <w:b/>
          <w:bCs/>
          <w:iCs/>
          <w:snapToGrid w:val="0"/>
          <w:color w:val="auto"/>
          <w:kern w:val="0"/>
          <w:sz w:val="24"/>
          <w:szCs w:val="24"/>
        </w:rPr>
      </w:pPr>
    </w:p>
    <w:p w14:paraId="1E87F8C5">
      <w:pPr>
        <w:keepNext w:val="0"/>
        <w:keepLines w:val="0"/>
        <w:pageBreakBefore w:val="0"/>
        <w:widowControl w:val="0"/>
        <w:kinsoku/>
        <w:wordWrap/>
        <w:overflowPunct/>
        <w:topLinePunct w:val="0"/>
        <w:autoSpaceDE/>
        <w:autoSpaceDN/>
        <w:bidi w:val="0"/>
        <w:adjustRightInd w:val="0"/>
        <w:snapToGrid w:val="0"/>
        <w:spacing w:line="240" w:lineRule="auto"/>
        <w:jc w:val="both"/>
        <w:textAlignment w:val="center"/>
        <w:rPr>
          <w:b/>
          <w:bCs/>
          <w:iCs/>
          <w:snapToGrid w:val="0"/>
          <w:color w:val="auto"/>
          <w:kern w:val="0"/>
          <w:sz w:val="24"/>
          <w:szCs w:val="24"/>
        </w:rPr>
      </w:pPr>
    </w:p>
    <w:p w14:paraId="62C4059C">
      <w:pPr>
        <w:keepNext w:val="0"/>
        <w:keepLines w:val="0"/>
        <w:pageBreakBefore w:val="0"/>
        <w:widowControl w:val="0"/>
        <w:kinsoku/>
        <w:wordWrap/>
        <w:overflowPunct/>
        <w:topLinePunct w:val="0"/>
        <w:autoSpaceDE/>
        <w:autoSpaceDN/>
        <w:bidi w:val="0"/>
        <w:adjustRightInd w:val="0"/>
        <w:snapToGrid w:val="0"/>
        <w:spacing w:line="240" w:lineRule="auto"/>
        <w:jc w:val="both"/>
        <w:textAlignment w:val="center"/>
        <w:rPr>
          <w:b/>
          <w:bCs/>
          <w:iCs/>
          <w:snapToGrid w:val="0"/>
          <w:color w:val="auto"/>
          <w:kern w:val="0"/>
          <w:sz w:val="24"/>
          <w:szCs w:val="24"/>
        </w:rPr>
      </w:pPr>
    </w:p>
    <w:p w14:paraId="46C1F60E">
      <w:pPr>
        <w:keepNext w:val="0"/>
        <w:keepLines w:val="0"/>
        <w:pageBreakBefore w:val="0"/>
        <w:widowControl w:val="0"/>
        <w:kinsoku/>
        <w:wordWrap/>
        <w:overflowPunct/>
        <w:topLinePunct w:val="0"/>
        <w:autoSpaceDE/>
        <w:autoSpaceDN/>
        <w:bidi w:val="0"/>
        <w:adjustRightInd w:val="0"/>
        <w:snapToGrid w:val="0"/>
        <w:spacing w:line="240" w:lineRule="auto"/>
        <w:jc w:val="both"/>
        <w:textAlignment w:val="center"/>
        <w:rPr>
          <w:b/>
          <w:bCs/>
          <w:iCs/>
          <w:snapToGrid w:val="0"/>
          <w:color w:val="auto"/>
          <w:kern w:val="0"/>
          <w:sz w:val="24"/>
          <w:szCs w:val="24"/>
        </w:rPr>
      </w:pPr>
    </w:p>
    <w:p w14:paraId="1BE6BCCE">
      <w:pPr>
        <w:keepNext w:val="0"/>
        <w:keepLines w:val="0"/>
        <w:pageBreakBefore w:val="0"/>
        <w:widowControl w:val="0"/>
        <w:kinsoku/>
        <w:wordWrap/>
        <w:overflowPunct/>
        <w:topLinePunct w:val="0"/>
        <w:autoSpaceDE/>
        <w:autoSpaceDN/>
        <w:bidi w:val="0"/>
        <w:adjustRightInd w:val="0"/>
        <w:snapToGrid w:val="0"/>
        <w:spacing w:line="240" w:lineRule="auto"/>
        <w:jc w:val="both"/>
        <w:textAlignment w:val="center"/>
        <w:rPr>
          <w:b/>
          <w:bCs/>
          <w:iCs/>
          <w:snapToGrid w:val="0"/>
          <w:color w:val="auto"/>
          <w:kern w:val="0"/>
          <w:sz w:val="24"/>
          <w:szCs w:val="24"/>
        </w:rPr>
      </w:pPr>
    </w:p>
    <w:p w14:paraId="324D13D3">
      <w:pPr>
        <w:keepNext w:val="0"/>
        <w:keepLines w:val="0"/>
        <w:pageBreakBefore w:val="0"/>
        <w:widowControl w:val="0"/>
        <w:kinsoku/>
        <w:wordWrap/>
        <w:overflowPunct/>
        <w:topLinePunct w:val="0"/>
        <w:autoSpaceDE/>
        <w:autoSpaceDN/>
        <w:bidi w:val="0"/>
        <w:adjustRightInd w:val="0"/>
        <w:snapToGrid w:val="0"/>
        <w:spacing w:line="240" w:lineRule="auto"/>
        <w:jc w:val="both"/>
        <w:textAlignment w:val="center"/>
        <w:rPr>
          <w:b/>
          <w:bCs/>
          <w:iCs/>
          <w:snapToGrid w:val="0"/>
          <w:color w:val="auto"/>
          <w:kern w:val="0"/>
          <w:sz w:val="24"/>
          <w:szCs w:val="24"/>
        </w:rPr>
      </w:pPr>
    </w:p>
    <w:p w14:paraId="1E01787D">
      <w:pPr>
        <w:keepNext w:val="0"/>
        <w:keepLines w:val="0"/>
        <w:pageBreakBefore w:val="0"/>
        <w:widowControl w:val="0"/>
        <w:kinsoku/>
        <w:wordWrap/>
        <w:overflowPunct/>
        <w:topLinePunct w:val="0"/>
        <w:autoSpaceDE/>
        <w:autoSpaceDN/>
        <w:bidi w:val="0"/>
        <w:adjustRightInd w:val="0"/>
        <w:snapToGrid w:val="0"/>
        <w:spacing w:line="240" w:lineRule="auto"/>
        <w:jc w:val="both"/>
        <w:textAlignment w:val="center"/>
        <w:rPr>
          <w:b/>
          <w:bCs/>
          <w:iCs/>
          <w:snapToGrid w:val="0"/>
          <w:color w:val="auto"/>
          <w:kern w:val="0"/>
          <w:sz w:val="24"/>
          <w:szCs w:val="24"/>
        </w:rPr>
      </w:pPr>
    </w:p>
    <w:p w14:paraId="1411A6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表4-</w:t>
      </w:r>
      <w:r>
        <w:rPr>
          <w:rFonts w:hint="eastAsia" w:cs="Times New Roman"/>
          <w:b/>
          <w:bCs w:val="0"/>
          <w:color w:val="auto"/>
          <w:sz w:val="24"/>
          <w:szCs w:val="24"/>
          <w:highlight w:val="none"/>
          <w:lang w:val="en-US" w:eastAsia="zh-CN"/>
        </w:rPr>
        <w:t>9</w:t>
      </w:r>
      <w:r>
        <w:rPr>
          <w:rFonts w:hint="default" w:ascii="Times New Roman" w:hAnsi="Times New Roman" w:eastAsia="宋体" w:cs="Times New Roman"/>
          <w:b/>
          <w:bCs w:val="0"/>
          <w:color w:val="auto"/>
          <w:sz w:val="24"/>
          <w:szCs w:val="24"/>
          <w:highlight w:val="none"/>
          <w:lang w:val="en-US" w:eastAsia="zh-CN"/>
        </w:rPr>
        <w:t xml:space="preserve">  本项目非正常工况</w:t>
      </w:r>
      <w:r>
        <w:rPr>
          <w:rFonts w:hint="default" w:ascii="Times New Roman" w:hAnsi="Times New Roman" w:eastAsia="宋体" w:cs="Times New Roman"/>
          <w:b/>
          <w:bCs/>
          <w:color w:val="auto"/>
          <w:sz w:val="24"/>
          <w:szCs w:val="24"/>
          <w:highlight w:val="none"/>
          <w:lang w:val="en-US" w:eastAsia="zh-CN"/>
        </w:rPr>
        <w:t>废气污染源源强核算结果一览表</w:t>
      </w:r>
    </w:p>
    <w:tbl>
      <w:tblPr>
        <w:tblStyle w:val="32"/>
        <w:tblW w:w="4992"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8"/>
        <w:gridCol w:w="945"/>
        <w:gridCol w:w="1599"/>
        <w:gridCol w:w="1174"/>
        <w:gridCol w:w="1030"/>
        <w:gridCol w:w="859"/>
        <w:gridCol w:w="860"/>
        <w:gridCol w:w="835"/>
        <w:gridCol w:w="775"/>
        <w:gridCol w:w="1284"/>
        <w:gridCol w:w="654"/>
        <w:gridCol w:w="1078"/>
        <w:gridCol w:w="1166"/>
      </w:tblGrid>
      <w:tr w14:paraId="0482ED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358" w:type="pct"/>
            <w:vMerge w:val="restart"/>
            <w:tcBorders>
              <w:tl2br w:val="nil"/>
              <w:tr2bl w:val="nil"/>
            </w:tcBorders>
            <w:noWrap w:val="0"/>
            <w:vAlign w:val="center"/>
          </w:tcPr>
          <w:p w14:paraId="6684D4A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产排污环节</w:t>
            </w:r>
          </w:p>
        </w:tc>
        <w:tc>
          <w:tcPr>
            <w:tcW w:w="357" w:type="pct"/>
            <w:vMerge w:val="restart"/>
            <w:tcBorders>
              <w:tl2br w:val="nil"/>
              <w:tr2bl w:val="nil"/>
            </w:tcBorders>
            <w:noWrap w:val="0"/>
            <w:vAlign w:val="center"/>
          </w:tcPr>
          <w:p w14:paraId="14EDE03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污染物种类</w:t>
            </w:r>
          </w:p>
        </w:tc>
        <w:tc>
          <w:tcPr>
            <w:tcW w:w="1049" w:type="pct"/>
            <w:gridSpan w:val="2"/>
            <w:tcBorders>
              <w:tl2br w:val="nil"/>
              <w:tr2bl w:val="nil"/>
            </w:tcBorders>
            <w:noWrap w:val="0"/>
            <w:vAlign w:val="center"/>
          </w:tcPr>
          <w:p w14:paraId="7BD7CEE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污染物排放情况</w:t>
            </w:r>
          </w:p>
        </w:tc>
        <w:tc>
          <w:tcPr>
            <w:tcW w:w="389" w:type="pct"/>
            <w:vMerge w:val="restart"/>
            <w:tcBorders>
              <w:tl2br w:val="nil"/>
              <w:tr2bl w:val="nil"/>
            </w:tcBorders>
            <w:noWrap w:val="0"/>
            <w:vAlign w:val="center"/>
          </w:tcPr>
          <w:p w14:paraId="4896FA3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排放形式</w:t>
            </w:r>
          </w:p>
        </w:tc>
        <w:tc>
          <w:tcPr>
            <w:tcW w:w="1746" w:type="pct"/>
            <w:gridSpan w:val="5"/>
            <w:tcBorders>
              <w:tl2br w:val="nil"/>
              <w:tr2bl w:val="nil"/>
            </w:tcBorders>
            <w:noWrap w:val="0"/>
            <w:vAlign w:val="center"/>
          </w:tcPr>
          <w:p w14:paraId="5F9E9F5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排污口基本</w:t>
            </w:r>
            <w:r>
              <w:rPr>
                <w:rFonts w:hint="eastAsia" w:cs="Times New Roman"/>
                <w:color w:val="auto"/>
                <w:sz w:val="21"/>
                <w:szCs w:val="21"/>
                <w:lang w:val="en-US" w:eastAsia="zh-CN"/>
              </w:rPr>
              <w:t>信息</w:t>
            </w:r>
          </w:p>
        </w:tc>
        <w:tc>
          <w:tcPr>
            <w:tcW w:w="1097" w:type="pct"/>
            <w:gridSpan w:val="3"/>
            <w:tcBorders>
              <w:tl2br w:val="nil"/>
              <w:tr2bl w:val="nil"/>
            </w:tcBorders>
            <w:noWrap w:val="0"/>
            <w:vAlign w:val="center"/>
          </w:tcPr>
          <w:p w14:paraId="60912DA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年发生频次</w:t>
            </w:r>
          </w:p>
        </w:tc>
      </w:tr>
      <w:tr w14:paraId="5022CE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358" w:type="pct"/>
            <w:vMerge w:val="continue"/>
            <w:tcBorders>
              <w:tl2br w:val="nil"/>
              <w:tr2bl w:val="nil"/>
            </w:tcBorders>
            <w:noWrap w:val="0"/>
            <w:vAlign w:val="center"/>
          </w:tcPr>
          <w:p w14:paraId="140AA65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357" w:type="pct"/>
            <w:vMerge w:val="continue"/>
            <w:tcBorders>
              <w:tl2br w:val="nil"/>
              <w:tr2bl w:val="nil"/>
            </w:tcBorders>
            <w:noWrap w:val="0"/>
            <w:vAlign w:val="center"/>
          </w:tcPr>
          <w:p w14:paraId="4CA0DB6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605" w:type="pct"/>
            <w:tcBorders>
              <w:tl2br w:val="nil"/>
              <w:tr2bl w:val="nil"/>
            </w:tcBorders>
            <w:noWrap w:val="0"/>
            <w:vAlign w:val="center"/>
          </w:tcPr>
          <w:p w14:paraId="54BEB35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排放</w:t>
            </w:r>
            <w:r>
              <w:rPr>
                <w:rFonts w:hint="default" w:ascii="Times New Roman" w:hAnsi="Times New Roman" w:eastAsia="宋体" w:cs="Times New Roman"/>
                <w:color w:val="auto"/>
                <w:sz w:val="21"/>
                <w:szCs w:val="21"/>
                <w:lang w:val="en-US" w:eastAsia="zh-CN"/>
              </w:rPr>
              <w:t>浓度mg/m</w:t>
            </w:r>
            <w:r>
              <w:rPr>
                <w:rFonts w:hint="default" w:ascii="Times New Roman" w:hAnsi="Times New Roman" w:eastAsia="宋体" w:cs="Times New Roman"/>
                <w:color w:val="auto"/>
                <w:sz w:val="21"/>
                <w:szCs w:val="21"/>
                <w:vertAlign w:val="superscript"/>
                <w:lang w:val="en-US" w:eastAsia="zh-CN"/>
              </w:rPr>
              <w:t>3</w:t>
            </w:r>
          </w:p>
        </w:tc>
        <w:tc>
          <w:tcPr>
            <w:tcW w:w="444" w:type="pct"/>
            <w:tcBorders>
              <w:tl2br w:val="nil"/>
              <w:tr2bl w:val="nil"/>
            </w:tcBorders>
            <w:noWrap w:val="0"/>
            <w:vAlign w:val="center"/>
          </w:tcPr>
          <w:p w14:paraId="14BFA51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排放速率kg</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h</w:t>
            </w:r>
          </w:p>
        </w:tc>
        <w:tc>
          <w:tcPr>
            <w:tcW w:w="389" w:type="pct"/>
            <w:vMerge w:val="continue"/>
            <w:tcBorders>
              <w:tl2br w:val="nil"/>
              <w:tr2bl w:val="nil"/>
            </w:tcBorders>
            <w:noWrap w:val="0"/>
            <w:vAlign w:val="center"/>
          </w:tcPr>
          <w:p w14:paraId="166AF77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325" w:type="pct"/>
            <w:tcBorders>
              <w:tl2br w:val="nil"/>
              <w:tr2bl w:val="nil"/>
            </w:tcBorders>
            <w:noWrap w:val="0"/>
            <w:vAlign w:val="center"/>
          </w:tcPr>
          <w:p w14:paraId="39933DB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编号</w:t>
            </w:r>
          </w:p>
        </w:tc>
        <w:tc>
          <w:tcPr>
            <w:tcW w:w="325" w:type="pct"/>
            <w:tcBorders>
              <w:tl2br w:val="nil"/>
              <w:tr2bl w:val="nil"/>
            </w:tcBorders>
            <w:noWrap w:val="0"/>
            <w:vAlign w:val="center"/>
          </w:tcPr>
          <w:p w14:paraId="2ABC0ED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高度/m</w:t>
            </w:r>
          </w:p>
        </w:tc>
        <w:tc>
          <w:tcPr>
            <w:tcW w:w="316" w:type="pct"/>
            <w:tcBorders>
              <w:tl2br w:val="nil"/>
              <w:tr2bl w:val="nil"/>
            </w:tcBorders>
            <w:noWrap w:val="0"/>
            <w:vAlign w:val="center"/>
          </w:tcPr>
          <w:p w14:paraId="41DFC38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cs="Times New Roman"/>
                <w:color w:val="auto"/>
                <w:sz w:val="21"/>
                <w:szCs w:val="21"/>
                <w:lang w:val="en-US" w:eastAsia="zh-CN"/>
              </w:rPr>
            </w:pPr>
            <w:r>
              <w:rPr>
                <w:rFonts w:hint="eastAsia" w:cs="Times New Roman"/>
                <w:color w:val="auto"/>
                <w:sz w:val="21"/>
                <w:szCs w:val="21"/>
                <w:lang w:val="en-US" w:eastAsia="zh-CN"/>
              </w:rPr>
              <w:t>内径/m</w:t>
            </w:r>
          </w:p>
        </w:tc>
        <w:tc>
          <w:tcPr>
            <w:tcW w:w="293" w:type="pct"/>
            <w:tcBorders>
              <w:tl2br w:val="nil"/>
              <w:tr2bl w:val="nil"/>
            </w:tcBorders>
            <w:noWrap w:val="0"/>
            <w:vAlign w:val="center"/>
          </w:tcPr>
          <w:p w14:paraId="1DE4324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温度</w:t>
            </w:r>
          </w:p>
        </w:tc>
        <w:tc>
          <w:tcPr>
            <w:tcW w:w="486" w:type="pct"/>
            <w:tcBorders>
              <w:tl2br w:val="nil"/>
              <w:tr2bl w:val="nil"/>
            </w:tcBorders>
            <w:noWrap w:val="0"/>
            <w:vAlign w:val="center"/>
          </w:tcPr>
          <w:p w14:paraId="6DC86AF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cs="Times New Roman"/>
                <w:color w:val="auto"/>
                <w:sz w:val="21"/>
                <w:szCs w:val="21"/>
                <w:lang w:val="en-US" w:eastAsia="zh-CN"/>
              </w:rPr>
            </w:pPr>
            <w:r>
              <w:rPr>
                <w:rFonts w:hint="eastAsia" w:cs="Times New Roman"/>
                <w:color w:val="auto"/>
                <w:sz w:val="21"/>
                <w:szCs w:val="21"/>
                <w:lang w:val="en-US" w:eastAsia="zh-CN"/>
              </w:rPr>
              <w:t>地理坐标</w:t>
            </w:r>
          </w:p>
        </w:tc>
        <w:tc>
          <w:tcPr>
            <w:tcW w:w="247" w:type="pct"/>
            <w:tcBorders>
              <w:tl2br w:val="nil"/>
              <w:tr2bl w:val="nil"/>
            </w:tcBorders>
            <w:noWrap w:val="0"/>
            <w:vAlign w:val="center"/>
          </w:tcPr>
          <w:p w14:paraId="0360351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次数</w:t>
            </w:r>
          </w:p>
        </w:tc>
        <w:tc>
          <w:tcPr>
            <w:tcW w:w="408" w:type="pct"/>
            <w:tcBorders>
              <w:tl2br w:val="nil"/>
              <w:tr2bl w:val="nil"/>
            </w:tcBorders>
            <w:noWrap w:val="0"/>
            <w:vAlign w:val="center"/>
          </w:tcPr>
          <w:p w14:paraId="4773F0AF">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单次持续时间/h</w:t>
            </w:r>
          </w:p>
        </w:tc>
        <w:tc>
          <w:tcPr>
            <w:tcW w:w="441" w:type="pct"/>
            <w:tcBorders>
              <w:tl2br w:val="nil"/>
              <w:tr2bl w:val="nil"/>
            </w:tcBorders>
            <w:noWrap w:val="0"/>
            <w:vAlign w:val="center"/>
          </w:tcPr>
          <w:p w14:paraId="4B5AD86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总排放时间/h</w:t>
            </w:r>
          </w:p>
        </w:tc>
      </w:tr>
      <w:tr w14:paraId="658C0B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358" w:type="pct"/>
            <w:vMerge w:val="restart"/>
            <w:tcBorders>
              <w:tl2br w:val="nil"/>
              <w:tr2bl w:val="nil"/>
            </w:tcBorders>
            <w:noWrap w:val="0"/>
            <w:vAlign w:val="center"/>
          </w:tcPr>
          <w:p w14:paraId="0B6B7D4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snapToGrid w:val="0"/>
                <w:color w:val="auto"/>
                <w:kern w:val="0"/>
                <w:sz w:val="21"/>
                <w:szCs w:val="21"/>
                <w:lang w:val="en-US" w:eastAsia="zh-CN"/>
              </w:rPr>
              <w:t>生物质燃烧</w:t>
            </w:r>
          </w:p>
        </w:tc>
        <w:tc>
          <w:tcPr>
            <w:tcW w:w="357" w:type="pct"/>
            <w:tcBorders>
              <w:tl2br w:val="nil"/>
              <w:tr2bl w:val="nil"/>
            </w:tcBorders>
            <w:shd w:val="clear" w:color="auto" w:fill="auto"/>
            <w:noWrap w:val="0"/>
            <w:vAlign w:val="center"/>
          </w:tcPr>
          <w:p w14:paraId="133AD871">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eastAsia="宋体" w:cs="Times New Roman"/>
                <w:snapToGrid w:val="0"/>
                <w:color w:val="auto"/>
                <w:kern w:val="0"/>
                <w:sz w:val="21"/>
                <w:szCs w:val="21"/>
                <w:lang w:val="en-US" w:eastAsia="zh-CN" w:bidi="ar-SA"/>
              </w:rPr>
            </w:pPr>
            <w:r>
              <w:rPr>
                <w:snapToGrid w:val="0"/>
                <w:color w:val="auto"/>
                <w:kern w:val="0"/>
                <w:sz w:val="21"/>
                <w:szCs w:val="21"/>
              </w:rPr>
              <w:t>SO</w:t>
            </w:r>
            <w:r>
              <w:rPr>
                <w:snapToGrid w:val="0"/>
                <w:color w:val="auto"/>
                <w:kern w:val="0"/>
                <w:sz w:val="21"/>
                <w:szCs w:val="21"/>
                <w:vertAlign w:val="subscript"/>
              </w:rPr>
              <w:t>2</w:t>
            </w:r>
          </w:p>
        </w:tc>
        <w:tc>
          <w:tcPr>
            <w:tcW w:w="605" w:type="pct"/>
            <w:tcBorders>
              <w:tl2br w:val="nil"/>
              <w:tr2bl w:val="nil"/>
            </w:tcBorders>
            <w:noWrap w:val="0"/>
            <w:vAlign w:val="center"/>
          </w:tcPr>
          <w:p w14:paraId="08EDD78D">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eastAsia="宋体" w:cs="Times New Roman"/>
                <w:color w:val="auto"/>
                <w:sz w:val="21"/>
                <w:szCs w:val="21"/>
                <w:lang w:val="en-US" w:eastAsia="zh-CN"/>
              </w:rPr>
            </w:pPr>
            <w:r>
              <w:rPr>
                <w:rFonts w:hint="eastAsia"/>
                <w:snapToGrid w:val="0"/>
                <w:color w:val="auto"/>
                <w:kern w:val="0"/>
                <w:sz w:val="21"/>
                <w:szCs w:val="21"/>
                <w:lang w:val="en-US" w:eastAsia="zh-CN"/>
              </w:rPr>
              <w:t>41.13</w:t>
            </w:r>
          </w:p>
        </w:tc>
        <w:tc>
          <w:tcPr>
            <w:tcW w:w="1174" w:type="dxa"/>
            <w:tcBorders>
              <w:tl2br w:val="nil"/>
              <w:tr2bl w:val="nil"/>
            </w:tcBorders>
            <w:noWrap w:val="0"/>
            <w:vAlign w:val="center"/>
          </w:tcPr>
          <w:p w14:paraId="4E0EE8CD">
            <w:pPr>
              <w:keepNext w:val="0"/>
              <w:keepLines w:val="0"/>
              <w:pageBreakBefore w:val="0"/>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sz w:val="21"/>
                <w:szCs w:val="21"/>
                <w:lang w:val="en-US" w:eastAsia="zh-CN"/>
              </w:rPr>
            </w:pPr>
            <w:r>
              <w:rPr>
                <w:snapToGrid w:val="0"/>
                <w:color w:val="auto"/>
                <w:kern w:val="0"/>
                <w:sz w:val="21"/>
                <w:szCs w:val="21"/>
              </w:rPr>
              <w:t>0.</w:t>
            </w:r>
            <w:r>
              <w:rPr>
                <w:rFonts w:hint="eastAsia"/>
                <w:snapToGrid w:val="0"/>
                <w:color w:val="auto"/>
                <w:kern w:val="0"/>
                <w:sz w:val="21"/>
                <w:szCs w:val="21"/>
                <w:lang w:val="en-US" w:eastAsia="zh-CN"/>
              </w:rPr>
              <w:t>15</w:t>
            </w:r>
          </w:p>
        </w:tc>
        <w:tc>
          <w:tcPr>
            <w:tcW w:w="389" w:type="pct"/>
            <w:vMerge w:val="restart"/>
            <w:tcBorders>
              <w:tl2br w:val="nil"/>
              <w:tr2bl w:val="nil"/>
            </w:tcBorders>
            <w:noWrap w:val="0"/>
            <w:vAlign w:val="center"/>
          </w:tcPr>
          <w:p w14:paraId="3352E49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有组织</w:t>
            </w:r>
          </w:p>
        </w:tc>
        <w:tc>
          <w:tcPr>
            <w:tcW w:w="325" w:type="pct"/>
            <w:vMerge w:val="restart"/>
            <w:tcBorders>
              <w:tl2br w:val="nil"/>
              <w:tr2bl w:val="nil"/>
            </w:tcBorders>
            <w:noWrap w:val="0"/>
            <w:vAlign w:val="center"/>
          </w:tcPr>
          <w:p w14:paraId="3DF731B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DA001</w:t>
            </w:r>
          </w:p>
        </w:tc>
        <w:tc>
          <w:tcPr>
            <w:tcW w:w="325" w:type="pct"/>
            <w:vMerge w:val="restart"/>
            <w:tcBorders>
              <w:tl2br w:val="nil"/>
              <w:tr2bl w:val="nil"/>
            </w:tcBorders>
            <w:noWrap w:val="0"/>
            <w:vAlign w:val="center"/>
          </w:tcPr>
          <w:p w14:paraId="404D57E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cs="Times New Roman"/>
                <w:color w:val="auto"/>
                <w:sz w:val="21"/>
                <w:szCs w:val="21"/>
                <w:lang w:val="en-US" w:eastAsia="zh-CN"/>
              </w:rPr>
            </w:pPr>
            <w:r>
              <w:rPr>
                <w:rFonts w:hint="eastAsia" w:cs="Times New Roman"/>
                <w:color w:val="auto"/>
                <w:sz w:val="21"/>
                <w:szCs w:val="21"/>
                <w:lang w:val="en-US" w:eastAsia="zh-CN"/>
              </w:rPr>
              <w:t>30</w:t>
            </w:r>
          </w:p>
        </w:tc>
        <w:tc>
          <w:tcPr>
            <w:tcW w:w="316" w:type="pct"/>
            <w:vMerge w:val="restart"/>
            <w:tcBorders>
              <w:tl2br w:val="nil"/>
              <w:tr2bl w:val="nil"/>
            </w:tcBorders>
            <w:noWrap w:val="0"/>
            <w:vAlign w:val="center"/>
          </w:tcPr>
          <w:p w14:paraId="48B9C03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w:t>
            </w:r>
          </w:p>
        </w:tc>
        <w:tc>
          <w:tcPr>
            <w:tcW w:w="293" w:type="pct"/>
            <w:vMerge w:val="restart"/>
            <w:tcBorders>
              <w:tl2br w:val="nil"/>
              <w:tr2bl w:val="nil"/>
            </w:tcBorders>
            <w:noWrap w:val="0"/>
            <w:vAlign w:val="center"/>
          </w:tcPr>
          <w:p w14:paraId="10A6DD1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r>
              <w:rPr>
                <w:rFonts w:hint="eastAsia" w:cs="Times New Roman"/>
                <w:color w:val="auto"/>
                <w:sz w:val="21"/>
                <w:szCs w:val="21"/>
                <w:lang w:val="en-US" w:eastAsia="zh-CN"/>
              </w:rPr>
              <w:t>1</w:t>
            </w:r>
            <w:r>
              <w:rPr>
                <w:rFonts w:hint="eastAsia" w:eastAsia="宋体" w:cs="Times New Roman"/>
                <w:color w:val="auto"/>
                <w:sz w:val="21"/>
                <w:szCs w:val="21"/>
                <w:lang w:val="en-US" w:eastAsia="zh-CN"/>
              </w:rPr>
              <w:t>4</w:t>
            </w:r>
            <w:r>
              <w:rPr>
                <w:rFonts w:hint="default" w:ascii="Times New Roman" w:hAnsi="Times New Roman" w:eastAsia="宋体" w:cs="Times New Roman"/>
                <w:color w:val="auto"/>
                <w:sz w:val="21"/>
                <w:szCs w:val="21"/>
                <w:lang w:val="en-US" w:eastAsia="zh-CN"/>
              </w:rPr>
              <w:t>0</w:t>
            </w:r>
          </w:p>
        </w:tc>
        <w:tc>
          <w:tcPr>
            <w:tcW w:w="486" w:type="pct"/>
            <w:vMerge w:val="restart"/>
            <w:tcBorders>
              <w:tl2br w:val="nil"/>
              <w:tr2bl w:val="nil"/>
            </w:tcBorders>
            <w:shd w:val="clear" w:color="auto" w:fill="FFFFFF"/>
            <w:noWrap w:val="0"/>
            <w:vAlign w:val="center"/>
          </w:tcPr>
          <w:p w14:paraId="53FD1E8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eastAsia"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z w:val="21"/>
                <w:highlight w:val="none"/>
                <w:lang w:val="en-US" w:eastAsia="zh-CN"/>
              </w:rPr>
              <w:t>131.170614</w:t>
            </w:r>
            <w:r>
              <w:rPr>
                <w:rFonts w:hint="eastAsia" w:ascii="Times New Roman" w:hAnsi="Times New Roman" w:eastAsia="宋体" w:cs="Times New Roman"/>
                <w:color w:val="auto"/>
                <w:sz w:val="21"/>
                <w:highlight w:val="none"/>
                <w:lang w:val="en-US" w:eastAsia="zh-CN"/>
              </w:rPr>
              <w:t>，</w:t>
            </w:r>
            <w:r>
              <w:rPr>
                <w:rFonts w:hint="default" w:ascii="Times New Roman" w:hAnsi="Times New Roman" w:eastAsia="宋体" w:cs="Times New Roman"/>
                <w:color w:val="auto"/>
                <w:sz w:val="21"/>
                <w:highlight w:val="none"/>
                <w:lang w:val="en-US" w:eastAsia="zh-CN"/>
              </w:rPr>
              <w:t>46.61341</w:t>
            </w:r>
            <w:r>
              <w:rPr>
                <w:rFonts w:hint="eastAsia" w:ascii="Times New Roman" w:hAnsi="Times New Roman" w:eastAsia="宋体" w:cs="Times New Roman"/>
                <w:color w:val="auto"/>
                <w:sz w:val="21"/>
                <w:highlight w:val="none"/>
                <w:lang w:val="en-US" w:eastAsia="zh-CN"/>
              </w:rPr>
              <w:t>7</w:t>
            </w:r>
          </w:p>
        </w:tc>
        <w:tc>
          <w:tcPr>
            <w:tcW w:w="247" w:type="pct"/>
            <w:vMerge w:val="restart"/>
            <w:tcBorders>
              <w:tl2br w:val="nil"/>
              <w:tr2bl w:val="nil"/>
            </w:tcBorders>
            <w:shd w:val="clear" w:color="auto" w:fill="FFFFFF"/>
            <w:noWrap w:val="0"/>
            <w:vAlign w:val="center"/>
          </w:tcPr>
          <w:p w14:paraId="08E455C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highlight w:val="none"/>
                <w:lang w:val="en-US" w:eastAsia="zh-CN" w:bidi="ar-SA"/>
              </w:rPr>
            </w:pPr>
            <w:r>
              <w:rPr>
                <w:rFonts w:hint="eastAsia" w:cs="Times New Roman"/>
                <w:color w:val="auto"/>
                <w:kern w:val="0"/>
                <w:sz w:val="21"/>
                <w:szCs w:val="20"/>
                <w:highlight w:val="none"/>
                <w:lang w:val="en-US" w:eastAsia="zh-CN" w:bidi="ar-SA"/>
              </w:rPr>
              <w:t>1</w:t>
            </w:r>
          </w:p>
        </w:tc>
        <w:tc>
          <w:tcPr>
            <w:tcW w:w="408" w:type="pct"/>
            <w:vMerge w:val="restart"/>
            <w:tcBorders>
              <w:tl2br w:val="nil"/>
              <w:tr2bl w:val="nil"/>
            </w:tcBorders>
            <w:noWrap w:val="0"/>
            <w:vAlign w:val="center"/>
          </w:tcPr>
          <w:p w14:paraId="0800B99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441" w:type="pct"/>
            <w:vMerge w:val="restart"/>
            <w:tcBorders>
              <w:tl2br w:val="nil"/>
              <w:tr2bl w:val="nil"/>
            </w:tcBorders>
            <w:noWrap w:val="0"/>
            <w:vAlign w:val="center"/>
          </w:tcPr>
          <w:p w14:paraId="24ABC41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r>
      <w:tr w14:paraId="3CBC8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358" w:type="pct"/>
            <w:vMerge w:val="continue"/>
            <w:tcBorders>
              <w:tl2br w:val="nil"/>
              <w:tr2bl w:val="nil"/>
            </w:tcBorders>
            <w:noWrap w:val="0"/>
            <w:vAlign w:val="center"/>
          </w:tcPr>
          <w:p w14:paraId="7E731EA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357" w:type="pct"/>
            <w:tcBorders>
              <w:tl2br w:val="nil"/>
              <w:tr2bl w:val="nil"/>
            </w:tcBorders>
            <w:shd w:val="clear" w:color="auto" w:fill="auto"/>
            <w:noWrap w:val="0"/>
            <w:vAlign w:val="center"/>
          </w:tcPr>
          <w:p w14:paraId="48FD555E">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eastAsia="宋体" w:cs="Times New Roman"/>
                <w:snapToGrid w:val="0"/>
                <w:color w:val="auto"/>
                <w:kern w:val="0"/>
                <w:sz w:val="21"/>
                <w:szCs w:val="21"/>
                <w:lang w:val="en-US" w:eastAsia="zh-CN" w:bidi="ar-SA"/>
              </w:rPr>
            </w:pPr>
            <w:r>
              <w:rPr>
                <w:snapToGrid w:val="0"/>
                <w:color w:val="auto"/>
                <w:kern w:val="0"/>
                <w:sz w:val="21"/>
                <w:szCs w:val="21"/>
              </w:rPr>
              <w:t>NO</w:t>
            </w:r>
            <w:r>
              <w:rPr>
                <w:snapToGrid w:val="0"/>
                <w:color w:val="auto"/>
                <w:kern w:val="0"/>
                <w:sz w:val="21"/>
                <w:szCs w:val="21"/>
                <w:vertAlign w:val="subscript"/>
              </w:rPr>
              <w:t>x</w:t>
            </w:r>
          </w:p>
        </w:tc>
        <w:tc>
          <w:tcPr>
            <w:tcW w:w="605" w:type="pct"/>
            <w:tcBorders>
              <w:tl2br w:val="nil"/>
              <w:tr2bl w:val="nil"/>
            </w:tcBorders>
            <w:noWrap w:val="0"/>
            <w:vAlign w:val="center"/>
          </w:tcPr>
          <w:p w14:paraId="5E7D52CE">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eastAsia="宋体" w:cs="Times New Roman"/>
                <w:color w:val="auto"/>
                <w:sz w:val="21"/>
                <w:szCs w:val="21"/>
                <w:lang w:val="en-US" w:eastAsia="zh-CN"/>
              </w:rPr>
            </w:pPr>
            <w:r>
              <w:rPr>
                <w:rFonts w:hint="eastAsia"/>
                <w:snapToGrid w:val="0"/>
                <w:color w:val="auto"/>
                <w:kern w:val="0"/>
                <w:sz w:val="21"/>
                <w:szCs w:val="21"/>
                <w:lang w:val="en-US" w:eastAsia="zh-CN"/>
              </w:rPr>
              <w:t>194.41</w:t>
            </w:r>
          </w:p>
        </w:tc>
        <w:tc>
          <w:tcPr>
            <w:tcW w:w="1174" w:type="dxa"/>
            <w:tcBorders>
              <w:tl2br w:val="nil"/>
              <w:tr2bl w:val="nil"/>
            </w:tcBorders>
            <w:noWrap w:val="0"/>
            <w:vAlign w:val="center"/>
          </w:tcPr>
          <w:p w14:paraId="1418D43D">
            <w:pPr>
              <w:keepNext w:val="0"/>
              <w:keepLines w:val="0"/>
              <w:pageBreakBefore w:val="0"/>
              <w:kinsoku/>
              <w:wordWrap/>
              <w:overflowPunct/>
              <w:topLinePunct w:val="0"/>
              <w:autoSpaceDE/>
              <w:autoSpaceDN/>
              <w:bidi w:val="0"/>
              <w:adjustRightInd w:val="0"/>
              <w:snapToGrid w:val="0"/>
              <w:ind w:firstLine="0" w:firstLineChars="0"/>
              <w:jc w:val="center"/>
              <w:rPr>
                <w:rFonts w:hint="default" w:ascii="Times New Roman" w:hAnsi="Times New Roman" w:eastAsia="宋体" w:cs="Times New Roman"/>
                <w:color w:val="auto"/>
                <w:sz w:val="21"/>
                <w:szCs w:val="21"/>
                <w:lang w:val="en-US" w:eastAsia="zh-CN"/>
              </w:rPr>
            </w:pPr>
            <w:r>
              <w:rPr>
                <w:snapToGrid w:val="0"/>
                <w:color w:val="auto"/>
                <w:kern w:val="0"/>
                <w:sz w:val="21"/>
                <w:szCs w:val="21"/>
              </w:rPr>
              <w:t>0.</w:t>
            </w:r>
            <w:r>
              <w:rPr>
                <w:rFonts w:hint="eastAsia"/>
                <w:snapToGrid w:val="0"/>
                <w:color w:val="auto"/>
                <w:kern w:val="0"/>
                <w:sz w:val="21"/>
                <w:szCs w:val="21"/>
                <w:lang w:val="en-US" w:eastAsia="zh-CN"/>
              </w:rPr>
              <w:t>72</w:t>
            </w:r>
          </w:p>
        </w:tc>
        <w:tc>
          <w:tcPr>
            <w:tcW w:w="389" w:type="pct"/>
            <w:vMerge w:val="continue"/>
            <w:tcBorders>
              <w:tl2br w:val="nil"/>
              <w:tr2bl w:val="nil"/>
            </w:tcBorders>
            <w:noWrap w:val="0"/>
            <w:vAlign w:val="center"/>
          </w:tcPr>
          <w:p w14:paraId="7937605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325" w:type="pct"/>
            <w:vMerge w:val="continue"/>
            <w:tcBorders>
              <w:tl2br w:val="nil"/>
              <w:tr2bl w:val="nil"/>
            </w:tcBorders>
            <w:noWrap w:val="0"/>
            <w:vAlign w:val="center"/>
          </w:tcPr>
          <w:p w14:paraId="249905B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325" w:type="pct"/>
            <w:vMerge w:val="continue"/>
            <w:tcBorders>
              <w:tl2br w:val="nil"/>
              <w:tr2bl w:val="nil"/>
            </w:tcBorders>
            <w:noWrap w:val="0"/>
            <w:vAlign w:val="center"/>
          </w:tcPr>
          <w:p w14:paraId="4D5B801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p>
        </w:tc>
        <w:tc>
          <w:tcPr>
            <w:tcW w:w="316" w:type="pct"/>
            <w:vMerge w:val="continue"/>
            <w:tcBorders>
              <w:tl2br w:val="nil"/>
              <w:tr2bl w:val="nil"/>
            </w:tcBorders>
            <w:noWrap w:val="0"/>
            <w:vAlign w:val="center"/>
          </w:tcPr>
          <w:p w14:paraId="38CF05B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p>
        </w:tc>
        <w:tc>
          <w:tcPr>
            <w:tcW w:w="293" w:type="pct"/>
            <w:vMerge w:val="continue"/>
            <w:tcBorders>
              <w:tl2br w:val="nil"/>
              <w:tr2bl w:val="nil"/>
            </w:tcBorders>
            <w:noWrap w:val="0"/>
            <w:vAlign w:val="center"/>
          </w:tcPr>
          <w:p w14:paraId="7CE36D6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p>
        </w:tc>
        <w:tc>
          <w:tcPr>
            <w:tcW w:w="486" w:type="pct"/>
            <w:vMerge w:val="continue"/>
            <w:tcBorders>
              <w:tl2br w:val="nil"/>
              <w:tr2bl w:val="nil"/>
            </w:tcBorders>
            <w:noWrap w:val="0"/>
            <w:vAlign w:val="center"/>
          </w:tcPr>
          <w:p w14:paraId="15D48614">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p>
        </w:tc>
        <w:tc>
          <w:tcPr>
            <w:tcW w:w="247" w:type="pct"/>
            <w:vMerge w:val="continue"/>
            <w:tcBorders>
              <w:tl2br w:val="nil"/>
              <w:tr2bl w:val="nil"/>
            </w:tcBorders>
            <w:noWrap w:val="0"/>
            <w:vAlign w:val="center"/>
          </w:tcPr>
          <w:p w14:paraId="0FFB0A58">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408" w:type="pct"/>
            <w:vMerge w:val="continue"/>
            <w:tcBorders>
              <w:tl2br w:val="nil"/>
              <w:tr2bl w:val="nil"/>
            </w:tcBorders>
            <w:noWrap w:val="0"/>
            <w:vAlign w:val="center"/>
          </w:tcPr>
          <w:p w14:paraId="6497581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441" w:type="pct"/>
            <w:vMerge w:val="continue"/>
            <w:tcBorders>
              <w:tl2br w:val="nil"/>
              <w:tr2bl w:val="nil"/>
            </w:tcBorders>
            <w:noWrap w:val="0"/>
            <w:vAlign w:val="center"/>
          </w:tcPr>
          <w:p w14:paraId="06DCC38D">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r>
      <w:tr w14:paraId="068D91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358" w:type="pct"/>
            <w:vMerge w:val="continue"/>
            <w:tcBorders>
              <w:tl2br w:val="nil"/>
              <w:tr2bl w:val="nil"/>
            </w:tcBorders>
            <w:noWrap w:val="0"/>
            <w:vAlign w:val="center"/>
          </w:tcPr>
          <w:p w14:paraId="1260CFEB">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357" w:type="pct"/>
            <w:tcBorders>
              <w:tl2br w:val="nil"/>
              <w:tr2bl w:val="nil"/>
            </w:tcBorders>
            <w:shd w:val="clear" w:color="auto" w:fill="auto"/>
            <w:noWrap w:val="0"/>
            <w:vAlign w:val="center"/>
          </w:tcPr>
          <w:p w14:paraId="51E2B769">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eastAsia="宋体" w:cs="Times New Roman"/>
                <w:snapToGrid w:val="0"/>
                <w:color w:val="auto"/>
                <w:kern w:val="0"/>
                <w:sz w:val="21"/>
                <w:szCs w:val="21"/>
                <w:lang w:val="en-US" w:eastAsia="zh-CN" w:bidi="ar-SA"/>
              </w:rPr>
            </w:pPr>
            <w:r>
              <w:rPr>
                <w:snapToGrid w:val="0"/>
                <w:color w:val="auto"/>
                <w:kern w:val="0"/>
                <w:sz w:val="21"/>
                <w:szCs w:val="21"/>
              </w:rPr>
              <w:t>颗粒物</w:t>
            </w:r>
          </w:p>
        </w:tc>
        <w:tc>
          <w:tcPr>
            <w:tcW w:w="605" w:type="pct"/>
            <w:tcBorders>
              <w:tl2br w:val="nil"/>
              <w:tr2bl w:val="nil"/>
            </w:tcBorders>
            <w:noWrap w:val="0"/>
            <w:vAlign w:val="center"/>
          </w:tcPr>
          <w:p w14:paraId="3A2E3FDC">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eastAsia="宋体" w:cs="Times New Roman"/>
                <w:color w:val="auto"/>
                <w:sz w:val="21"/>
                <w:szCs w:val="21"/>
                <w:lang w:val="en-US" w:eastAsia="zh-CN"/>
              </w:rPr>
            </w:pPr>
            <w:r>
              <w:rPr>
                <w:rFonts w:hint="eastAsia"/>
                <w:snapToGrid w:val="0"/>
                <w:color w:val="auto"/>
                <w:kern w:val="0"/>
                <w:sz w:val="21"/>
                <w:szCs w:val="21"/>
                <w:lang w:val="en-US" w:eastAsia="zh-CN"/>
              </w:rPr>
              <w:t>317.79</w:t>
            </w:r>
          </w:p>
        </w:tc>
        <w:tc>
          <w:tcPr>
            <w:tcW w:w="444" w:type="pct"/>
            <w:tcBorders>
              <w:tl2br w:val="nil"/>
              <w:tr2bl w:val="nil"/>
            </w:tcBorders>
            <w:noWrap w:val="0"/>
            <w:vAlign w:val="center"/>
          </w:tcPr>
          <w:p w14:paraId="5F84375F">
            <w:pPr>
              <w:pStyle w:val="76"/>
              <w:keepNext w:val="0"/>
              <w:keepLines w:val="0"/>
              <w:pageBreakBefore w:val="0"/>
              <w:kinsoku/>
              <w:wordWrap/>
              <w:overflowPunct/>
              <w:topLinePunct w:val="0"/>
              <w:autoSpaceDE/>
              <w:autoSpaceDN/>
              <w:bidi w:val="0"/>
              <w:adjustRightInd w:val="0"/>
              <w:snapToGrid w:val="0"/>
              <w:ind w:firstLine="0"/>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1.18</w:t>
            </w:r>
          </w:p>
        </w:tc>
        <w:tc>
          <w:tcPr>
            <w:tcW w:w="389" w:type="pct"/>
            <w:vMerge w:val="continue"/>
            <w:tcBorders>
              <w:tl2br w:val="nil"/>
              <w:tr2bl w:val="nil"/>
            </w:tcBorders>
            <w:noWrap w:val="0"/>
            <w:vAlign w:val="center"/>
          </w:tcPr>
          <w:p w14:paraId="23DA87C7">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325" w:type="pct"/>
            <w:vMerge w:val="continue"/>
            <w:tcBorders>
              <w:tl2br w:val="nil"/>
              <w:tr2bl w:val="nil"/>
            </w:tcBorders>
            <w:noWrap w:val="0"/>
            <w:vAlign w:val="center"/>
          </w:tcPr>
          <w:p w14:paraId="6D140A91">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325" w:type="pct"/>
            <w:vMerge w:val="continue"/>
            <w:tcBorders>
              <w:tl2br w:val="nil"/>
              <w:tr2bl w:val="nil"/>
            </w:tcBorders>
            <w:noWrap w:val="0"/>
            <w:vAlign w:val="center"/>
          </w:tcPr>
          <w:p w14:paraId="21DACF2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p>
        </w:tc>
        <w:tc>
          <w:tcPr>
            <w:tcW w:w="316" w:type="pct"/>
            <w:vMerge w:val="continue"/>
            <w:tcBorders>
              <w:tl2br w:val="nil"/>
              <w:tr2bl w:val="nil"/>
            </w:tcBorders>
            <w:noWrap w:val="0"/>
            <w:vAlign w:val="center"/>
          </w:tcPr>
          <w:p w14:paraId="41ED98CC">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p>
        </w:tc>
        <w:tc>
          <w:tcPr>
            <w:tcW w:w="293" w:type="pct"/>
            <w:vMerge w:val="continue"/>
            <w:tcBorders>
              <w:tl2br w:val="nil"/>
              <w:tr2bl w:val="nil"/>
            </w:tcBorders>
            <w:noWrap w:val="0"/>
            <w:vAlign w:val="center"/>
          </w:tcPr>
          <w:p w14:paraId="752646C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p>
        </w:tc>
        <w:tc>
          <w:tcPr>
            <w:tcW w:w="486" w:type="pct"/>
            <w:vMerge w:val="continue"/>
            <w:tcBorders>
              <w:tl2br w:val="nil"/>
              <w:tr2bl w:val="nil"/>
            </w:tcBorders>
            <w:noWrap w:val="0"/>
            <w:vAlign w:val="center"/>
          </w:tcPr>
          <w:p w14:paraId="55E9BD5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eastAsia" w:cs="Times New Roman"/>
                <w:color w:val="auto"/>
                <w:sz w:val="21"/>
                <w:szCs w:val="21"/>
                <w:lang w:val="en-US" w:eastAsia="zh-CN"/>
              </w:rPr>
            </w:pPr>
          </w:p>
        </w:tc>
        <w:tc>
          <w:tcPr>
            <w:tcW w:w="247" w:type="pct"/>
            <w:vMerge w:val="continue"/>
            <w:tcBorders>
              <w:tl2br w:val="nil"/>
              <w:tr2bl w:val="nil"/>
            </w:tcBorders>
            <w:noWrap w:val="0"/>
            <w:vAlign w:val="center"/>
          </w:tcPr>
          <w:p w14:paraId="58A8E32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408" w:type="pct"/>
            <w:vMerge w:val="continue"/>
            <w:tcBorders>
              <w:tl2br w:val="nil"/>
              <w:tr2bl w:val="nil"/>
            </w:tcBorders>
            <w:noWrap w:val="0"/>
            <w:vAlign w:val="center"/>
          </w:tcPr>
          <w:p w14:paraId="0008EEA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c>
          <w:tcPr>
            <w:tcW w:w="441" w:type="pct"/>
            <w:vMerge w:val="continue"/>
            <w:tcBorders>
              <w:tl2br w:val="nil"/>
              <w:tr2bl w:val="nil"/>
            </w:tcBorders>
            <w:noWrap w:val="0"/>
            <w:vAlign w:val="center"/>
          </w:tcPr>
          <w:p w14:paraId="7E785A2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p>
        </w:tc>
      </w:tr>
      <w:tr w14:paraId="613C8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358" w:type="pct"/>
            <w:tcBorders>
              <w:tl2br w:val="nil"/>
              <w:tr2bl w:val="nil"/>
            </w:tcBorders>
            <w:noWrap w:val="0"/>
            <w:vAlign w:val="center"/>
          </w:tcPr>
          <w:p w14:paraId="17939902">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涂胶、热压工段</w:t>
            </w:r>
          </w:p>
        </w:tc>
        <w:tc>
          <w:tcPr>
            <w:tcW w:w="357" w:type="pct"/>
            <w:tcBorders>
              <w:tl2br w:val="nil"/>
              <w:tr2bl w:val="nil"/>
            </w:tcBorders>
            <w:shd w:val="clear" w:color="auto" w:fill="auto"/>
            <w:noWrap w:val="0"/>
            <w:vAlign w:val="center"/>
          </w:tcPr>
          <w:p w14:paraId="638F5169">
            <w:pPr>
              <w:pStyle w:val="76"/>
              <w:keepNext w:val="0"/>
              <w:keepLines w:val="0"/>
              <w:pageBreakBefore w:val="0"/>
              <w:kinsoku/>
              <w:wordWrap/>
              <w:overflowPunct/>
              <w:topLinePunct w:val="0"/>
              <w:autoSpaceDE/>
              <w:autoSpaceDN/>
              <w:bidi w:val="0"/>
              <w:adjustRightInd w:val="0"/>
              <w:snapToGrid w:val="0"/>
              <w:ind w:firstLine="0"/>
              <w:rPr>
                <w:rFonts w:hint="eastAsia" w:eastAsia="宋体"/>
                <w:snapToGrid w:val="0"/>
                <w:color w:val="auto"/>
                <w:kern w:val="0"/>
                <w:sz w:val="21"/>
                <w:szCs w:val="21"/>
                <w:lang w:val="en-US" w:eastAsia="zh-CN"/>
              </w:rPr>
            </w:pPr>
            <w:r>
              <w:rPr>
                <w:rFonts w:hint="eastAsia"/>
                <w:snapToGrid w:val="0"/>
                <w:color w:val="auto"/>
                <w:kern w:val="0"/>
                <w:sz w:val="21"/>
                <w:szCs w:val="21"/>
                <w:lang w:val="en-US" w:eastAsia="zh-CN"/>
              </w:rPr>
              <w:t>非甲烷总烃</w:t>
            </w:r>
          </w:p>
        </w:tc>
        <w:tc>
          <w:tcPr>
            <w:tcW w:w="605" w:type="pct"/>
            <w:tcBorders>
              <w:tl2br w:val="nil"/>
              <w:tr2bl w:val="nil"/>
            </w:tcBorders>
            <w:noWrap w:val="0"/>
            <w:vAlign w:val="center"/>
          </w:tcPr>
          <w:p w14:paraId="7D3BFEB2">
            <w:pPr>
              <w:pStyle w:val="76"/>
              <w:keepNext w:val="0"/>
              <w:keepLines w:val="0"/>
              <w:pageBreakBefore w:val="0"/>
              <w:kinsoku/>
              <w:wordWrap/>
              <w:overflowPunct/>
              <w:topLinePunct w:val="0"/>
              <w:autoSpaceDE/>
              <w:autoSpaceDN/>
              <w:bidi w:val="0"/>
              <w:adjustRightInd w:val="0"/>
              <w:snapToGrid w:val="0"/>
              <w:ind w:firstLine="0"/>
              <w:rPr>
                <w:rFonts w:hint="default"/>
                <w:snapToGrid w:val="0"/>
                <w:color w:val="auto"/>
                <w:kern w:val="0"/>
                <w:sz w:val="21"/>
                <w:szCs w:val="21"/>
                <w:highlight w:val="none"/>
                <w:lang w:val="en-US" w:eastAsia="zh-CN"/>
              </w:rPr>
            </w:pPr>
            <w:r>
              <w:rPr>
                <w:rFonts w:hint="eastAsia"/>
                <w:snapToGrid w:val="0"/>
                <w:color w:val="auto"/>
                <w:kern w:val="0"/>
                <w:sz w:val="21"/>
                <w:szCs w:val="21"/>
                <w:highlight w:val="none"/>
                <w:lang w:val="en-US" w:eastAsia="zh-CN"/>
              </w:rPr>
              <w:t>21.84</w:t>
            </w:r>
          </w:p>
        </w:tc>
        <w:tc>
          <w:tcPr>
            <w:tcW w:w="444" w:type="pct"/>
            <w:tcBorders>
              <w:tl2br w:val="nil"/>
              <w:tr2bl w:val="nil"/>
            </w:tcBorders>
            <w:noWrap w:val="0"/>
            <w:vAlign w:val="center"/>
          </w:tcPr>
          <w:p w14:paraId="6A939951">
            <w:pPr>
              <w:pStyle w:val="76"/>
              <w:keepNext w:val="0"/>
              <w:keepLines w:val="0"/>
              <w:pageBreakBefore w:val="0"/>
              <w:kinsoku/>
              <w:wordWrap/>
              <w:overflowPunct/>
              <w:topLinePunct w:val="0"/>
              <w:autoSpaceDE/>
              <w:autoSpaceDN/>
              <w:bidi w:val="0"/>
              <w:adjustRightInd w:val="0"/>
              <w:snapToGrid w:val="0"/>
              <w:ind w:firstLine="0"/>
              <w:rPr>
                <w:rFonts w:hint="default"/>
                <w:snapToGrid w:val="0"/>
                <w:color w:val="auto"/>
                <w:kern w:val="0"/>
                <w:sz w:val="21"/>
                <w:szCs w:val="21"/>
                <w:highlight w:val="none"/>
                <w:lang w:val="en-US" w:eastAsia="zh-CN"/>
              </w:rPr>
            </w:pPr>
            <w:r>
              <w:rPr>
                <w:rFonts w:hint="eastAsia"/>
                <w:snapToGrid w:val="0"/>
                <w:color w:val="auto"/>
                <w:kern w:val="0"/>
                <w:sz w:val="21"/>
                <w:szCs w:val="21"/>
                <w:highlight w:val="none"/>
                <w:lang w:val="en-US" w:eastAsia="zh-CN"/>
              </w:rPr>
              <w:t>0.07</w:t>
            </w:r>
          </w:p>
        </w:tc>
        <w:tc>
          <w:tcPr>
            <w:tcW w:w="389" w:type="pct"/>
            <w:tcBorders>
              <w:tl2br w:val="nil"/>
              <w:tr2bl w:val="nil"/>
            </w:tcBorders>
            <w:noWrap w:val="0"/>
            <w:vAlign w:val="center"/>
          </w:tcPr>
          <w:p w14:paraId="7F24A9F9">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有组织</w:t>
            </w:r>
          </w:p>
        </w:tc>
        <w:tc>
          <w:tcPr>
            <w:tcW w:w="325" w:type="pct"/>
            <w:tcBorders>
              <w:tl2br w:val="nil"/>
              <w:tr2bl w:val="nil"/>
            </w:tcBorders>
            <w:noWrap w:val="0"/>
            <w:vAlign w:val="center"/>
          </w:tcPr>
          <w:p w14:paraId="5260021A">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DA002</w:t>
            </w:r>
          </w:p>
        </w:tc>
        <w:tc>
          <w:tcPr>
            <w:tcW w:w="325" w:type="pct"/>
            <w:tcBorders>
              <w:tl2br w:val="nil"/>
              <w:tr2bl w:val="nil"/>
            </w:tcBorders>
            <w:noWrap w:val="0"/>
            <w:vAlign w:val="center"/>
          </w:tcPr>
          <w:p w14:paraId="4D5BE18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316" w:type="pct"/>
            <w:tcBorders>
              <w:tl2br w:val="nil"/>
              <w:tr2bl w:val="nil"/>
            </w:tcBorders>
            <w:noWrap w:val="0"/>
            <w:vAlign w:val="center"/>
          </w:tcPr>
          <w:p w14:paraId="21CA816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293" w:type="pct"/>
            <w:tcBorders>
              <w:tl2br w:val="nil"/>
              <w:tr2bl w:val="nil"/>
            </w:tcBorders>
            <w:noWrap w:val="0"/>
            <w:vAlign w:val="center"/>
          </w:tcPr>
          <w:p w14:paraId="7AA80540">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486" w:type="pct"/>
            <w:tcBorders>
              <w:tl2br w:val="nil"/>
              <w:tr2bl w:val="nil"/>
            </w:tcBorders>
            <w:shd w:val="clear" w:color="auto" w:fill="FFFFFF"/>
            <w:noWrap w:val="0"/>
            <w:vAlign w:val="center"/>
          </w:tcPr>
          <w:p w14:paraId="1886994E">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eastAsia"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sz w:val="21"/>
                <w:highlight w:val="none"/>
                <w:lang w:val="en-US" w:eastAsia="zh-CN"/>
              </w:rPr>
              <w:t>131.170627</w:t>
            </w:r>
            <w:r>
              <w:rPr>
                <w:rFonts w:hint="eastAsia" w:ascii="Times New Roman" w:hAnsi="Times New Roman" w:eastAsia="宋体" w:cs="Times New Roman"/>
                <w:color w:val="auto"/>
                <w:sz w:val="21"/>
                <w:highlight w:val="none"/>
                <w:lang w:val="en-US" w:eastAsia="zh-CN"/>
              </w:rPr>
              <w:t>，</w:t>
            </w:r>
            <w:r>
              <w:rPr>
                <w:rFonts w:hint="default" w:ascii="Times New Roman" w:hAnsi="Times New Roman" w:eastAsia="宋体" w:cs="Times New Roman"/>
                <w:color w:val="auto"/>
                <w:sz w:val="21"/>
                <w:highlight w:val="none"/>
                <w:lang w:val="en-US" w:eastAsia="zh-CN"/>
              </w:rPr>
              <w:t>46.61354</w:t>
            </w:r>
            <w:r>
              <w:rPr>
                <w:rFonts w:hint="eastAsia" w:ascii="Times New Roman" w:hAnsi="Times New Roman" w:eastAsia="宋体" w:cs="Times New Roman"/>
                <w:color w:val="auto"/>
                <w:sz w:val="21"/>
                <w:highlight w:val="none"/>
                <w:lang w:val="en-US" w:eastAsia="zh-CN"/>
              </w:rPr>
              <w:t>4</w:t>
            </w:r>
          </w:p>
        </w:tc>
        <w:tc>
          <w:tcPr>
            <w:tcW w:w="247" w:type="pct"/>
            <w:tcBorders>
              <w:tl2br w:val="nil"/>
              <w:tr2bl w:val="nil"/>
            </w:tcBorders>
            <w:shd w:val="clear" w:color="auto" w:fill="FFFFFF"/>
            <w:noWrap w:val="0"/>
            <w:vAlign w:val="center"/>
          </w:tcPr>
          <w:p w14:paraId="59B84966">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jc w:val="center"/>
              <w:textAlignment w:val="baseline"/>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w:t>
            </w:r>
          </w:p>
        </w:tc>
        <w:tc>
          <w:tcPr>
            <w:tcW w:w="408" w:type="pct"/>
            <w:tcBorders>
              <w:tl2br w:val="nil"/>
              <w:tr2bl w:val="nil"/>
            </w:tcBorders>
            <w:noWrap w:val="0"/>
            <w:vAlign w:val="center"/>
          </w:tcPr>
          <w:p w14:paraId="04D53C55">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441" w:type="pct"/>
            <w:tcBorders>
              <w:tl2br w:val="nil"/>
              <w:tr2bl w:val="nil"/>
            </w:tcBorders>
            <w:noWrap w:val="0"/>
            <w:vAlign w:val="center"/>
          </w:tcPr>
          <w:p w14:paraId="327CFE63">
            <w:pPr>
              <w:pStyle w:val="11"/>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jc w:val="center"/>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r>
    </w:tbl>
    <w:p w14:paraId="20EC9667">
      <w:pPr>
        <w:rPr>
          <w:color w:val="auto"/>
        </w:rPr>
      </w:pPr>
    </w:p>
    <w:p w14:paraId="5BCD5F63">
      <w:pPr>
        <w:rPr>
          <w:color w:val="auto"/>
        </w:rPr>
      </w:pPr>
    </w:p>
    <w:p w14:paraId="16A5083D">
      <w:pPr>
        <w:rPr>
          <w:color w:val="auto"/>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1"/>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6632E4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57" w:hRule="atLeast"/>
          <w:jc w:val="center"/>
        </w:trPr>
        <w:tc>
          <w:tcPr>
            <w:tcW w:w="746" w:type="dxa"/>
            <w:tcBorders>
              <w:right w:val="single" w:color="000000" w:sz="4" w:space="0"/>
            </w:tcBorders>
            <w:noWrap w:val="0"/>
            <w:tcMar>
              <w:left w:w="28" w:type="dxa"/>
              <w:right w:w="28" w:type="dxa"/>
            </w:tcMar>
            <w:vAlign w:val="center"/>
          </w:tcPr>
          <w:p w14:paraId="1578C53A">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运营期环境影响和保护措施</w:t>
            </w:r>
          </w:p>
        </w:tc>
        <w:tc>
          <w:tcPr>
            <w:tcW w:w="8162" w:type="dxa"/>
            <w:tcBorders>
              <w:left w:val="single" w:color="000000" w:sz="4" w:space="0"/>
            </w:tcBorders>
            <w:noWrap w:val="0"/>
            <w:vAlign w:val="top"/>
          </w:tcPr>
          <w:p w14:paraId="5BF43937">
            <w:pPr>
              <w:keepNext w:val="0"/>
              <w:keepLines w:val="0"/>
              <w:pageBreakBefore w:val="0"/>
              <w:widowControl w:val="0"/>
              <w:kinsoku/>
              <w:wordWrap/>
              <w:overflowPunct/>
              <w:topLinePunct w:val="0"/>
              <w:autoSpaceDE/>
              <w:autoSpaceDN/>
              <w:bidi w:val="0"/>
              <w:adjustRightInd/>
              <w:snapToGrid/>
              <w:spacing w:before="120" w:beforeLines="50" w:line="500" w:lineRule="exact"/>
              <w:ind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二、对</w:t>
            </w:r>
            <w:r>
              <w:rPr>
                <w:rFonts w:hint="eastAsia" w:cs="Times New Roman"/>
                <w:b/>
                <w:color w:val="auto"/>
                <w:sz w:val="24"/>
                <w:highlight w:val="none"/>
                <w:lang w:val="en-US" w:eastAsia="zh-CN"/>
              </w:rPr>
              <w:t>水环境</w:t>
            </w:r>
            <w:r>
              <w:rPr>
                <w:rFonts w:hint="default" w:ascii="Times New Roman" w:hAnsi="Times New Roman" w:eastAsia="宋体" w:cs="Times New Roman"/>
                <w:b/>
                <w:color w:val="auto"/>
                <w:sz w:val="24"/>
                <w:highlight w:val="none"/>
              </w:rPr>
              <w:t>的影响及保护措施</w:t>
            </w:r>
          </w:p>
          <w:p w14:paraId="72180E3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val="0"/>
                <w:bCs/>
                <w:color w:val="auto"/>
                <w:sz w:val="24"/>
                <w:highlight w:val="none"/>
                <w:lang w:val="en-US" w:eastAsia="zh-CN"/>
              </w:rPr>
            </w:pPr>
            <w:bookmarkStart w:id="27" w:name="OLE_LINK18"/>
            <w:r>
              <w:rPr>
                <w:rFonts w:hint="eastAsia" w:cs="Times New Roman"/>
                <w:b w:val="0"/>
                <w:bCs/>
                <w:color w:val="auto"/>
                <w:sz w:val="24"/>
                <w:highlight w:val="none"/>
                <w:lang w:val="en-US" w:eastAsia="zh-CN"/>
              </w:rPr>
              <w:t>本项目职工如厕依托附近宝成家具厂，无生产废水。</w:t>
            </w:r>
          </w:p>
          <w:bookmarkEnd w:id="27"/>
          <w:p w14:paraId="52390DDD">
            <w:pPr>
              <w:keepNext w:val="0"/>
              <w:keepLines w:val="0"/>
              <w:pageBreakBefore w:val="0"/>
              <w:widowControl w:val="0"/>
              <w:kinsoku/>
              <w:wordWrap/>
              <w:overflowPunct/>
              <w:topLinePunct w:val="0"/>
              <w:autoSpaceDE/>
              <w:autoSpaceDN/>
              <w:bidi w:val="0"/>
              <w:adjustRightInd/>
              <w:snapToGrid/>
              <w:spacing w:before="120" w:beforeLines="50" w:line="500" w:lineRule="exact"/>
              <w:ind w:firstLine="482" w:firstLineChars="200"/>
              <w:textAlignment w:val="auto"/>
              <w:rPr>
                <w:rFonts w:hint="default" w:ascii="Times New Roman" w:hAnsi="Times New Roman" w:eastAsia="宋体" w:cs="Times New Roman"/>
                <w:b/>
                <w:color w:val="auto"/>
                <w:sz w:val="24"/>
                <w:highlight w:val="none"/>
              </w:rPr>
            </w:pPr>
            <w:r>
              <w:rPr>
                <w:rFonts w:hint="eastAsia" w:eastAsia="宋体" w:cs="Times New Roman"/>
                <w:b/>
                <w:color w:val="auto"/>
                <w:sz w:val="24"/>
                <w:highlight w:val="none"/>
                <w:lang w:val="en-US" w:eastAsia="zh-CN"/>
              </w:rPr>
              <w:t>三</w:t>
            </w:r>
            <w:r>
              <w:rPr>
                <w:rFonts w:hint="default" w:ascii="Times New Roman" w:hAnsi="Times New Roman" w:eastAsia="宋体" w:cs="Times New Roman"/>
                <w:b/>
                <w:color w:val="auto"/>
                <w:sz w:val="24"/>
                <w:highlight w:val="none"/>
              </w:rPr>
              <w:t>、对</w:t>
            </w:r>
            <w:r>
              <w:rPr>
                <w:rFonts w:hint="eastAsia" w:eastAsia="宋体" w:cs="Times New Roman"/>
                <w:b/>
                <w:color w:val="auto"/>
                <w:sz w:val="24"/>
                <w:highlight w:val="none"/>
                <w:lang w:val="en-US" w:eastAsia="zh-CN"/>
              </w:rPr>
              <w:t>噪声</w:t>
            </w:r>
            <w:r>
              <w:rPr>
                <w:rFonts w:hint="default" w:ascii="Times New Roman" w:hAnsi="Times New Roman" w:eastAsia="宋体" w:cs="Times New Roman"/>
                <w:b/>
                <w:color w:val="auto"/>
                <w:sz w:val="24"/>
                <w:highlight w:val="none"/>
              </w:rPr>
              <w:t>的影响及保护措施</w:t>
            </w:r>
          </w:p>
          <w:p w14:paraId="44E7AA7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cs="Times New Roman"/>
                <w:b w:val="0"/>
                <w:bCs/>
                <w:color w:val="auto"/>
                <w:sz w:val="24"/>
                <w:highlight w:val="none"/>
              </w:rPr>
              <w:t>1、噪声源强</w:t>
            </w:r>
          </w:p>
          <w:p w14:paraId="212924B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本项目噪声污染源源强核算及相关参数见表4-</w:t>
            </w:r>
            <w:r>
              <w:rPr>
                <w:rFonts w:hint="eastAsia" w:cs="Times New Roman"/>
                <w:color w:val="auto"/>
                <w:sz w:val="24"/>
                <w:highlight w:val="none"/>
                <w:lang w:val="en-US" w:eastAsia="zh-CN"/>
              </w:rPr>
              <w:t>13</w:t>
            </w:r>
            <w:r>
              <w:rPr>
                <w:rFonts w:hint="default" w:ascii="Times New Roman" w:hAnsi="Times New Roman" w:cs="Times New Roman"/>
                <w:color w:val="auto"/>
                <w:sz w:val="24"/>
                <w:highlight w:val="none"/>
              </w:rPr>
              <w:t>。</w:t>
            </w:r>
          </w:p>
          <w:p w14:paraId="74FD3F16">
            <w:pPr>
              <w:pStyle w:val="29"/>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jc w:val="center"/>
              <w:textAlignment w:val="auto"/>
              <w:rPr>
                <w:rFonts w:hint="eastAsia" w:ascii="Times New Roman" w:hAnsi="Times New Roman" w:eastAsia="宋体" w:cs="Times New Roman"/>
                <w:b/>
                <w:bCs/>
                <w:color w:val="auto"/>
                <w:sz w:val="24"/>
                <w:highlight w:val="none"/>
                <w:lang w:val="zh-CN"/>
              </w:rPr>
            </w:pPr>
            <w:r>
              <w:rPr>
                <w:rFonts w:hint="eastAsia" w:ascii="Times New Roman" w:hAnsi="Times New Roman" w:eastAsia="宋体" w:cs="Times New Roman"/>
                <w:b/>
                <w:bCs/>
                <w:color w:val="auto"/>
                <w:sz w:val="24"/>
                <w:highlight w:val="none"/>
                <w:lang w:val="zh-CN"/>
              </w:rPr>
              <w:t>表</w:t>
            </w:r>
            <w:r>
              <w:rPr>
                <w:rFonts w:hint="eastAsia" w:ascii="Times New Roman" w:hAnsi="Times New Roman" w:eastAsia="宋体" w:cs="Times New Roman"/>
                <w:b/>
                <w:bCs/>
                <w:color w:val="auto"/>
                <w:sz w:val="24"/>
                <w:highlight w:val="none"/>
                <w:lang w:val="en-US" w:eastAsia="zh-CN"/>
              </w:rPr>
              <w:t>4-</w:t>
            </w:r>
            <w:r>
              <w:rPr>
                <w:rFonts w:hint="eastAsia" w:cs="Times New Roman"/>
                <w:b/>
                <w:bCs/>
                <w:color w:val="auto"/>
                <w:sz w:val="24"/>
                <w:highlight w:val="none"/>
                <w:lang w:val="en-US" w:eastAsia="zh-CN"/>
              </w:rPr>
              <w:t xml:space="preserve">13 </w:t>
            </w:r>
            <w:r>
              <w:rPr>
                <w:rFonts w:hint="eastAsia" w:ascii="Times New Roman" w:hAnsi="Times New Roman" w:eastAsia="宋体" w:cs="Times New Roman"/>
                <w:b/>
                <w:bCs/>
                <w:color w:val="auto"/>
                <w:sz w:val="24"/>
                <w:highlight w:val="none"/>
                <w:lang w:val="zh-CN"/>
              </w:rPr>
              <w:t xml:space="preserve"> 主要发生设备采取措施前后噪声值 单位：dB(A)</w:t>
            </w:r>
          </w:p>
          <w:tbl>
            <w:tblPr>
              <w:tblStyle w:val="31"/>
              <w:tblW w:w="809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0"/>
              <w:gridCol w:w="660"/>
              <w:gridCol w:w="375"/>
              <w:gridCol w:w="570"/>
              <w:gridCol w:w="705"/>
              <w:gridCol w:w="675"/>
              <w:gridCol w:w="525"/>
              <w:gridCol w:w="465"/>
              <w:gridCol w:w="480"/>
              <w:gridCol w:w="495"/>
              <w:gridCol w:w="600"/>
              <w:gridCol w:w="405"/>
              <w:gridCol w:w="630"/>
              <w:gridCol w:w="555"/>
              <w:gridCol w:w="570"/>
            </w:tblGrid>
            <w:tr w14:paraId="5DAE0A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234" w:type="pct"/>
                  <w:vMerge w:val="restart"/>
                  <w:noWrap w:val="0"/>
                  <w:vAlign w:val="center"/>
                </w:tcPr>
                <w:p w14:paraId="5BFCA39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407" w:type="pct"/>
                  <w:vMerge w:val="restart"/>
                  <w:noWrap w:val="0"/>
                  <w:vAlign w:val="center"/>
                </w:tcPr>
                <w:p w14:paraId="05123A8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声源名称</w:t>
                  </w:r>
                </w:p>
              </w:tc>
              <w:tc>
                <w:tcPr>
                  <w:tcW w:w="231" w:type="pct"/>
                  <w:vMerge w:val="restart"/>
                  <w:tcBorders>
                    <w:right w:val="single" w:color="000000" w:sz="4" w:space="0"/>
                  </w:tcBorders>
                  <w:noWrap w:val="0"/>
                  <w:vAlign w:val="center"/>
                </w:tcPr>
                <w:p w14:paraId="04FC3FB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数量/台</w:t>
                  </w:r>
                </w:p>
              </w:tc>
              <w:tc>
                <w:tcPr>
                  <w:tcW w:w="788" w:type="pct"/>
                  <w:gridSpan w:val="2"/>
                  <w:vMerge w:val="restart"/>
                  <w:tcBorders>
                    <w:left w:val="single" w:color="000000" w:sz="4" w:space="0"/>
                  </w:tcBorders>
                  <w:noWrap w:val="0"/>
                  <w:vAlign w:val="center"/>
                </w:tcPr>
                <w:p w14:paraId="36A8E142">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声源源强/dB(A)</w:t>
                  </w:r>
                </w:p>
              </w:tc>
              <w:tc>
                <w:tcPr>
                  <w:tcW w:w="417" w:type="pct"/>
                  <w:vMerge w:val="restart"/>
                  <w:noWrap w:val="0"/>
                  <w:vAlign w:val="center"/>
                </w:tcPr>
                <w:p w14:paraId="289F8A19">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声源控制措施</w:t>
                  </w:r>
                </w:p>
              </w:tc>
              <w:tc>
                <w:tcPr>
                  <w:tcW w:w="908" w:type="pct"/>
                  <w:gridSpan w:val="3"/>
                  <w:noWrap w:val="0"/>
                  <w:vAlign w:val="center"/>
                </w:tcPr>
                <w:p w14:paraId="7D0C5AB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空间相对位置/m</w:t>
                  </w:r>
                </w:p>
              </w:tc>
              <w:tc>
                <w:tcPr>
                  <w:tcW w:w="305" w:type="pct"/>
                  <w:vMerge w:val="restart"/>
                  <w:tcBorders>
                    <w:right w:val="single" w:color="000000" w:sz="4" w:space="0"/>
                  </w:tcBorders>
                  <w:noWrap w:val="0"/>
                  <w:vAlign w:val="center"/>
                </w:tcPr>
                <w:p w14:paraId="06C7B47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距室内边界距离/m</w:t>
                  </w:r>
                </w:p>
              </w:tc>
              <w:tc>
                <w:tcPr>
                  <w:tcW w:w="370" w:type="pct"/>
                  <w:vMerge w:val="restart"/>
                  <w:tcBorders>
                    <w:left w:val="single" w:color="000000" w:sz="4" w:space="0"/>
                  </w:tcBorders>
                  <w:noWrap w:val="0"/>
                  <w:vAlign w:val="center"/>
                </w:tcPr>
                <w:p w14:paraId="4CE38E4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室内边界声级dB(A)</w:t>
                  </w:r>
                </w:p>
              </w:tc>
              <w:tc>
                <w:tcPr>
                  <w:tcW w:w="250" w:type="pct"/>
                  <w:vMerge w:val="restart"/>
                  <w:noWrap w:val="0"/>
                  <w:vAlign w:val="center"/>
                </w:tcPr>
                <w:p w14:paraId="6380DD1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运行时段</w:t>
                  </w:r>
                </w:p>
              </w:tc>
              <w:tc>
                <w:tcPr>
                  <w:tcW w:w="389" w:type="pct"/>
                  <w:vMerge w:val="restart"/>
                  <w:noWrap w:val="0"/>
                  <w:vAlign w:val="center"/>
                </w:tcPr>
                <w:p w14:paraId="2F4535F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建筑物插入损失/dB(A)</w:t>
                  </w:r>
                </w:p>
              </w:tc>
              <w:tc>
                <w:tcPr>
                  <w:tcW w:w="695" w:type="pct"/>
                  <w:gridSpan w:val="2"/>
                  <w:noWrap w:val="0"/>
                  <w:vAlign w:val="center"/>
                </w:tcPr>
                <w:p w14:paraId="5C0E8F5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建筑物外噪声</w:t>
                  </w:r>
                </w:p>
              </w:tc>
            </w:tr>
            <w:tr w14:paraId="6C881B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 w:type="pct"/>
                  <w:vMerge w:val="continue"/>
                  <w:noWrap w:val="0"/>
                  <w:vAlign w:val="center"/>
                </w:tcPr>
                <w:p w14:paraId="15B79D7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407" w:type="pct"/>
                  <w:vMerge w:val="continue"/>
                  <w:noWrap w:val="0"/>
                  <w:vAlign w:val="center"/>
                </w:tcPr>
                <w:p w14:paraId="139CF22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231" w:type="pct"/>
                  <w:vMerge w:val="continue"/>
                  <w:tcBorders>
                    <w:right w:val="single" w:color="000000" w:sz="4" w:space="0"/>
                  </w:tcBorders>
                  <w:noWrap w:val="0"/>
                  <w:vAlign w:val="center"/>
                </w:tcPr>
                <w:p w14:paraId="1BCAEC9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788" w:type="pct"/>
                  <w:gridSpan w:val="2"/>
                  <w:vMerge w:val="continue"/>
                  <w:tcBorders>
                    <w:left w:val="single" w:color="000000" w:sz="4" w:space="0"/>
                    <w:bottom w:val="single" w:color="000000" w:sz="4" w:space="0"/>
                  </w:tcBorders>
                  <w:noWrap w:val="0"/>
                  <w:vAlign w:val="center"/>
                </w:tcPr>
                <w:p w14:paraId="47C6F524">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417" w:type="pct"/>
                  <w:vMerge w:val="continue"/>
                  <w:noWrap w:val="0"/>
                  <w:vAlign w:val="center"/>
                </w:tcPr>
                <w:p w14:paraId="1A8E2393">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24" w:type="pct"/>
                  <w:vMerge w:val="restart"/>
                  <w:noWrap w:val="0"/>
                  <w:vAlign w:val="center"/>
                </w:tcPr>
                <w:p w14:paraId="247A51EB">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X</w:t>
                  </w:r>
                </w:p>
              </w:tc>
              <w:tc>
                <w:tcPr>
                  <w:tcW w:w="287" w:type="pct"/>
                  <w:vMerge w:val="restart"/>
                  <w:noWrap w:val="0"/>
                  <w:vAlign w:val="center"/>
                </w:tcPr>
                <w:p w14:paraId="08CFABA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Y</w:t>
                  </w:r>
                </w:p>
              </w:tc>
              <w:tc>
                <w:tcPr>
                  <w:tcW w:w="296" w:type="pct"/>
                  <w:vMerge w:val="restart"/>
                  <w:noWrap w:val="0"/>
                  <w:vAlign w:val="center"/>
                </w:tcPr>
                <w:p w14:paraId="06472CC1">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Z</w:t>
                  </w:r>
                </w:p>
              </w:tc>
              <w:tc>
                <w:tcPr>
                  <w:tcW w:w="305" w:type="pct"/>
                  <w:vMerge w:val="continue"/>
                  <w:tcBorders>
                    <w:right w:val="single" w:color="000000" w:sz="4" w:space="0"/>
                  </w:tcBorders>
                  <w:noWrap w:val="0"/>
                  <w:vAlign w:val="center"/>
                </w:tcPr>
                <w:p w14:paraId="47307CBB">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70" w:type="pct"/>
                  <w:vMerge w:val="continue"/>
                  <w:tcBorders>
                    <w:left w:val="single" w:color="000000" w:sz="4" w:space="0"/>
                  </w:tcBorders>
                  <w:noWrap w:val="0"/>
                  <w:vAlign w:val="center"/>
                </w:tcPr>
                <w:p w14:paraId="3E93663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250" w:type="pct"/>
                  <w:vMerge w:val="continue"/>
                  <w:noWrap w:val="0"/>
                  <w:vAlign w:val="center"/>
                </w:tcPr>
                <w:p w14:paraId="4B3E99DA">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89" w:type="pct"/>
                  <w:vMerge w:val="continue"/>
                  <w:noWrap w:val="0"/>
                  <w:vAlign w:val="center"/>
                </w:tcPr>
                <w:p w14:paraId="0274BB9D">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43" w:type="pct"/>
                  <w:vMerge w:val="restart"/>
                  <w:noWrap w:val="0"/>
                  <w:vAlign w:val="center"/>
                </w:tcPr>
                <w:p w14:paraId="6BFA2CAF">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声压级/dB(A)</w:t>
                  </w:r>
                </w:p>
              </w:tc>
              <w:tc>
                <w:tcPr>
                  <w:tcW w:w="352" w:type="pct"/>
                  <w:vMerge w:val="restart"/>
                  <w:noWrap w:val="0"/>
                  <w:vAlign w:val="center"/>
                </w:tcPr>
                <w:p w14:paraId="1B88CE1D">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建筑物外距离/m</w:t>
                  </w:r>
                </w:p>
              </w:tc>
            </w:tr>
            <w:tr w14:paraId="2030D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234" w:type="pct"/>
                  <w:vMerge w:val="continue"/>
                  <w:noWrap w:val="0"/>
                  <w:vAlign w:val="center"/>
                </w:tcPr>
                <w:p w14:paraId="14E5923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407" w:type="pct"/>
                  <w:vMerge w:val="continue"/>
                  <w:noWrap w:val="0"/>
                  <w:vAlign w:val="center"/>
                </w:tcPr>
                <w:p w14:paraId="01985FFF">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231" w:type="pct"/>
                  <w:vMerge w:val="continue"/>
                  <w:tcBorders>
                    <w:right w:val="single" w:color="000000" w:sz="4" w:space="0"/>
                  </w:tcBorders>
                  <w:noWrap w:val="0"/>
                  <w:vAlign w:val="center"/>
                </w:tcPr>
                <w:p w14:paraId="4317B104">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52" w:type="pct"/>
                  <w:tcBorders>
                    <w:top w:val="single" w:color="000000" w:sz="4" w:space="0"/>
                    <w:left w:val="single" w:color="000000" w:sz="4" w:space="0"/>
                    <w:right w:val="single" w:color="000000" w:sz="4" w:space="0"/>
                  </w:tcBorders>
                  <w:noWrap w:val="0"/>
                  <w:vAlign w:val="center"/>
                </w:tcPr>
                <w:p w14:paraId="75DDF350">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单台声级dB(A)</w:t>
                  </w:r>
                </w:p>
              </w:tc>
              <w:tc>
                <w:tcPr>
                  <w:tcW w:w="435" w:type="pct"/>
                  <w:tcBorders>
                    <w:top w:val="single" w:color="000000" w:sz="4" w:space="0"/>
                    <w:left w:val="single" w:color="000000" w:sz="4" w:space="0"/>
                  </w:tcBorders>
                  <w:noWrap w:val="0"/>
                  <w:vAlign w:val="center"/>
                </w:tcPr>
                <w:p w14:paraId="046BCAE3">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同时运行叠加声级/dB(A)</w:t>
                  </w:r>
                </w:p>
              </w:tc>
              <w:tc>
                <w:tcPr>
                  <w:tcW w:w="417" w:type="pct"/>
                  <w:vMerge w:val="continue"/>
                  <w:noWrap w:val="0"/>
                  <w:vAlign w:val="center"/>
                </w:tcPr>
                <w:p w14:paraId="77962C2F">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24" w:type="pct"/>
                  <w:vMerge w:val="continue"/>
                  <w:noWrap w:val="0"/>
                  <w:vAlign w:val="center"/>
                </w:tcPr>
                <w:p w14:paraId="772F63F4">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287" w:type="pct"/>
                  <w:vMerge w:val="continue"/>
                  <w:noWrap w:val="0"/>
                  <w:vAlign w:val="center"/>
                </w:tcPr>
                <w:p w14:paraId="52051AE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296" w:type="pct"/>
                  <w:vMerge w:val="continue"/>
                  <w:noWrap w:val="0"/>
                  <w:vAlign w:val="center"/>
                </w:tcPr>
                <w:p w14:paraId="1026719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05" w:type="pct"/>
                  <w:vMerge w:val="continue"/>
                  <w:tcBorders>
                    <w:right w:val="single" w:color="000000" w:sz="4" w:space="0"/>
                  </w:tcBorders>
                  <w:noWrap w:val="0"/>
                  <w:vAlign w:val="center"/>
                </w:tcPr>
                <w:p w14:paraId="1FBE1791">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70" w:type="pct"/>
                  <w:vMerge w:val="continue"/>
                  <w:tcBorders>
                    <w:left w:val="single" w:color="000000" w:sz="4" w:space="0"/>
                  </w:tcBorders>
                  <w:noWrap w:val="0"/>
                  <w:vAlign w:val="center"/>
                </w:tcPr>
                <w:p w14:paraId="1BDD1361">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250" w:type="pct"/>
                  <w:vMerge w:val="continue"/>
                  <w:noWrap w:val="0"/>
                  <w:vAlign w:val="center"/>
                </w:tcPr>
                <w:p w14:paraId="27F868FD">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89" w:type="pct"/>
                  <w:vMerge w:val="continue"/>
                  <w:noWrap w:val="0"/>
                  <w:vAlign w:val="center"/>
                </w:tcPr>
                <w:p w14:paraId="5EC18239">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43" w:type="pct"/>
                  <w:vMerge w:val="continue"/>
                  <w:noWrap w:val="0"/>
                  <w:vAlign w:val="center"/>
                </w:tcPr>
                <w:p w14:paraId="72A5249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52" w:type="pct"/>
                  <w:vMerge w:val="continue"/>
                  <w:noWrap w:val="0"/>
                  <w:vAlign w:val="center"/>
                </w:tcPr>
                <w:p w14:paraId="22DD8E60">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r>
            <w:tr w14:paraId="34066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34" w:type="pct"/>
                  <w:noWrap w:val="0"/>
                  <w:vAlign w:val="center"/>
                </w:tcPr>
                <w:p w14:paraId="7D635FE0">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407" w:type="pct"/>
                  <w:noWrap w:val="0"/>
                  <w:vAlign w:val="center"/>
                </w:tcPr>
                <w:p w14:paraId="53B5755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eastAsia="zh-CN"/>
                    </w:rPr>
                  </w:pPr>
                  <w:r>
                    <w:rPr>
                      <w:rFonts w:hint="eastAsia" w:cs="Times New Roman"/>
                      <w:bCs/>
                      <w:color w:val="auto"/>
                      <w:sz w:val="21"/>
                      <w:szCs w:val="21"/>
                      <w:highlight w:val="none"/>
                      <w:lang w:val="en-US" w:eastAsia="zh-CN"/>
                    </w:rPr>
                    <w:t>拼板机</w:t>
                  </w:r>
                </w:p>
              </w:tc>
              <w:tc>
                <w:tcPr>
                  <w:tcW w:w="231" w:type="pct"/>
                  <w:tcBorders>
                    <w:right w:val="single" w:color="000000" w:sz="4" w:space="0"/>
                  </w:tcBorders>
                  <w:noWrap w:val="0"/>
                  <w:vAlign w:val="center"/>
                </w:tcPr>
                <w:p w14:paraId="0EF29D0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c>
                <w:tcPr>
                  <w:tcW w:w="352" w:type="pct"/>
                  <w:tcBorders>
                    <w:left w:val="single" w:color="000000" w:sz="4" w:space="0"/>
                    <w:right w:val="single" w:color="000000" w:sz="4" w:space="0"/>
                  </w:tcBorders>
                  <w:noWrap w:val="0"/>
                  <w:vAlign w:val="center"/>
                </w:tcPr>
                <w:p w14:paraId="4104EE1B">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80</w:t>
                  </w:r>
                </w:p>
              </w:tc>
              <w:tc>
                <w:tcPr>
                  <w:tcW w:w="435" w:type="pct"/>
                  <w:tcBorders>
                    <w:left w:val="single" w:color="000000" w:sz="4" w:space="0"/>
                  </w:tcBorders>
                  <w:noWrap w:val="0"/>
                  <w:vAlign w:val="center"/>
                </w:tcPr>
                <w:p w14:paraId="04E85CA2">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85</w:t>
                  </w:r>
                </w:p>
              </w:tc>
              <w:tc>
                <w:tcPr>
                  <w:tcW w:w="417" w:type="pct"/>
                  <w:vMerge w:val="restart"/>
                  <w:noWrap w:val="0"/>
                  <w:vAlign w:val="center"/>
                </w:tcPr>
                <w:p w14:paraId="24DB0368">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color w:val="auto"/>
                      <w:szCs w:val="21"/>
                      <w:highlight w:val="none"/>
                    </w:rPr>
                    <w:t>低噪声设备、安装基础减</w:t>
                  </w:r>
                  <w:r>
                    <w:rPr>
                      <w:rFonts w:hint="eastAsia"/>
                      <w:color w:val="auto"/>
                      <w:szCs w:val="21"/>
                      <w:highlight w:val="none"/>
                    </w:rPr>
                    <w:t>振</w:t>
                  </w:r>
                  <w:r>
                    <w:rPr>
                      <w:color w:val="auto"/>
                      <w:szCs w:val="21"/>
                      <w:highlight w:val="none"/>
                    </w:rPr>
                    <w:t>，厂房隔声</w:t>
                  </w:r>
                </w:p>
              </w:tc>
              <w:tc>
                <w:tcPr>
                  <w:tcW w:w="324" w:type="pct"/>
                  <w:noWrap w:val="0"/>
                  <w:vAlign w:val="center"/>
                </w:tcPr>
                <w:p w14:paraId="76E8E60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-15</w:t>
                  </w:r>
                </w:p>
              </w:tc>
              <w:tc>
                <w:tcPr>
                  <w:tcW w:w="287" w:type="pct"/>
                  <w:noWrap w:val="0"/>
                  <w:vAlign w:val="center"/>
                </w:tcPr>
                <w:p w14:paraId="0DE49EC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c>
                <w:tcPr>
                  <w:tcW w:w="296" w:type="pct"/>
                  <w:noWrap w:val="0"/>
                  <w:vAlign w:val="center"/>
                </w:tcPr>
                <w:p w14:paraId="20495728">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1.5</w:t>
                  </w:r>
                </w:p>
              </w:tc>
              <w:tc>
                <w:tcPr>
                  <w:tcW w:w="305" w:type="pct"/>
                  <w:tcBorders>
                    <w:right w:val="single" w:color="000000" w:sz="4" w:space="0"/>
                  </w:tcBorders>
                  <w:noWrap w:val="0"/>
                  <w:vAlign w:val="center"/>
                </w:tcPr>
                <w:p w14:paraId="31C48951">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1.5</w:t>
                  </w:r>
                </w:p>
              </w:tc>
              <w:tc>
                <w:tcPr>
                  <w:tcW w:w="370" w:type="pct"/>
                  <w:tcBorders>
                    <w:left w:val="single" w:color="000000" w:sz="4" w:space="0"/>
                  </w:tcBorders>
                  <w:noWrap w:val="0"/>
                  <w:vAlign w:val="center"/>
                </w:tcPr>
                <w:p w14:paraId="15203DE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82</w:t>
                  </w:r>
                </w:p>
              </w:tc>
              <w:tc>
                <w:tcPr>
                  <w:tcW w:w="250" w:type="pct"/>
                  <w:vMerge w:val="restart"/>
                  <w:noWrap w:val="0"/>
                  <w:vAlign w:val="center"/>
                </w:tcPr>
                <w:p w14:paraId="1804D5C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389" w:type="pct"/>
                  <w:noWrap w:val="0"/>
                  <w:vAlign w:val="center"/>
                </w:tcPr>
                <w:p w14:paraId="006162B2">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w:t>
                  </w:r>
                </w:p>
              </w:tc>
              <w:tc>
                <w:tcPr>
                  <w:tcW w:w="343" w:type="pct"/>
                  <w:noWrap w:val="0"/>
                  <w:vAlign w:val="center"/>
                </w:tcPr>
                <w:p w14:paraId="1A5E5768">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57</w:t>
                  </w:r>
                </w:p>
              </w:tc>
              <w:tc>
                <w:tcPr>
                  <w:tcW w:w="352" w:type="pct"/>
                  <w:noWrap w:val="0"/>
                  <w:vAlign w:val="center"/>
                </w:tcPr>
                <w:p w14:paraId="655C129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r w14:paraId="2C1C6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234" w:type="pct"/>
                  <w:noWrap w:val="0"/>
                  <w:vAlign w:val="center"/>
                </w:tcPr>
                <w:p w14:paraId="6A0FE6E3">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407" w:type="pct"/>
                  <w:noWrap w:val="0"/>
                  <w:vAlign w:val="center"/>
                </w:tcPr>
                <w:p w14:paraId="779206BD">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烘干设备</w:t>
                  </w:r>
                </w:p>
              </w:tc>
              <w:tc>
                <w:tcPr>
                  <w:tcW w:w="231" w:type="pct"/>
                  <w:tcBorders>
                    <w:right w:val="single" w:color="000000" w:sz="4" w:space="0"/>
                  </w:tcBorders>
                  <w:noWrap w:val="0"/>
                  <w:vAlign w:val="center"/>
                </w:tcPr>
                <w:p w14:paraId="1720698F">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w:t>
                  </w:r>
                </w:p>
              </w:tc>
              <w:tc>
                <w:tcPr>
                  <w:tcW w:w="352" w:type="pct"/>
                  <w:tcBorders>
                    <w:left w:val="single" w:color="000000" w:sz="4" w:space="0"/>
                    <w:right w:val="single" w:color="000000" w:sz="4" w:space="0"/>
                  </w:tcBorders>
                  <w:noWrap w:val="0"/>
                  <w:vAlign w:val="center"/>
                </w:tcPr>
                <w:p w14:paraId="10544E9F">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85</w:t>
                  </w:r>
                </w:p>
              </w:tc>
              <w:tc>
                <w:tcPr>
                  <w:tcW w:w="435" w:type="pct"/>
                  <w:tcBorders>
                    <w:left w:val="single" w:color="000000" w:sz="4" w:space="0"/>
                  </w:tcBorders>
                  <w:noWrap w:val="0"/>
                  <w:vAlign w:val="center"/>
                </w:tcPr>
                <w:p w14:paraId="23A0C4C9">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88</w:t>
                  </w:r>
                </w:p>
              </w:tc>
              <w:tc>
                <w:tcPr>
                  <w:tcW w:w="417" w:type="pct"/>
                  <w:vMerge w:val="continue"/>
                  <w:noWrap w:val="0"/>
                  <w:vAlign w:val="center"/>
                </w:tcPr>
                <w:p w14:paraId="232F5CAD">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24" w:type="pct"/>
                  <w:noWrap w:val="0"/>
                  <w:vAlign w:val="center"/>
                </w:tcPr>
                <w:p w14:paraId="01388C0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w:t>
                  </w:r>
                </w:p>
              </w:tc>
              <w:tc>
                <w:tcPr>
                  <w:tcW w:w="287" w:type="pct"/>
                  <w:noWrap w:val="0"/>
                  <w:vAlign w:val="center"/>
                </w:tcPr>
                <w:p w14:paraId="4C1370B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w:t>
                  </w:r>
                </w:p>
              </w:tc>
              <w:tc>
                <w:tcPr>
                  <w:tcW w:w="296" w:type="pct"/>
                  <w:noWrap w:val="0"/>
                  <w:vAlign w:val="center"/>
                </w:tcPr>
                <w:p w14:paraId="30C9754D">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w:t>
                  </w:r>
                </w:p>
              </w:tc>
              <w:tc>
                <w:tcPr>
                  <w:tcW w:w="305" w:type="pct"/>
                  <w:tcBorders>
                    <w:right w:val="single" w:color="000000" w:sz="4" w:space="0"/>
                  </w:tcBorders>
                  <w:noWrap w:val="0"/>
                  <w:vAlign w:val="center"/>
                </w:tcPr>
                <w:p w14:paraId="73644383">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370" w:type="pct"/>
                  <w:tcBorders>
                    <w:left w:val="single" w:color="000000" w:sz="4" w:space="0"/>
                  </w:tcBorders>
                  <w:noWrap w:val="0"/>
                  <w:vAlign w:val="center"/>
                </w:tcPr>
                <w:p w14:paraId="09E9CFB9">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85</w:t>
                  </w:r>
                </w:p>
              </w:tc>
              <w:tc>
                <w:tcPr>
                  <w:tcW w:w="250" w:type="pct"/>
                  <w:vMerge w:val="continue"/>
                  <w:noWrap w:val="0"/>
                  <w:vAlign w:val="center"/>
                </w:tcPr>
                <w:p w14:paraId="1AD507C7">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89" w:type="pct"/>
                  <w:noWrap w:val="0"/>
                  <w:vAlign w:val="center"/>
                </w:tcPr>
                <w:p w14:paraId="0D34FA0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w:t>
                  </w:r>
                </w:p>
              </w:tc>
              <w:tc>
                <w:tcPr>
                  <w:tcW w:w="343" w:type="pct"/>
                  <w:noWrap w:val="0"/>
                  <w:vAlign w:val="center"/>
                </w:tcPr>
                <w:p w14:paraId="442A8DE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352" w:type="pct"/>
                  <w:noWrap w:val="0"/>
                  <w:vAlign w:val="center"/>
                </w:tcPr>
                <w:p w14:paraId="3C5664E8">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r w14:paraId="058CB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234" w:type="pct"/>
                  <w:noWrap w:val="0"/>
                  <w:vAlign w:val="center"/>
                </w:tcPr>
                <w:p w14:paraId="546D5E1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c>
                <w:tcPr>
                  <w:tcW w:w="407" w:type="pct"/>
                  <w:noWrap w:val="0"/>
                  <w:vAlign w:val="center"/>
                </w:tcPr>
                <w:p w14:paraId="7ABD4CC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锯类</w:t>
                  </w:r>
                </w:p>
              </w:tc>
              <w:tc>
                <w:tcPr>
                  <w:tcW w:w="231" w:type="pct"/>
                  <w:tcBorders>
                    <w:right w:val="single" w:color="000000" w:sz="4" w:space="0"/>
                  </w:tcBorders>
                  <w:noWrap w:val="0"/>
                  <w:vAlign w:val="center"/>
                </w:tcPr>
                <w:p w14:paraId="0C896FF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8</w:t>
                  </w:r>
                </w:p>
              </w:tc>
              <w:tc>
                <w:tcPr>
                  <w:tcW w:w="352" w:type="pct"/>
                  <w:tcBorders>
                    <w:left w:val="single" w:color="000000" w:sz="4" w:space="0"/>
                    <w:right w:val="single" w:color="000000" w:sz="4" w:space="0"/>
                  </w:tcBorders>
                  <w:noWrap w:val="0"/>
                  <w:vAlign w:val="center"/>
                </w:tcPr>
                <w:p w14:paraId="5C41410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85</w:t>
                  </w:r>
                </w:p>
              </w:tc>
              <w:tc>
                <w:tcPr>
                  <w:tcW w:w="435" w:type="pct"/>
                  <w:tcBorders>
                    <w:left w:val="single" w:color="000000" w:sz="4" w:space="0"/>
                  </w:tcBorders>
                  <w:noWrap w:val="0"/>
                  <w:vAlign w:val="center"/>
                </w:tcPr>
                <w:p w14:paraId="4FEB474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cs="Times New Roman"/>
                      <w:color w:val="auto"/>
                      <w:highlight w:val="none"/>
                      <w:lang w:val="en-US" w:eastAsia="zh-CN"/>
                    </w:rPr>
                  </w:pPr>
                  <w:r>
                    <w:rPr>
                      <w:rFonts w:hint="eastAsia" w:cs="Times New Roman"/>
                      <w:color w:val="auto"/>
                      <w:highlight w:val="none"/>
                      <w:lang w:val="en-US" w:eastAsia="zh-CN"/>
                    </w:rPr>
                    <w:t>95</w:t>
                  </w:r>
                </w:p>
              </w:tc>
              <w:tc>
                <w:tcPr>
                  <w:tcW w:w="417" w:type="pct"/>
                  <w:vMerge w:val="continue"/>
                  <w:noWrap w:val="0"/>
                  <w:vAlign w:val="center"/>
                </w:tcPr>
                <w:p w14:paraId="0645793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24" w:type="pct"/>
                  <w:noWrap w:val="0"/>
                  <w:vAlign w:val="center"/>
                </w:tcPr>
                <w:p w14:paraId="1EAE23E0">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-11</w:t>
                  </w:r>
                </w:p>
              </w:tc>
              <w:tc>
                <w:tcPr>
                  <w:tcW w:w="287" w:type="pct"/>
                  <w:noWrap w:val="0"/>
                  <w:vAlign w:val="center"/>
                </w:tcPr>
                <w:p w14:paraId="3E9899B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w:t>
                  </w:r>
                </w:p>
              </w:tc>
              <w:tc>
                <w:tcPr>
                  <w:tcW w:w="296" w:type="pct"/>
                  <w:noWrap w:val="0"/>
                  <w:vAlign w:val="center"/>
                </w:tcPr>
                <w:p w14:paraId="6B21AEEB">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w:t>
                  </w:r>
                </w:p>
              </w:tc>
              <w:tc>
                <w:tcPr>
                  <w:tcW w:w="305" w:type="pct"/>
                  <w:tcBorders>
                    <w:right w:val="single" w:color="000000" w:sz="4" w:space="0"/>
                  </w:tcBorders>
                  <w:noWrap w:val="0"/>
                  <w:vAlign w:val="center"/>
                </w:tcPr>
                <w:p w14:paraId="0EADB59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c>
                <w:tcPr>
                  <w:tcW w:w="370" w:type="pct"/>
                  <w:tcBorders>
                    <w:left w:val="single" w:color="000000" w:sz="4" w:space="0"/>
                  </w:tcBorders>
                  <w:noWrap w:val="0"/>
                  <w:vAlign w:val="center"/>
                </w:tcPr>
                <w:p w14:paraId="136D425A">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85</w:t>
                  </w:r>
                </w:p>
              </w:tc>
              <w:tc>
                <w:tcPr>
                  <w:tcW w:w="250" w:type="pct"/>
                  <w:vMerge w:val="continue"/>
                  <w:noWrap w:val="0"/>
                  <w:vAlign w:val="center"/>
                </w:tcPr>
                <w:p w14:paraId="02FD522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89" w:type="pct"/>
                  <w:noWrap w:val="0"/>
                  <w:vAlign w:val="center"/>
                </w:tcPr>
                <w:p w14:paraId="11F0711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w:t>
                  </w:r>
                </w:p>
              </w:tc>
              <w:tc>
                <w:tcPr>
                  <w:tcW w:w="343" w:type="pct"/>
                  <w:noWrap w:val="0"/>
                  <w:vAlign w:val="center"/>
                </w:tcPr>
                <w:p w14:paraId="0AC134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60</w:t>
                  </w:r>
                </w:p>
              </w:tc>
              <w:tc>
                <w:tcPr>
                  <w:tcW w:w="352" w:type="pct"/>
                  <w:noWrap w:val="0"/>
                  <w:vAlign w:val="center"/>
                </w:tcPr>
                <w:p w14:paraId="775ED06C">
                  <w:pPr>
                    <w:pStyle w:val="12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r w14:paraId="61FE4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4" w:type="pct"/>
                  <w:noWrap w:val="0"/>
                  <w:vAlign w:val="center"/>
                </w:tcPr>
                <w:p w14:paraId="109B1171">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4</w:t>
                  </w:r>
                </w:p>
              </w:tc>
              <w:tc>
                <w:tcPr>
                  <w:tcW w:w="407" w:type="pct"/>
                  <w:noWrap w:val="0"/>
                  <w:vAlign w:val="center"/>
                </w:tcPr>
                <w:p w14:paraId="068F34A7">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热压机</w:t>
                  </w:r>
                </w:p>
              </w:tc>
              <w:tc>
                <w:tcPr>
                  <w:tcW w:w="231" w:type="pct"/>
                  <w:tcBorders>
                    <w:right w:val="single" w:color="000000" w:sz="4" w:space="0"/>
                  </w:tcBorders>
                  <w:noWrap w:val="0"/>
                  <w:vAlign w:val="center"/>
                </w:tcPr>
                <w:p w14:paraId="7AD6F73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3</w:t>
                  </w:r>
                </w:p>
              </w:tc>
              <w:tc>
                <w:tcPr>
                  <w:tcW w:w="352" w:type="pct"/>
                  <w:tcBorders>
                    <w:left w:val="single" w:color="000000" w:sz="4" w:space="0"/>
                    <w:right w:val="single" w:color="000000" w:sz="4" w:space="0"/>
                  </w:tcBorders>
                  <w:noWrap w:val="0"/>
                  <w:vAlign w:val="center"/>
                </w:tcPr>
                <w:p w14:paraId="63AD114B">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85</w:t>
                  </w:r>
                </w:p>
              </w:tc>
              <w:tc>
                <w:tcPr>
                  <w:tcW w:w="435" w:type="pct"/>
                  <w:tcBorders>
                    <w:left w:val="single" w:color="000000" w:sz="4" w:space="0"/>
                  </w:tcBorders>
                  <w:noWrap w:val="0"/>
                  <w:vAlign w:val="center"/>
                </w:tcPr>
                <w:p w14:paraId="2BAC716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90</w:t>
                  </w:r>
                </w:p>
              </w:tc>
              <w:tc>
                <w:tcPr>
                  <w:tcW w:w="417" w:type="pct"/>
                  <w:vMerge w:val="continue"/>
                  <w:noWrap w:val="0"/>
                  <w:vAlign w:val="center"/>
                </w:tcPr>
                <w:p w14:paraId="55021B13">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24" w:type="pct"/>
                  <w:noWrap w:val="0"/>
                  <w:vAlign w:val="center"/>
                </w:tcPr>
                <w:p w14:paraId="29D6FF6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w:t>
                  </w:r>
                </w:p>
              </w:tc>
              <w:tc>
                <w:tcPr>
                  <w:tcW w:w="287" w:type="pct"/>
                  <w:noWrap w:val="0"/>
                  <w:vAlign w:val="center"/>
                </w:tcPr>
                <w:p w14:paraId="5E6AFE62">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w:t>
                  </w:r>
                </w:p>
              </w:tc>
              <w:tc>
                <w:tcPr>
                  <w:tcW w:w="296" w:type="pct"/>
                  <w:noWrap w:val="0"/>
                  <w:vAlign w:val="center"/>
                </w:tcPr>
                <w:p w14:paraId="555BC658">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w:t>
                  </w:r>
                </w:p>
              </w:tc>
              <w:tc>
                <w:tcPr>
                  <w:tcW w:w="305" w:type="pct"/>
                  <w:tcBorders>
                    <w:right w:val="single" w:color="000000" w:sz="4" w:space="0"/>
                  </w:tcBorders>
                  <w:noWrap w:val="0"/>
                  <w:vAlign w:val="center"/>
                </w:tcPr>
                <w:p w14:paraId="3540BCA0">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c>
                <w:tcPr>
                  <w:tcW w:w="370" w:type="pct"/>
                  <w:tcBorders>
                    <w:left w:val="single" w:color="000000" w:sz="4" w:space="0"/>
                  </w:tcBorders>
                  <w:noWrap w:val="0"/>
                  <w:vAlign w:val="center"/>
                </w:tcPr>
                <w:p w14:paraId="6F03DD64">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80</w:t>
                  </w:r>
                </w:p>
              </w:tc>
              <w:tc>
                <w:tcPr>
                  <w:tcW w:w="250" w:type="pct"/>
                  <w:vMerge w:val="continue"/>
                  <w:noWrap w:val="0"/>
                  <w:vAlign w:val="center"/>
                </w:tcPr>
                <w:p w14:paraId="520C7E31">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89" w:type="pct"/>
                  <w:noWrap w:val="0"/>
                  <w:vAlign w:val="center"/>
                </w:tcPr>
                <w:p w14:paraId="751E16C1">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w:t>
                  </w:r>
                </w:p>
              </w:tc>
              <w:tc>
                <w:tcPr>
                  <w:tcW w:w="343" w:type="pct"/>
                  <w:noWrap w:val="0"/>
                  <w:vAlign w:val="center"/>
                </w:tcPr>
                <w:p w14:paraId="0E9B3A9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55</w:t>
                  </w:r>
                </w:p>
              </w:tc>
              <w:tc>
                <w:tcPr>
                  <w:tcW w:w="352" w:type="pct"/>
                  <w:noWrap w:val="0"/>
                  <w:vAlign w:val="center"/>
                </w:tcPr>
                <w:p w14:paraId="2AC1B6F2">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1.0</w:t>
                  </w:r>
                </w:p>
              </w:tc>
            </w:tr>
            <w:tr w14:paraId="6A68DE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4" w:type="pct"/>
                  <w:noWrap w:val="0"/>
                  <w:vAlign w:val="center"/>
                </w:tcPr>
                <w:p w14:paraId="02942570">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5</w:t>
                  </w:r>
                </w:p>
              </w:tc>
              <w:tc>
                <w:tcPr>
                  <w:tcW w:w="407" w:type="pct"/>
                  <w:noWrap w:val="0"/>
                  <w:vAlign w:val="center"/>
                </w:tcPr>
                <w:p w14:paraId="01B7E742">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cs="Times New Roman"/>
                      <w:color w:val="auto"/>
                      <w:highlight w:val="none"/>
                      <w:lang w:val="en-US" w:eastAsia="zh-CN"/>
                    </w:rPr>
                  </w:pPr>
                  <w:r>
                    <w:rPr>
                      <w:rFonts w:hint="eastAsia" w:cs="Times New Roman"/>
                      <w:color w:val="auto"/>
                      <w:sz w:val="21"/>
                      <w:szCs w:val="21"/>
                      <w:highlight w:val="none"/>
                      <w:lang w:val="en-US" w:eastAsia="zh-CN"/>
                    </w:rPr>
                    <w:t>涂胶机</w:t>
                  </w:r>
                </w:p>
              </w:tc>
              <w:tc>
                <w:tcPr>
                  <w:tcW w:w="231" w:type="pct"/>
                  <w:tcBorders>
                    <w:right w:val="single" w:color="000000" w:sz="4" w:space="0"/>
                  </w:tcBorders>
                  <w:noWrap w:val="0"/>
                  <w:vAlign w:val="center"/>
                </w:tcPr>
                <w:p w14:paraId="751ED1F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3</w:t>
                  </w:r>
                </w:p>
              </w:tc>
              <w:tc>
                <w:tcPr>
                  <w:tcW w:w="352" w:type="pct"/>
                  <w:tcBorders>
                    <w:left w:val="single" w:color="000000" w:sz="4" w:space="0"/>
                    <w:right w:val="single" w:color="000000" w:sz="4" w:space="0"/>
                  </w:tcBorders>
                  <w:noWrap w:val="0"/>
                  <w:vAlign w:val="center"/>
                </w:tcPr>
                <w:p w14:paraId="3B04990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70</w:t>
                  </w:r>
                </w:p>
              </w:tc>
              <w:tc>
                <w:tcPr>
                  <w:tcW w:w="435" w:type="pct"/>
                  <w:tcBorders>
                    <w:left w:val="single" w:color="000000" w:sz="4" w:space="0"/>
                  </w:tcBorders>
                  <w:noWrap w:val="0"/>
                  <w:vAlign w:val="center"/>
                </w:tcPr>
                <w:p w14:paraId="4E0F686B">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75</w:t>
                  </w:r>
                </w:p>
              </w:tc>
              <w:tc>
                <w:tcPr>
                  <w:tcW w:w="417" w:type="pct"/>
                  <w:vMerge w:val="continue"/>
                  <w:noWrap w:val="0"/>
                  <w:vAlign w:val="center"/>
                </w:tcPr>
                <w:p w14:paraId="4B58CB8F">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24" w:type="pct"/>
                  <w:noWrap w:val="0"/>
                  <w:vAlign w:val="center"/>
                </w:tcPr>
                <w:p w14:paraId="06DEA932">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6</w:t>
                  </w:r>
                </w:p>
              </w:tc>
              <w:tc>
                <w:tcPr>
                  <w:tcW w:w="287" w:type="pct"/>
                  <w:noWrap w:val="0"/>
                  <w:vAlign w:val="center"/>
                </w:tcPr>
                <w:p w14:paraId="7EA17A24">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8</w:t>
                  </w:r>
                </w:p>
              </w:tc>
              <w:tc>
                <w:tcPr>
                  <w:tcW w:w="296" w:type="pct"/>
                  <w:noWrap w:val="0"/>
                  <w:vAlign w:val="center"/>
                </w:tcPr>
                <w:p w14:paraId="30D5A89B">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1.5</w:t>
                  </w:r>
                </w:p>
              </w:tc>
              <w:tc>
                <w:tcPr>
                  <w:tcW w:w="305" w:type="pct"/>
                  <w:tcBorders>
                    <w:right w:val="single" w:color="000000" w:sz="4" w:space="0"/>
                  </w:tcBorders>
                  <w:noWrap w:val="0"/>
                  <w:vAlign w:val="center"/>
                </w:tcPr>
                <w:p w14:paraId="590639E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p>
              </w:tc>
              <w:tc>
                <w:tcPr>
                  <w:tcW w:w="370" w:type="pct"/>
                  <w:tcBorders>
                    <w:left w:val="single" w:color="000000" w:sz="4" w:space="0"/>
                  </w:tcBorders>
                  <w:noWrap w:val="0"/>
                  <w:vAlign w:val="center"/>
                </w:tcPr>
                <w:p w14:paraId="40044A07">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72</w:t>
                  </w:r>
                </w:p>
              </w:tc>
              <w:tc>
                <w:tcPr>
                  <w:tcW w:w="250" w:type="pct"/>
                  <w:vMerge w:val="continue"/>
                  <w:noWrap w:val="0"/>
                  <w:vAlign w:val="center"/>
                </w:tcPr>
                <w:p w14:paraId="4E3DC0AB">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89" w:type="pct"/>
                  <w:noWrap w:val="0"/>
                  <w:vAlign w:val="center"/>
                </w:tcPr>
                <w:p w14:paraId="2B9E4F2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25</w:t>
                  </w:r>
                </w:p>
              </w:tc>
              <w:tc>
                <w:tcPr>
                  <w:tcW w:w="343" w:type="pct"/>
                  <w:noWrap w:val="0"/>
                  <w:vAlign w:val="center"/>
                </w:tcPr>
                <w:p w14:paraId="6306F15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47</w:t>
                  </w:r>
                </w:p>
              </w:tc>
              <w:tc>
                <w:tcPr>
                  <w:tcW w:w="352" w:type="pct"/>
                  <w:noWrap w:val="0"/>
                  <w:vAlign w:val="center"/>
                </w:tcPr>
                <w:p w14:paraId="6A05D7F1">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default" w:ascii="Times New Roman" w:hAnsi="Times New Roman" w:cs="Times New Roman"/>
                      <w:color w:val="auto"/>
                      <w:highlight w:val="none"/>
                    </w:rPr>
                    <w:t>1.0</w:t>
                  </w:r>
                </w:p>
              </w:tc>
            </w:tr>
            <w:tr w14:paraId="3559F3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4" w:type="pct"/>
                  <w:shd w:val="clear" w:color="auto" w:fill="auto"/>
                  <w:noWrap w:val="0"/>
                  <w:vAlign w:val="center"/>
                </w:tcPr>
                <w:p w14:paraId="6864C1CF">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bCs/>
                      <w:iCs/>
                      <w:color w:val="auto"/>
                      <w:kern w:val="2"/>
                      <w:sz w:val="21"/>
                      <w:szCs w:val="28"/>
                      <w:highlight w:val="none"/>
                      <w:lang w:val="en-US" w:eastAsia="zh-CN" w:bidi="ar-SA"/>
                    </w:rPr>
                  </w:pPr>
                  <w:r>
                    <w:rPr>
                      <w:rFonts w:hint="eastAsia" w:cs="Times New Roman"/>
                      <w:color w:val="auto"/>
                      <w:highlight w:val="none"/>
                      <w:lang w:val="en-US" w:eastAsia="zh-CN"/>
                    </w:rPr>
                    <w:t>6</w:t>
                  </w:r>
                </w:p>
              </w:tc>
              <w:tc>
                <w:tcPr>
                  <w:tcW w:w="407" w:type="pct"/>
                  <w:shd w:val="clear" w:color="auto" w:fill="auto"/>
                  <w:noWrap w:val="0"/>
                  <w:vAlign w:val="center"/>
                </w:tcPr>
                <w:p w14:paraId="0E1B66A3">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bCs/>
                      <w:iCs/>
                      <w:color w:val="auto"/>
                      <w:kern w:val="2"/>
                      <w:sz w:val="21"/>
                      <w:szCs w:val="28"/>
                      <w:highlight w:val="none"/>
                      <w:lang w:val="en-US" w:eastAsia="zh-CN" w:bidi="ar-SA"/>
                    </w:rPr>
                  </w:pPr>
                  <w:r>
                    <w:rPr>
                      <w:rFonts w:hint="eastAsia" w:cs="Times New Roman"/>
                      <w:color w:val="auto"/>
                      <w:highlight w:val="none"/>
                      <w:lang w:val="en-US" w:eastAsia="zh-CN"/>
                    </w:rPr>
                    <w:t>锅炉</w:t>
                  </w:r>
                </w:p>
              </w:tc>
              <w:tc>
                <w:tcPr>
                  <w:tcW w:w="231" w:type="pct"/>
                  <w:tcBorders>
                    <w:right w:val="single" w:color="000000" w:sz="4" w:space="0"/>
                  </w:tcBorders>
                  <w:shd w:val="clear" w:color="auto" w:fill="auto"/>
                  <w:noWrap w:val="0"/>
                  <w:vAlign w:val="center"/>
                </w:tcPr>
                <w:p w14:paraId="7448BF1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w:t>
                  </w:r>
                </w:p>
              </w:tc>
              <w:tc>
                <w:tcPr>
                  <w:tcW w:w="352" w:type="pct"/>
                  <w:tcBorders>
                    <w:left w:val="single" w:color="000000" w:sz="4" w:space="0"/>
                    <w:right w:val="single" w:color="000000" w:sz="4" w:space="0"/>
                  </w:tcBorders>
                  <w:noWrap w:val="0"/>
                  <w:vAlign w:val="center"/>
                </w:tcPr>
                <w:p w14:paraId="53AE565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85</w:t>
                  </w:r>
                </w:p>
              </w:tc>
              <w:tc>
                <w:tcPr>
                  <w:tcW w:w="435" w:type="pct"/>
                  <w:tcBorders>
                    <w:left w:val="single" w:color="000000" w:sz="4" w:space="0"/>
                  </w:tcBorders>
                  <w:noWrap w:val="0"/>
                  <w:vAlign w:val="center"/>
                </w:tcPr>
                <w:p w14:paraId="3FBA35E1">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cs="Times New Roman"/>
                      <w:color w:val="auto"/>
                      <w:highlight w:val="none"/>
                      <w:lang w:val="en-US" w:eastAsia="zh-CN"/>
                    </w:rPr>
                  </w:pPr>
                  <w:r>
                    <w:rPr>
                      <w:rFonts w:hint="eastAsia" w:cs="Times New Roman"/>
                      <w:color w:val="auto"/>
                      <w:highlight w:val="none"/>
                      <w:lang w:val="en-US" w:eastAsia="zh-CN"/>
                    </w:rPr>
                    <w:t>85</w:t>
                  </w:r>
                </w:p>
              </w:tc>
              <w:tc>
                <w:tcPr>
                  <w:tcW w:w="417" w:type="pct"/>
                  <w:vMerge w:val="continue"/>
                  <w:noWrap w:val="0"/>
                  <w:vAlign w:val="center"/>
                </w:tcPr>
                <w:p w14:paraId="7DCA1D7C">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24" w:type="pct"/>
                  <w:noWrap w:val="0"/>
                  <w:vAlign w:val="center"/>
                </w:tcPr>
                <w:p w14:paraId="74A1386A">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5</w:t>
                  </w:r>
                </w:p>
              </w:tc>
              <w:tc>
                <w:tcPr>
                  <w:tcW w:w="287" w:type="pct"/>
                  <w:noWrap w:val="0"/>
                  <w:vAlign w:val="center"/>
                </w:tcPr>
                <w:p w14:paraId="53B14BB1">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-5</w:t>
                  </w:r>
                </w:p>
              </w:tc>
              <w:tc>
                <w:tcPr>
                  <w:tcW w:w="296" w:type="pct"/>
                  <w:noWrap w:val="0"/>
                  <w:vAlign w:val="center"/>
                </w:tcPr>
                <w:p w14:paraId="5E13853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2.0</w:t>
                  </w:r>
                </w:p>
              </w:tc>
              <w:tc>
                <w:tcPr>
                  <w:tcW w:w="305" w:type="pct"/>
                  <w:tcBorders>
                    <w:right w:val="single" w:color="000000" w:sz="4" w:space="0"/>
                  </w:tcBorders>
                  <w:noWrap w:val="0"/>
                  <w:vAlign w:val="center"/>
                </w:tcPr>
                <w:p w14:paraId="381ECA8B">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2</w:t>
                  </w:r>
                </w:p>
              </w:tc>
              <w:tc>
                <w:tcPr>
                  <w:tcW w:w="370" w:type="pct"/>
                  <w:tcBorders>
                    <w:left w:val="single" w:color="000000" w:sz="4" w:space="0"/>
                  </w:tcBorders>
                  <w:noWrap w:val="0"/>
                  <w:vAlign w:val="center"/>
                </w:tcPr>
                <w:p w14:paraId="621AB7B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80</w:t>
                  </w:r>
                </w:p>
              </w:tc>
              <w:tc>
                <w:tcPr>
                  <w:tcW w:w="250" w:type="pct"/>
                  <w:vMerge w:val="continue"/>
                  <w:noWrap w:val="0"/>
                  <w:vAlign w:val="center"/>
                </w:tcPr>
                <w:p w14:paraId="420FBC93">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89" w:type="pct"/>
                  <w:noWrap w:val="0"/>
                  <w:vAlign w:val="center"/>
                </w:tcPr>
                <w:p w14:paraId="3B629901">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w:t>
                  </w:r>
                </w:p>
              </w:tc>
              <w:tc>
                <w:tcPr>
                  <w:tcW w:w="343" w:type="pct"/>
                  <w:noWrap w:val="0"/>
                  <w:vAlign w:val="center"/>
                </w:tcPr>
                <w:p w14:paraId="0616C8D1">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55</w:t>
                  </w:r>
                </w:p>
              </w:tc>
              <w:tc>
                <w:tcPr>
                  <w:tcW w:w="352" w:type="pct"/>
                  <w:noWrap w:val="0"/>
                  <w:vAlign w:val="center"/>
                </w:tcPr>
                <w:p w14:paraId="468083BA">
                  <w:pPr>
                    <w:pStyle w:val="12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center"/>
                    <w:rPr>
                      <w:rFonts w:hint="eastAsia" w:cs="Times New Roman"/>
                      <w:color w:val="auto"/>
                      <w:highlight w:val="none"/>
                      <w:lang w:val="en-US" w:eastAsia="zh-CN"/>
                    </w:rPr>
                  </w:pPr>
                  <w:r>
                    <w:rPr>
                      <w:rFonts w:hint="default" w:ascii="Times New Roman" w:hAnsi="Times New Roman" w:cs="Times New Roman"/>
                      <w:color w:val="auto"/>
                      <w:highlight w:val="none"/>
                    </w:rPr>
                    <w:t>1.0</w:t>
                  </w:r>
                </w:p>
              </w:tc>
            </w:tr>
            <w:tr w14:paraId="5FE28B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4" w:type="pct"/>
                  <w:shd w:val="clear" w:color="auto" w:fill="auto"/>
                  <w:noWrap w:val="0"/>
                  <w:vAlign w:val="center"/>
                </w:tcPr>
                <w:p w14:paraId="6FEF9A5E">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bCs/>
                      <w:iCs/>
                      <w:color w:val="auto"/>
                      <w:kern w:val="2"/>
                      <w:sz w:val="21"/>
                      <w:szCs w:val="28"/>
                      <w:highlight w:val="none"/>
                      <w:lang w:val="en-US" w:eastAsia="zh-CN" w:bidi="ar-SA"/>
                    </w:rPr>
                  </w:pPr>
                  <w:r>
                    <w:rPr>
                      <w:rFonts w:hint="eastAsia" w:cs="Times New Roman"/>
                      <w:color w:val="auto"/>
                      <w:highlight w:val="none"/>
                      <w:lang w:val="en-US" w:eastAsia="zh-CN"/>
                    </w:rPr>
                    <w:t>7</w:t>
                  </w:r>
                </w:p>
              </w:tc>
              <w:tc>
                <w:tcPr>
                  <w:tcW w:w="407" w:type="pct"/>
                  <w:shd w:val="clear" w:color="auto" w:fill="auto"/>
                  <w:noWrap w:val="0"/>
                  <w:vAlign w:val="center"/>
                </w:tcPr>
                <w:p w14:paraId="360BB502">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bCs/>
                      <w:iCs/>
                      <w:color w:val="auto"/>
                      <w:kern w:val="2"/>
                      <w:sz w:val="21"/>
                      <w:szCs w:val="28"/>
                      <w:highlight w:val="none"/>
                      <w:lang w:val="en-US" w:eastAsia="zh-CN" w:bidi="ar-SA"/>
                    </w:rPr>
                  </w:pPr>
                  <w:r>
                    <w:rPr>
                      <w:rFonts w:hint="eastAsia" w:cs="Times New Roman"/>
                      <w:color w:val="auto"/>
                      <w:highlight w:val="none"/>
                      <w:lang w:val="en-US" w:eastAsia="zh-CN"/>
                    </w:rPr>
                    <w:t>风机</w:t>
                  </w:r>
                </w:p>
              </w:tc>
              <w:tc>
                <w:tcPr>
                  <w:tcW w:w="231" w:type="pct"/>
                  <w:tcBorders>
                    <w:right w:val="single" w:color="000000" w:sz="4" w:space="0"/>
                  </w:tcBorders>
                  <w:shd w:val="clear" w:color="auto" w:fill="auto"/>
                  <w:noWrap w:val="0"/>
                  <w:vAlign w:val="center"/>
                </w:tcPr>
                <w:p w14:paraId="2C97C0B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1</w:t>
                  </w:r>
                </w:p>
              </w:tc>
              <w:tc>
                <w:tcPr>
                  <w:tcW w:w="352" w:type="pct"/>
                  <w:tcBorders>
                    <w:left w:val="single" w:color="000000" w:sz="4" w:space="0"/>
                    <w:right w:val="single" w:color="000000" w:sz="4" w:space="0"/>
                  </w:tcBorders>
                  <w:noWrap w:val="0"/>
                  <w:vAlign w:val="center"/>
                </w:tcPr>
                <w:p w14:paraId="571B3AB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95</w:t>
                  </w:r>
                </w:p>
              </w:tc>
              <w:tc>
                <w:tcPr>
                  <w:tcW w:w="435" w:type="pct"/>
                  <w:tcBorders>
                    <w:left w:val="single" w:color="000000" w:sz="4" w:space="0"/>
                  </w:tcBorders>
                  <w:noWrap w:val="0"/>
                  <w:vAlign w:val="center"/>
                </w:tcPr>
                <w:p w14:paraId="09FB3FA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cs="Times New Roman"/>
                      <w:color w:val="auto"/>
                      <w:highlight w:val="none"/>
                      <w:lang w:val="en-US" w:eastAsia="zh-CN"/>
                    </w:rPr>
                  </w:pPr>
                  <w:r>
                    <w:rPr>
                      <w:rFonts w:hint="eastAsia" w:cs="Times New Roman"/>
                      <w:color w:val="auto"/>
                      <w:highlight w:val="none"/>
                      <w:lang w:val="en-US" w:eastAsia="zh-CN"/>
                    </w:rPr>
                    <w:t>95</w:t>
                  </w:r>
                </w:p>
              </w:tc>
              <w:tc>
                <w:tcPr>
                  <w:tcW w:w="417" w:type="pct"/>
                  <w:vMerge w:val="continue"/>
                  <w:noWrap w:val="0"/>
                  <w:vAlign w:val="center"/>
                </w:tcPr>
                <w:p w14:paraId="5E86D2B0">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24" w:type="pct"/>
                  <w:noWrap w:val="0"/>
                  <w:vAlign w:val="center"/>
                </w:tcPr>
                <w:p w14:paraId="1BB5FAF5">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6</w:t>
                  </w:r>
                </w:p>
              </w:tc>
              <w:tc>
                <w:tcPr>
                  <w:tcW w:w="287" w:type="pct"/>
                  <w:noWrap w:val="0"/>
                  <w:vAlign w:val="center"/>
                </w:tcPr>
                <w:p w14:paraId="021D45C7">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-5</w:t>
                  </w:r>
                </w:p>
              </w:tc>
              <w:tc>
                <w:tcPr>
                  <w:tcW w:w="296" w:type="pct"/>
                  <w:noWrap w:val="0"/>
                  <w:vAlign w:val="center"/>
                </w:tcPr>
                <w:p w14:paraId="706A4144">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cs="Times New Roman"/>
                      <w:color w:val="auto"/>
                      <w:highlight w:val="none"/>
                      <w:lang w:val="en-US" w:eastAsia="zh-CN"/>
                    </w:rPr>
                  </w:pPr>
                  <w:r>
                    <w:rPr>
                      <w:rFonts w:hint="eastAsia" w:cs="Times New Roman"/>
                      <w:color w:val="auto"/>
                      <w:highlight w:val="none"/>
                      <w:lang w:val="en-US" w:eastAsia="zh-CN"/>
                    </w:rPr>
                    <w:t>2.0</w:t>
                  </w:r>
                </w:p>
              </w:tc>
              <w:tc>
                <w:tcPr>
                  <w:tcW w:w="305" w:type="pct"/>
                  <w:tcBorders>
                    <w:right w:val="single" w:color="000000" w:sz="4" w:space="0"/>
                  </w:tcBorders>
                  <w:noWrap w:val="0"/>
                  <w:vAlign w:val="center"/>
                </w:tcPr>
                <w:p w14:paraId="6421A3FA">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2</w:t>
                  </w:r>
                </w:p>
              </w:tc>
              <w:tc>
                <w:tcPr>
                  <w:tcW w:w="370" w:type="pct"/>
                  <w:tcBorders>
                    <w:left w:val="single" w:color="000000" w:sz="4" w:space="0"/>
                  </w:tcBorders>
                  <w:noWrap w:val="0"/>
                  <w:vAlign w:val="center"/>
                </w:tcPr>
                <w:p w14:paraId="3CC64086">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90</w:t>
                  </w:r>
                </w:p>
              </w:tc>
              <w:tc>
                <w:tcPr>
                  <w:tcW w:w="250" w:type="pct"/>
                  <w:vMerge w:val="continue"/>
                  <w:noWrap w:val="0"/>
                  <w:vAlign w:val="center"/>
                </w:tcPr>
                <w:p w14:paraId="3E69751A">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default" w:ascii="Times New Roman" w:hAnsi="Times New Roman" w:cs="Times New Roman"/>
                      <w:color w:val="auto"/>
                      <w:highlight w:val="none"/>
                    </w:rPr>
                  </w:pPr>
                </w:p>
              </w:tc>
              <w:tc>
                <w:tcPr>
                  <w:tcW w:w="389" w:type="pct"/>
                  <w:noWrap w:val="0"/>
                  <w:vAlign w:val="center"/>
                </w:tcPr>
                <w:p w14:paraId="225AF25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w:t>
                  </w:r>
                </w:p>
              </w:tc>
              <w:tc>
                <w:tcPr>
                  <w:tcW w:w="343" w:type="pct"/>
                  <w:noWrap w:val="0"/>
                  <w:vAlign w:val="center"/>
                </w:tcPr>
                <w:p w14:paraId="74C49F7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65</w:t>
                  </w:r>
                </w:p>
              </w:tc>
              <w:tc>
                <w:tcPr>
                  <w:tcW w:w="352" w:type="pct"/>
                  <w:noWrap w:val="0"/>
                  <w:vAlign w:val="center"/>
                </w:tcPr>
                <w:p w14:paraId="2D1C26A9">
                  <w:pPr>
                    <w:pStyle w:val="120"/>
                    <w:keepNext w:val="0"/>
                    <w:keepLines w:val="0"/>
                    <w:pageBreakBefore w:val="0"/>
                    <w:widowControl w:val="0"/>
                    <w:kinsoku/>
                    <w:wordWrap/>
                    <w:overflowPunct/>
                    <w:topLinePunct w:val="0"/>
                    <w:autoSpaceDE/>
                    <w:autoSpaceDN/>
                    <w:bidi w:val="0"/>
                    <w:adjustRightInd/>
                    <w:snapToGrid/>
                    <w:spacing w:line="240" w:lineRule="auto"/>
                    <w:textAlignment w:val="center"/>
                    <w:rPr>
                      <w:rFonts w:hint="eastAsia" w:cs="Times New Roman"/>
                      <w:color w:val="auto"/>
                      <w:highlight w:val="none"/>
                      <w:lang w:val="en-US" w:eastAsia="zh-CN"/>
                    </w:rPr>
                  </w:pPr>
                  <w:r>
                    <w:rPr>
                      <w:rFonts w:hint="eastAsia" w:cs="Times New Roman"/>
                      <w:color w:val="auto"/>
                      <w:highlight w:val="none"/>
                      <w:lang w:val="en-US" w:eastAsia="zh-CN"/>
                    </w:rPr>
                    <w:t>1.0</w:t>
                  </w:r>
                </w:p>
              </w:tc>
            </w:tr>
          </w:tbl>
          <w:p w14:paraId="1936EF86">
            <w:pPr>
              <w:pStyle w:val="83"/>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outlineLvl w:val="9"/>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备注：以厂区中心地理坐标为原点（0,0,0）。</w:t>
            </w:r>
          </w:p>
          <w:p w14:paraId="0C13D4D8">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200"/>
              <w:textAlignment w:val="auto"/>
              <w:outlineLvl w:val="9"/>
              <w:rPr>
                <w:rFonts w:hint="default" w:ascii="Times New Roman" w:hAnsi="Times New Roman" w:cs="Times New Roman"/>
                <w:color w:val="auto"/>
                <w:spacing w:val="0"/>
                <w:sz w:val="24"/>
                <w:szCs w:val="24"/>
                <w:highlight w:val="none"/>
                <w:lang w:val="en-US" w:eastAsia="zh-CN"/>
              </w:rPr>
            </w:pPr>
            <w:r>
              <w:rPr>
                <w:rFonts w:hint="eastAsia" w:cs="Times New Roman"/>
                <w:color w:val="auto"/>
                <w:spacing w:val="0"/>
                <w:sz w:val="24"/>
                <w:szCs w:val="24"/>
                <w:highlight w:val="none"/>
                <w:lang w:val="en-US" w:eastAsia="zh-CN"/>
              </w:rPr>
              <w:t>2、</w:t>
            </w:r>
            <w:r>
              <w:rPr>
                <w:rFonts w:hint="default" w:ascii="Times New Roman" w:hAnsi="Times New Roman" w:cs="Times New Roman"/>
                <w:color w:val="auto"/>
                <w:spacing w:val="0"/>
                <w:sz w:val="24"/>
                <w:szCs w:val="24"/>
                <w:highlight w:val="none"/>
                <w:lang w:val="en-US" w:eastAsia="zh-CN"/>
              </w:rPr>
              <w:t>预测模</w:t>
            </w:r>
            <w:r>
              <w:rPr>
                <w:rFonts w:hint="eastAsia" w:cs="Times New Roman"/>
                <w:color w:val="auto"/>
                <w:spacing w:val="0"/>
                <w:sz w:val="24"/>
                <w:szCs w:val="24"/>
                <w:highlight w:val="none"/>
                <w:lang w:val="en-US" w:eastAsia="zh-CN"/>
              </w:rPr>
              <w:t>式</w:t>
            </w:r>
          </w:p>
          <w:p w14:paraId="0E8CA013">
            <w:pPr>
              <w:pStyle w:val="131"/>
              <w:keepNext w:val="0"/>
              <w:keepLines w:val="0"/>
              <w:pageBreakBefore w:val="0"/>
              <w:widowControl w:val="0"/>
              <w:kinsoku/>
              <w:wordWrap/>
              <w:overflowPunct/>
              <w:topLinePunct w:val="0"/>
              <w:autoSpaceDE/>
              <w:autoSpaceDN/>
              <w:bidi w:val="0"/>
              <w:adjustRightInd/>
              <w:snapToGrid/>
              <w:spacing w:line="480" w:lineRule="exact"/>
              <w:ind w:left="0" w:leftChars="0" w:firstLine="480" w:firstLineChars="200"/>
              <w:jc w:val="both"/>
              <w:textAlignment w:val="center"/>
              <w:rPr>
                <w:rFonts w:hint="default" w:ascii="Times New Roman" w:hAnsi="Times New Roman" w:cs="Times New Roman"/>
                <w:color w:val="auto"/>
                <w:spacing w:val="0"/>
                <w:sz w:val="24"/>
                <w:szCs w:val="24"/>
                <w:highlight w:val="none"/>
                <w:lang w:val="en-US" w:eastAsia="zh-CN"/>
              </w:rPr>
            </w:pPr>
            <w:r>
              <w:rPr>
                <w:rFonts w:hint="eastAsia" w:cs="Times New Roman"/>
                <w:color w:val="auto"/>
                <w:spacing w:val="0"/>
                <w:sz w:val="24"/>
                <w:szCs w:val="24"/>
                <w:highlight w:val="none"/>
                <w:lang w:val="en-US" w:eastAsia="zh-CN"/>
              </w:rPr>
              <w:t>（1）室内声源</w:t>
            </w:r>
          </w:p>
          <w:p w14:paraId="0B3BBD17">
            <w:pPr>
              <w:pStyle w:val="131"/>
              <w:keepNext w:val="0"/>
              <w:keepLines w:val="0"/>
              <w:pageBreakBefore w:val="0"/>
              <w:widowControl w:val="0"/>
              <w:kinsoku/>
              <w:wordWrap/>
              <w:overflowPunct/>
              <w:topLinePunct w:val="0"/>
              <w:autoSpaceDE/>
              <w:autoSpaceDN/>
              <w:bidi w:val="0"/>
              <w:adjustRightInd/>
              <w:snapToGrid/>
              <w:spacing w:line="480" w:lineRule="exact"/>
              <w:ind w:left="0" w:leftChars="0" w:firstLine="480" w:firstLineChars="200"/>
              <w:jc w:val="both"/>
              <w:textAlignment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pacing w:val="0"/>
                <w:sz w:val="24"/>
                <w:szCs w:val="24"/>
                <w:highlight w:val="none"/>
                <w:lang w:val="en-US" w:eastAsia="zh-CN"/>
              </w:rPr>
              <w:t>根据《环境影响评价技术导则 声环境》（HJ2.4-2021）的要求，本项目声环境影响预测模型采用导则中</w:t>
            </w:r>
            <w:r>
              <w:rPr>
                <w:rFonts w:hint="default" w:ascii="Times New Roman" w:hAnsi="Times New Roman" w:eastAsia="宋体" w:cs="Times New Roman"/>
                <w:color w:val="auto"/>
                <w:sz w:val="24"/>
                <w:szCs w:val="24"/>
                <w:highlight w:val="none"/>
                <w:lang w:eastAsia="zh-CN"/>
              </w:rPr>
              <w:t>附录A（规范性附录）户外声传播的衰减和附录B（规范性附录）中</w:t>
            </w:r>
            <w:r>
              <w:rPr>
                <w:rFonts w:hint="eastAsia"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B.1工业噪声预测计算模型</w:t>
            </w:r>
            <w:r>
              <w:rPr>
                <w:rFonts w:hint="eastAsia"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w:t>
            </w:r>
          </w:p>
          <w:p w14:paraId="55F3EF8C">
            <w:pPr>
              <w:pStyle w:val="131"/>
              <w:keepNext w:val="0"/>
              <w:keepLines w:val="0"/>
              <w:pageBreakBefore w:val="0"/>
              <w:widowControl w:val="0"/>
              <w:kinsoku/>
              <w:wordWrap/>
              <w:overflowPunct/>
              <w:topLinePunct w:val="0"/>
              <w:autoSpaceDE/>
              <w:autoSpaceDN/>
              <w:bidi w:val="0"/>
              <w:adjustRightInd w:val="0"/>
              <w:snapToGrid w:val="0"/>
              <w:spacing w:line="480" w:lineRule="exact"/>
              <w:jc w:val="both"/>
              <w:textAlignment w:val="center"/>
              <w:rPr>
                <w:rFonts w:hint="default" w:ascii="Times New Roman" w:hAnsi="Times New Roman" w:cs="Times New Roman"/>
                <w:color w:val="auto"/>
                <w:spacing w:val="0"/>
                <w:szCs w:val="24"/>
                <w:highlight w:val="none"/>
                <w:lang w:val="en-US" w:eastAsia="zh-CN"/>
              </w:rPr>
            </w:pPr>
            <w:r>
              <w:rPr>
                <w:rFonts w:hint="default" w:ascii="Times New Roman" w:hAnsi="Times New Roman" w:cs="Times New Roman"/>
                <w:color w:val="auto"/>
                <w:spacing w:val="0"/>
                <w:sz w:val="24"/>
                <w:szCs w:val="24"/>
                <w:highlight w:val="none"/>
              </w:rPr>
              <w:t>某一室内声源靠近围护结构处产生的倍频带声压级</w:t>
            </w:r>
          </w:p>
          <w:p w14:paraId="3B80A4D7">
            <w:pPr>
              <w:pStyle w:val="131"/>
              <w:adjustRightInd w:val="0"/>
              <w:snapToGrid w:val="0"/>
              <w:spacing w:line="240" w:lineRule="auto"/>
              <w:ind w:left="1320" w:hanging="1320" w:hangingChars="550"/>
              <w:jc w:val="center"/>
              <w:textAlignment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position w:val="-28"/>
                <w:sz w:val="24"/>
                <w:szCs w:val="24"/>
                <w:highlight w:val="none"/>
              </w:rPr>
              <w:object>
                <v:shape id="_x0000_i1026" o:spt="75" type="#_x0000_t75" style="height:41.65pt;width:169.25pt;" o:ole="t" filled="f" o:preferrelative="t" stroked="f" coordsize="21600,21600">
                  <v:path/>
                  <v:fill on="f" focussize="0,0"/>
                  <v:stroke on="f"/>
                  <v:imagedata r:id="rId25" o:title=""/>
                  <o:lock v:ext="edit" aspectratio="t"/>
                  <w10:wrap type="none"/>
                  <w10:anchorlock/>
                </v:shape>
                <o:OLEObject Type="Embed" ProgID="Equation.3" ShapeID="_x0000_i1026" DrawAspect="Content" ObjectID="_1468075726" r:id="rId24">
                  <o:LockedField>false</o:LockedField>
                </o:OLEObject>
              </w:object>
            </w:r>
          </w:p>
          <w:p w14:paraId="5EB6FCAF">
            <w:pPr>
              <w:pStyle w:val="131"/>
              <w:adjustRightInd w:val="0"/>
              <w:snapToGrid w:val="0"/>
              <w:spacing w:line="480" w:lineRule="exact"/>
              <w:ind w:left="1320" w:hanging="1320" w:hangingChars="550"/>
              <w:textAlignment w:val="center"/>
              <w:rPr>
                <w:rFonts w:hint="eastAsia" w:cs="Times New Roman"/>
                <w:color w:val="auto"/>
                <w:sz w:val="24"/>
                <w:szCs w:val="24"/>
                <w:highlight w:val="none"/>
                <w:lang w:val="en-US" w:eastAsia="zh-CN"/>
              </w:rPr>
            </w:pPr>
            <w:r>
              <w:rPr>
                <w:rFonts w:hint="default" w:ascii="Times New Roman" w:hAnsi="Times New Roman" w:cs="Times New Roman"/>
                <w:color w:val="auto"/>
                <w:sz w:val="24"/>
                <w:szCs w:val="24"/>
                <w:highlight w:val="none"/>
              </w:rPr>
              <w:t>式中</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L</w:t>
            </w:r>
            <w:r>
              <w:rPr>
                <w:rFonts w:hint="eastAsia" w:cs="Times New Roman"/>
                <w:color w:val="auto"/>
                <w:sz w:val="24"/>
                <w:szCs w:val="24"/>
                <w:highlight w:val="none"/>
                <w:vertAlign w:val="subscript"/>
                <w:lang w:val="en-US" w:eastAsia="zh-CN"/>
              </w:rPr>
              <w:t>p1</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靠近开口处（窗户）室内某倍频带的声压级或A声级，dB；</w:t>
            </w:r>
          </w:p>
          <w:p w14:paraId="526F294F">
            <w:pPr>
              <w:pStyle w:val="131"/>
              <w:adjustRightInd w:val="0"/>
              <w:snapToGrid w:val="0"/>
              <w:spacing w:line="480" w:lineRule="exact"/>
              <w:ind w:left="1318" w:leftChars="456" w:hanging="360" w:hangingChars="150"/>
              <w:textAlignment w:val="center"/>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L</w:t>
            </w:r>
            <w:r>
              <w:rPr>
                <w:rFonts w:hint="eastAsia" w:cs="Times New Roman"/>
                <w:color w:val="auto"/>
                <w:sz w:val="24"/>
                <w:szCs w:val="24"/>
                <w:highlight w:val="none"/>
                <w:vertAlign w:val="subscript"/>
                <w:lang w:val="en-US" w:eastAsia="zh-CN"/>
              </w:rPr>
              <w:t>w</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点声源声功率级（A计权或倍频带），dB；</w:t>
            </w:r>
          </w:p>
          <w:p w14:paraId="1B77A0E2">
            <w:pPr>
              <w:pStyle w:val="131"/>
              <w:adjustRightInd w:val="0"/>
              <w:snapToGrid w:val="0"/>
              <w:spacing w:line="480" w:lineRule="exact"/>
              <w:ind w:left="598" w:leftChars="285" w:firstLine="120" w:firstLineChars="50"/>
              <w:textAlignment w:val="center"/>
              <w:rPr>
                <w:rFonts w:hint="eastAsia" w:ascii="Times New Roman" w:hAnsi="Times New Roman" w:eastAsia="宋体" w:cs="Times New Roman"/>
                <w:i/>
                <w:color w:val="auto"/>
                <w:sz w:val="24"/>
                <w:szCs w:val="24"/>
                <w:highlight w:val="none"/>
                <w:lang w:eastAsia="zh-CN"/>
              </w:rPr>
            </w:pPr>
            <w:r>
              <w:rPr>
                <w:rFonts w:hint="default" w:ascii="Times New Roman" w:hAnsi="Times New Roman" w:cs="Times New Roman"/>
                <w:i/>
                <w:color w:val="auto"/>
                <w:sz w:val="24"/>
                <w:szCs w:val="24"/>
                <w:highlight w:val="none"/>
              </w:rPr>
              <w:t>Q</w:t>
            </w:r>
            <w:r>
              <w:rPr>
                <w:rFonts w:hint="default" w:ascii="Times New Roman" w:hAnsi="Times New Roman" w:cs="Times New Roman"/>
                <w:color w:val="auto"/>
                <w:sz w:val="24"/>
                <w:szCs w:val="24"/>
                <w:highlight w:val="none"/>
              </w:rPr>
              <w:t>—指向性因数，通常对无指向性声源，当声源放在房间中心时，</w:t>
            </w:r>
            <w:r>
              <w:rPr>
                <w:rFonts w:hint="default" w:ascii="Times New Roman" w:hAnsi="Times New Roman" w:cs="Times New Roman"/>
                <w:i/>
                <w:color w:val="auto"/>
                <w:sz w:val="24"/>
                <w:szCs w:val="24"/>
                <w:highlight w:val="none"/>
              </w:rPr>
              <w:t>Q</w:t>
            </w:r>
            <w:r>
              <w:rPr>
                <w:rFonts w:hint="default" w:ascii="Times New Roman" w:hAnsi="Times New Roman" w:cs="Times New Roman"/>
                <w:color w:val="auto"/>
                <w:sz w:val="24"/>
                <w:szCs w:val="24"/>
                <w:highlight w:val="none"/>
              </w:rPr>
              <w:t>=1，当放在一面墙的中心时，</w:t>
            </w:r>
            <w:r>
              <w:rPr>
                <w:rFonts w:hint="default" w:ascii="Times New Roman" w:hAnsi="Times New Roman" w:cs="Times New Roman"/>
                <w:i/>
                <w:color w:val="auto"/>
                <w:sz w:val="24"/>
                <w:szCs w:val="24"/>
                <w:highlight w:val="none"/>
              </w:rPr>
              <w:t>Q</w:t>
            </w:r>
            <w:r>
              <w:rPr>
                <w:rFonts w:hint="default" w:ascii="Times New Roman" w:hAnsi="Times New Roman" w:cs="Times New Roman"/>
                <w:color w:val="auto"/>
                <w:sz w:val="24"/>
                <w:szCs w:val="24"/>
                <w:highlight w:val="none"/>
              </w:rPr>
              <w:t>=2；当放在两面墙夹角处时，</w:t>
            </w:r>
            <w:r>
              <w:rPr>
                <w:rFonts w:hint="default" w:ascii="Times New Roman" w:hAnsi="Times New Roman" w:cs="Times New Roman"/>
                <w:i/>
                <w:color w:val="auto"/>
                <w:sz w:val="24"/>
                <w:szCs w:val="24"/>
                <w:highlight w:val="none"/>
              </w:rPr>
              <w:t>Q</w:t>
            </w:r>
            <w:r>
              <w:rPr>
                <w:rFonts w:hint="default" w:ascii="Times New Roman" w:hAnsi="Times New Roman" w:cs="Times New Roman"/>
                <w:color w:val="auto"/>
                <w:sz w:val="24"/>
                <w:szCs w:val="24"/>
                <w:highlight w:val="none"/>
              </w:rPr>
              <w:t>=4，当放在三面墙夹角处时，</w:t>
            </w:r>
            <w:r>
              <w:rPr>
                <w:rFonts w:hint="default" w:ascii="Times New Roman" w:hAnsi="Times New Roman" w:cs="Times New Roman"/>
                <w:i/>
                <w:color w:val="auto"/>
                <w:sz w:val="24"/>
                <w:szCs w:val="24"/>
                <w:highlight w:val="none"/>
              </w:rPr>
              <w:t>Q</w:t>
            </w:r>
            <w:r>
              <w:rPr>
                <w:rFonts w:hint="default" w:ascii="Times New Roman" w:hAnsi="Times New Roman" w:cs="Times New Roman"/>
                <w:color w:val="auto"/>
                <w:sz w:val="24"/>
                <w:szCs w:val="24"/>
                <w:highlight w:val="none"/>
              </w:rPr>
              <w:t>=8</w:t>
            </w:r>
            <w:r>
              <w:rPr>
                <w:rFonts w:hint="eastAsia" w:cs="Times New Roman"/>
                <w:color w:val="auto"/>
                <w:sz w:val="24"/>
                <w:szCs w:val="24"/>
                <w:highlight w:val="none"/>
                <w:lang w:eastAsia="zh-CN"/>
              </w:rPr>
              <w:t>。</w:t>
            </w:r>
          </w:p>
          <w:p w14:paraId="5A7739E3">
            <w:pPr>
              <w:pStyle w:val="131"/>
              <w:adjustRightInd w:val="0"/>
              <w:snapToGrid w:val="0"/>
              <w:spacing w:line="480" w:lineRule="exact"/>
              <w:ind w:left="598" w:leftChars="285" w:firstLine="120" w:firstLineChars="50"/>
              <w:textAlignment w:val="center"/>
              <w:rPr>
                <w:rFonts w:hint="default" w:ascii="Times New Roman" w:hAnsi="Times New Roman" w:cs="Times New Roman"/>
                <w:color w:val="auto"/>
                <w:sz w:val="24"/>
                <w:szCs w:val="24"/>
                <w:highlight w:val="none"/>
              </w:rPr>
            </w:pPr>
            <w:r>
              <w:rPr>
                <w:rFonts w:hint="default" w:ascii="Times New Roman" w:hAnsi="Times New Roman" w:cs="Times New Roman"/>
                <w:i/>
                <w:color w:val="auto"/>
                <w:sz w:val="24"/>
                <w:szCs w:val="24"/>
                <w:highlight w:val="none"/>
              </w:rPr>
              <w:t>R</w:t>
            </w:r>
            <w:r>
              <w:rPr>
                <w:rFonts w:hint="default" w:ascii="Times New Roman" w:hAnsi="Times New Roman" w:cs="Times New Roman"/>
                <w:color w:val="auto"/>
                <w:sz w:val="24"/>
                <w:szCs w:val="24"/>
                <w:highlight w:val="none"/>
              </w:rPr>
              <w:t>—房间常数，</w:t>
            </w:r>
            <w:r>
              <w:rPr>
                <w:rFonts w:hint="default" w:ascii="Times New Roman" w:hAnsi="Times New Roman" w:cs="Times New Roman"/>
                <w:i/>
                <w:color w:val="auto"/>
                <w:sz w:val="24"/>
                <w:szCs w:val="24"/>
                <w:highlight w:val="none"/>
              </w:rPr>
              <w:t>R</w:t>
            </w:r>
            <w:r>
              <w:rPr>
                <w:rFonts w:hint="default" w:ascii="Times New Roman" w:hAnsi="Times New Roman" w:cs="Times New Roman"/>
                <w:color w:val="auto"/>
                <w:sz w:val="24"/>
                <w:szCs w:val="24"/>
                <w:highlight w:val="none"/>
              </w:rPr>
              <w:t>=</w:t>
            </w:r>
            <w:r>
              <w:rPr>
                <w:rFonts w:hint="default" w:ascii="Times New Roman" w:hAnsi="Times New Roman" w:cs="Times New Roman"/>
                <w:i/>
                <w:color w:val="auto"/>
                <w:sz w:val="24"/>
                <w:szCs w:val="24"/>
                <w:highlight w:val="none"/>
              </w:rPr>
              <w:t>S</w:t>
            </w:r>
            <w:r>
              <w:rPr>
                <w:rFonts w:hint="default" w:ascii="Times New Roman" w:hAnsi="Times New Roman" w:cs="Times New Roman"/>
                <w:color w:val="auto"/>
                <w:sz w:val="24"/>
                <w:szCs w:val="24"/>
                <w:highlight w:val="none"/>
              </w:rPr>
              <w:t>α/(1−α)，</w:t>
            </w:r>
            <w:r>
              <w:rPr>
                <w:rFonts w:hint="default" w:ascii="Times New Roman" w:hAnsi="Times New Roman" w:cs="Times New Roman"/>
                <w:i/>
                <w:color w:val="auto"/>
                <w:sz w:val="24"/>
                <w:szCs w:val="24"/>
                <w:highlight w:val="none"/>
              </w:rPr>
              <w:t>S</w:t>
            </w:r>
            <w:r>
              <w:rPr>
                <w:rFonts w:hint="default" w:ascii="Times New Roman" w:hAnsi="Times New Roman" w:cs="Times New Roman"/>
                <w:color w:val="auto"/>
                <w:sz w:val="24"/>
                <w:szCs w:val="24"/>
                <w:highlight w:val="none"/>
              </w:rPr>
              <w:t>为房间内表面面积，m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，α为平均吸声系数；</w:t>
            </w:r>
          </w:p>
          <w:p w14:paraId="29C0C227">
            <w:pPr>
              <w:pStyle w:val="131"/>
              <w:adjustRightInd w:val="0"/>
              <w:snapToGrid w:val="0"/>
              <w:spacing w:line="480" w:lineRule="exact"/>
              <w:ind w:left="598" w:leftChars="285" w:firstLine="120" w:firstLineChars="50"/>
              <w:textAlignment w:val="center"/>
              <w:rPr>
                <w:rFonts w:hint="default" w:ascii="Times New Roman" w:hAnsi="Times New Roman" w:cs="Times New Roman"/>
                <w:color w:val="auto"/>
                <w:sz w:val="24"/>
                <w:szCs w:val="24"/>
                <w:highlight w:val="none"/>
              </w:rPr>
            </w:pPr>
            <w:r>
              <w:rPr>
                <w:rFonts w:hint="default" w:ascii="Times New Roman" w:hAnsi="Times New Roman" w:cs="Times New Roman"/>
                <w:i/>
                <w:color w:val="auto"/>
                <w:sz w:val="24"/>
                <w:szCs w:val="24"/>
                <w:highlight w:val="none"/>
              </w:rPr>
              <w:t>r</w:t>
            </w:r>
            <w:r>
              <w:rPr>
                <w:rFonts w:hint="default" w:ascii="Times New Roman" w:hAnsi="Times New Roman" w:cs="Times New Roman"/>
                <w:color w:val="auto"/>
                <w:sz w:val="24"/>
                <w:szCs w:val="24"/>
                <w:highlight w:val="none"/>
              </w:rPr>
              <w:t>—声源到靠近围护结构某点处的距离，m。</w:t>
            </w:r>
          </w:p>
          <w:p w14:paraId="243020D6">
            <w:pPr>
              <w:pStyle w:val="131"/>
              <w:adjustRightInd w:val="0"/>
              <w:snapToGrid w:val="0"/>
              <w:spacing w:line="480" w:lineRule="exact"/>
              <w:ind w:firstLine="480" w:firstLineChars="200"/>
              <w:textAlignment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所有室内声源在围护结构处产生的</w:t>
            </w:r>
            <w:r>
              <w:rPr>
                <w:rFonts w:hint="default" w:ascii="Times New Roman" w:hAnsi="Times New Roman" w:cs="Times New Roman"/>
                <w:i/>
                <w:color w:val="auto"/>
                <w:sz w:val="24"/>
                <w:szCs w:val="24"/>
                <w:highlight w:val="none"/>
              </w:rPr>
              <w:t>i</w:t>
            </w:r>
            <w:r>
              <w:rPr>
                <w:rFonts w:hint="default" w:ascii="Times New Roman" w:hAnsi="Times New Roman" w:cs="Times New Roman"/>
                <w:color w:val="auto"/>
                <w:sz w:val="24"/>
                <w:szCs w:val="24"/>
                <w:highlight w:val="none"/>
              </w:rPr>
              <w:t>倍频带叠加声压级：</w:t>
            </w:r>
          </w:p>
          <w:p w14:paraId="58B28BB3">
            <w:pPr>
              <w:pStyle w:val="131"/>
              <w:adjustRightInd w:val="0"/>
              <w:snapToGrid w:val="0"/>
              <w:spacing w:line="240" w:lineRule="auto"/>
              <w:ind w:firstLine="198"/>
              <w:jc w:val="center"/>
              <w:textAlignment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position w:val="-34"/>
                <w:sz w:val="24"/>
                <w:szCs w:val="24"/>
                <w:highlight w:val="none"/>
              </w:rPr>
              <w:object>
                <v:shape id="_x0000_i1027" o:spt="75" type="#_x0000_t75" style="height:42.75pt;width:142.8pt;" o:ole="t" filled="f" o:preferrelative="t" stroked="f" coordsize="21600,21600">
                  <v:path/>
                  <v:fill on="f" focussize="0,0"/>
                  <v:stroke on="f"/>
                  <v:imagedata r:id="rId27" o:title=""/>
                  <o:lock v:ext="edit" aspectratio="t"/>
                  <w10:wrap type="none"/>
                  <w10:anchorlock/>
                </v:shape>
                <o:OLEObject Type="Embed" ProgID="Equation.3" ShapeID="_x0000_i1027" DrawAspect="Content" ObjectID="_1468075727" r:id="rId26">
                  <o:LockedField>false</o:LockedField>
                </o:OLEObject>
              </w:object>
            </w:r>
          </w:p>
          <w:p w14:paraId="51AD4380">
            <w:pPr>
              <w:pStyle w:val="131"/>
              <w:adjustRightInd w:val="0"/>
              <w:snapToGrid w:val="0"/>
              <w:spacing w:line="480" w:lineRule="exact"/>
              <w:ind w:left="1920" w:hanging="1920" w:hangingChars="800"/>
              <w:textAlignment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w:t>
            </w:r>
            <w:r>
              <w:rPr>
                <w:rFonts w:hint="eastAsia" w:cs="Times New Roman"/>
                <w:color w:val="auto"/>
                <w:sz w:val="24"/>
                <w:szCs w:val="24"/>
                <w:highlight w:val="none"/>
                <w:lang w:eastAsia="zh-CN"/>
              </w:rPr>
              <w:t>：</w:t>
            </w:r>
            <w:r>
              <w:rPr>
                <w:rFonts w:hint="default" w:ascii="Times New Roman" w:hAnsi="Times New Roman" w:cs="Times New Roman"/>
                <w:i/>
                <w:color w:val="auto"/>
                <w:sz w:val="24"/>
                <w:szCs w:val="24"/>
                <w:highlight w:val="none"/>
              </w:rPr>
              <w:t>L</w:t>
            </w:r>
            <w:r>
              <w:rPr>
                <w:rFonts w:hint="default" w:ascii="Times New Roman" w:hAnsi="Times New Roman" w:cs="Times New Roman"/>
                <w:color w:val="auto"/>
                <w:sz w:val="24"/>
                <w:szCs w:val="24"/>
                <w:highlight w:val="none"/>
                <w:vertAlign w:val="subscript"/>
              </w:rPr>
              <w:t>p1i</w:t>
            </w:r>
            <w:r>
              <w:rPr>
                <w:rFonts w:hint="default" w:ascii="Times New Roman" w:hAnsi="Times New Roman" w:cs="Times New Roman"/>
                <w:color w:val="auto"/>
                <w:sz w:val="24"/>
                <w:szCs w:val="24"/>
                <w:highlight w:val="none"/>
              </w:rPr>
              <w:t>(</w:t>
            </w:r>
            <w:r>
              <w:rPr>
                <w:rFonts w:hint="default" w:ascii="Times New Roman" w:hAnsi="Times New Roman" w:cs="Times New Roman"/>
                <w:i/>
                <w:color w:val="auto"/>
                <w:sz w:val="24"/>
                <w:szCs w:val="24"/>
                <w:highlight w:val="none"/>
              </w:rPr>
              <w:t>T</w:t>
            </w:r>
            <w:r>
              <w:rPr>
                <w:rFonts w:hint="default" w:ascii="Times New Roman" w:hAnsi="Times New Roman" w:cs="Times New Roman"/>
                <w:color w:val="auto"/>
                <w:sz w:val="24"/>
                <w:szCs w:val="24"/>
                <w:highlight w:val="none"/>
              </w:rPr>
              <w:t>)—靠近围护结构处室内</w:t>
            </w:r>
            <w:r>
              <w:rPr>
                <w:rFonts w:hint="default" w:ascii="Times New Roman" w:hAnsi="Times New Roman" w:cs="Times New Roman"/>
                <w:i/>
                <w:iCs/>
                <w:color w:val="auto"/>
                <w:sz w:val="24"/>
                <w:szCs w:val="24"/>
                <w:highlight w:val="none"/>
              </w:rPr>
              <w:t>N</w:t>
            </w:r>
            <w:r>
              <w:rPr>
                <w:rFonts w:hint="default" w:ascii="Times New Roman" w:hAnsi="Times New Roman" w:cs="Times New Roman"/>
                <w:color w:val="auto"/>
                <w:sz w:val="24"/>
                <w:szCs w:val="24"/>
                <w:highlight w:val="none"/>
              </w:rPr>
              <w:t>个声源</w:t>
            </w:r>
            <w:r>
              <w:rPr>
                <w:rFonts w:hint="default" w:ascii="Times New Roman" w:hAnsi="Times New Roman" w:cs="Times New Roman"/>
                <w:i/>
                <w:iCs/>
                <w:color w:val="auto"/>
                <w:sz w:val="24"/>
                <w:szCs w:val="24"/>
                <w:highlight w:val="none"/>
              </w:rPr>
              <w:t>i</w:t>
            </w:r>
            <w:r>
              <w:rPr>
                <w:rFonts w:hint="default" w:ascii="Times New Roman" w:hAnsi="Times New Roman" w:cs="Times New Roman"/>
                <w:color w:val="auto"/>
                <w:sz w:val="24"/>
                <w:szCs w:val="24"/>
                <w:highlight w:val="none"/>
              </w:rPr>
              <w:t>倍频带的叠加声压级，dB；</w:t>
            </w:r>
          </w:p>
          <w:p w14:paraId="36F7C242">
            <w:pPr>
              <w:pStyle w:val="131"/>
              <w:adjustRightInd w:val="0"/>
              <w:snapToGrid w:val="0"/>
              <w:spacing w:line="480" w:lineRule="exact"/>
              <w:ind w:firstLine="676" w:firstLineChars="282"/>
              <w:textAlignment w:val="center"/>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L</w:t>
            </w:r>
            <w:r>
              <w:rPr>
                <w:rFonts w:hint="default" w:ascii="Times New Roman" w:hAnsi="Times New Roman" w:cs="Times New Roman"/>
                <w:iCs/>
                <w:color w:val="auto"/>
                <w:sz w:val="24"/>
                <w:szCs w:val="24"/>
                <w:highlight w:val="none"/>
                <w:vertAlign w:val="subscript"/>
              </w:rPr>
              <w:t>p</w:t>
            </w:r>
            <w:r>
              <w:rPr>
                <w:rFonts w:hint="default" w:ascii="Times New Roman" w:hAnsi="Times New Roman" w:cs="Times New Roman"/>
                <w:color w:val="auto"/>
                <w:sz w:val="24"/>
                <w:szCs w:val="24"/>
                <w:highlight w:val="none"/>
                <w:vertAlign w:val="subscript"/>
              </w:rPr>
              <w:t>1</w:t>
            </w:r>
            <w:r>
              <w:rPr>
                <w:rFonts w:hint="default" w:ascii="Times New Roman" w:hAnsi="Times New Roman" w:cs="Times New Roman"/>
                <w:iCs/>
                <w:color w:val="auto"/>
                <w:sz w:val="24"/>
                <w:szCs w:val="24"/>
                <w:highlight w:val="none"/>
                <w:vertAlign w:val="subscript"/>
              </w:rPr>
              <w:t>ij</w:t>
            </w:r>
            <w:r>
              <w:rPr>
                <w:rFonts w:hint="default" w:ascii="Times New Roman" w:hAnsi="Times New Roman" w:cs="Times New Roman"/>
                <w:color w:val="auto"/>
                <w:sz w:val="24"/>
                <w:szCs w:val="24"/>
                <w:highlight w:val="none"/>
              </w:rPr>
              <w:t>—室内</w:t>
            </w:r>
            <w:r>
              <w:rPr>
                <w:rFonts w:hint="default" w:ascii="Times New Roman" w:hAnsi="Times New Roman" w:cs="Times New Roman"/>
                <w:i/>
                <w:iCs/>
                <w:color w:val="auto"/>
                <w:sz w:val="24"/>
                <w:szCs w:val="24"/>
                <w:highlight w:val="none"/>
              </w:rPr>
              <w:t>j</w:t>
            </w:r>
            <w:r>
              <w:rPr>
                <w:rFonts w:hint="default" w:ascii="Times New Roman" w:hAnsi="Times New Roman" w:cs="Times New Roman"/>
                <w:color w:val="auto"/>
                <w:sz w:val="24"/>
                <w:szCs w:val="24"/>
                <w:highlight w:val="none"/>
              </w:rPr>
              <w:t>声源</w:t>
            </w:r>
            <w:r>
              <w:rPr>
                <w:rFonts w:hint="default" w:ascii="Times New Roman" w:hAnsi="Times New Roman" w:cs="Times New Roman"/>
                <w:i/>
                <w:iCs/>
                <w:color w:val="auto"/>
                <w:sz w:val="24"/>
                <w:szCs w:val="24"/>
                <w:highlight w:val="none"/>
              </w:rPr>
              <w:t>i</w:t>
            </w:r>
            <w:r>
              <w:rPr>
                <w:rFonts w:hint="default" w:ascii="Times New Roman" w:hAnsi="Times New Roman" w:cs="Times New Roman"/>
                <w:color w:val="auto"/>
                <w:sz w:val="24"/>
                <w:szCs w:val="24"/>
                <w:highlight w:val="none"/>
              </w:rPr>
              <w:t>倍频带的声压级，dB；</w:t>
            </w:r>
          </w:p>
          <w:p w14:paraId="4951262E">
            <w:pPr>
              <w:pStyle w:val="131"/>
              <w:adjustRightInd w:val="0"/>
              <w:snapToGrid w:val="0"/>
              <w:spacing w:line="480" w:lineRule="exact"/>
              <w:ind w:firstLine="796" w:firstLineChars="332"/>
              <w:textAlignment w:val="center"/>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N</w:t>
            </w:r>
            <w:r>
              <w:rPr>
                <w:rFonts w:hint="default" w:ascii="Times New Roman" w:hAnsi="Times New Roman" w:cs="Times New Roman"/>
                <w:color w:val="auto"/>
                <w:sz w:val="24"/>
                <w:szCs w:val="24"/>
                <w:highlight w:val="none"/>
              </w:rPr>
              <w:t>—室内声源总数。</w:t>
            </w:r>
          </w:p>
          <w:p w14:paraId="0F12C4D7">
            <w:pPr>
              <w:pStyle w:val="131"/>
              <w:adjustRightInd w:val="0"/>
              <w:snapToGrid w:val="0"/>
              <w:spacing w:line="480" w:lineRule="exact"/>
              <w:ind w:firstLine="480" w:firstLineChars="200"/>
              <w:textAlignment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无指向性点声源几何发散衰减的基本公式是：</w:t>
            </w:r>
          </w:p>
          <w:p w14:paraId="6876D148">
            <w:pPr>
              <w:pStyle w:val="131"/>
              <w:adjustRightInd w:val="0"/>
              <w:snapToGrid w:val="0"/>
              <w:spacing w:line="240" w:lineRule="auto"/>
              <w:ind w:firstLine="198"/>
              <w:jc w:val="center"/>
              <w:textAlignment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position w:val="-30"/>
                <w:sz w:val="24"/>
                <w:szCs w:val="24"/>
                <w:highlight w:val="none"/>
              </w:rPr>
              <w:object>
                <v:shape id="_x0000_i1028" o:spt="75" type="#_x0000_t75" style="height:37.05pt;width:130.9pt;" o:ole="t" filled="f" o:preferrelative="t" stroked="f" coordsize="21600,21600">
                  <v:path/>
                  <v:fill on="f" focussize="0,0"/>
                  <v:stroke on="f"/>
                  <v:imagedata r:id="rId29" o:title=""/>
                  <o:lock v:ext="edit" aspectratio="t"/>
                  <w10:wrap type="none"/>
                  <w10:anchorlock/>
                </v:shape>
                <o:OLEObject Type="Embed" ProgID="Equation.3" ShapeID="_x0000_i1028" DrawAspect="Content" ObjectID="_1468075728" r:id="rId28">
                  <o:LockedField>false</o:LockedField>
                </o:OLEObject>
              </w:object>
            </w:r>
          </w:p>
          <w:p w14:paraId="486257DA">
            <w:pPr>
              <w:adjustRightInd w:val="0"/>
              <w:snapToGrid w:val="0"/>
              <w:spacing w:line="480" w:lineRule="exact"/>
              <w:ind w:firstLine="240" w:firstLineChars="100"/>
              <w:textAlignment w:val="center"/>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式中</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i/>
                <w:color w:val="auto"/>
                <w:sz w:val="24"/>
                <w:szCs w:val="24"/>
                <w:highlight w:val="none"/>
              </w:rPr>
              <w:t>L</w:t>
            </w:r>
            <w:r>
              <w:rPr>
                <w:rFonts w:hint="default" w:ascii="Times New Roman" w:hAnsi="Times New Roman" w:cs="Times New Roman"/>
                <w:color w:val="auto"/>
                <w:sz w:val="24"/>
                <w:szCs w:val="24"/>
                <w:highlight w:val="none"/>
                <w:vertAlign w:val="subscript"/>
              </w:rPr>
              <w:t>p</w:t>
            </w:r>
            <w:r>
              <w:rPr>
                <w:rFonts w:hint="default" w:ascii="Times New Roman" w:hAnsi="Times New Roman" w:cs="Times New Roman"/>
                <w:color w:val="auto"/>
                <w:sz w:val="24"/>
                <w:szCs w:val="24"/>
                <w:highlight w:val="none"/>
              </w:rPr>
              <w:t>(</w:t>
            </w:r>
            <w:r>
              <w:rPr>
                <w:rFonts w:hint="default" w:ascii="Times New Roman" w:hAnsi="Times New Roman" w:cs="Times New Roman"/>
                <w:i/>
                <w:color w:val="auto"/>
                <w:sz w:val="24"/>
                <w:szCs w:val="24"/>
                <w:highlight w:val="none"/>
              </w:rPr>
              <w:t>r</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预测点处声压级，</w:t>
            </w:r>
            <w:r>
              <w:rPr>
                <w:rFonts w:hint="default"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p>
          <w:p w14:paraId="0F03AE5D">
            <w:pPr>
              <w:adjustRightInd w:val="0"/>
              <w:snapToGrid w:val="0"/>
              <w:spacing w:line="480" w:lineRule="exact"/>
              <w:ind w:firstLine="948" w:firstLineChars="395"/>
              <w:textAlignment w:val="center"/>
              <w:rPr>
                <w:rFonts w:hint="default" w:ascii="Times New Roman" w:hAnsi="Times New Roman" w:cs="Times New Roman"/>
                <w:color w:val="auto"/>
                <w:sz w:val="24"/>
                <w:szCs w:val="24"/>
                <w:highlight w:val="none"/>
              </w:rPr>
            </w:pPr>
            <w:r>
              <w:rPr>
                <w:rFonts w:hint="default" w:ascii="Times New Roman" w:hAnsi="Times New Roman" w:cs="Times New Roman"/>
                <w:i/>
                <w:color w:val="auto"/>
                <w:sz w:val="24"/>
                <w:szCs w:val="24"/>
                <w:highlight w:val="none"/>
              </w:rPr>
              <w:t>L</w:t>
            </w:r>
            <w:r>
              <w:rPr>
                <w:rFonts w:hint="default" w:ascii="Times New Roman" w:hAnsi="Times New Roman" w:cs="Times New Roman"/>
                <w:color w:val="auto"/>
                <w:sz w:val="24"/>
                <w:szCs w:val="24"/>
                <w:highlight w:val="none"/>
                <w:vertAlign w:val="subscript"/>
              </w:rPr>
              <w:t>p</w:t>
            </w:r>
            <w:r>
              <w:rPr>
                <w:rFonts w:hint="default" w:ascii="Times New Roman" w:hAnsi="Times New Roman" w:cs="Times New Roman"/>
                <w:color w:val="auto"/>
                <w:sz w:val="24"/>
                <w:szCs w:val="24"/>
                <w:highlight w:val="none"/>
              </w:rPr>
              <w:t>(</w:t>
            </w:r>
            <w:r>
              <w:rPr>
                <w:rFonts w:hint="default" w:ascii="Times New Roman" w:hAnsi="Times New Roman" w:cs="Times New Roman"/>
                <w:i/>
                <w:color w:val="auto"/>
                <w:sz w:val="24"/>
                <w:szCs w:val="24"/>
                <w:highlight w:val="none"/>
              </w:rPr>
              <w:t>r</w:t>
            </w:r>
            <w:r>
              <w:rPr>
                <w:rFonts w:hint="default" w:ascii="Times New Roman" w:hAnsi="Times New Roman" w:cs="Times New Roman"/>
                <w:i/>
                <w:color w:val="auto"/>
                <w:sz w:val="24"/>
                <w:szCs w:val="24"/>
                <w:highlight w:val="none"/>
                <w:vertAlign w:val="subscript"/>
              </w:rPr>
              <w:t>0</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参考位置</w:t>
            </w:r>
            <w:r>
              <w:rPr>
                <w:rFonts w:hint="default" w:ascii="Times New Roman" w:hAnsi="Times New Roman" w:cs="Times New Roman"/>
                <w:i/>
                <w:color w:val="auto"/>
                <w:sz w:val="24"/>
                <w:szCs w:val="24"/>
                <w:highlight w:val="none"/>
              </w:rPr>
              <w:t>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处的</w:t>
            </w:r>
            <w:r>
              <w:rPr>
                <w:rFonts w:hint="eastAsia" w:ascii="Times New Roman" w:hAnsi="Times New Roman" w:cs="Times New Roman"/>
                <w:color w:val="auto"/>
                <w:sz w:val="24"/>
                <w:szCs w:val="24"/>
                <w:highlight w:val="none"/>
                <w:lang w:val="en-US" w:eastAsia="zh-CN"/>
              </w:rPr>
              <w:t>声压级</w:t>
            </w:r>
            <w:r>
              <w:rPr>
                <w:rFonts w:hint="default" w:ascii="Times New Roman" w:hAnsi="Times New Roman" w:cs="Times New Roman"/>
                <w:color w:val="auto"/>
                <w:sz w:val="24"/>
                <w:szCs w:val="24"/>
                <w:highlight w:val="none"/>
              </w:rPr>
              <w:t>，dB；</w:t>
            </w:r>
          </w:p>
          <w:p w14:paraId="08290124">
            <w:pPr>
              <w:pStyle w:val="131"/>
              <w:adjustRightInd w:val="0"/>
              <w:snapToGrid w:val="0"/>
              <w:spacing w:line="480" w:lineRule="exact"/>
              <w:ind w:firstLine="916" w:firstLineChars="382"/>
              <w:textAlignment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i/>
                <w:color w:val="auto"/>
                <w:sz w:val="24"/>
                <w:szCs w:val="24"/>
                <w:highlight w:val="none"/>
              </w:rPr>
              <w:t>r</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预测点距声源的距离；</w:t>
            </w:r>
          </w:p>
          <w:p w14:paraId="6928870B">
            <w:pPr>
              <w:pStyle w:val="131"/>
              <w:adjustRightInd w:val="0"/>
              <w:snapToGrid w:val="0"/>
              <w:spacing w:line="480" w:lineRule="exact"/>
              <w:ind w:firstLine="916" w:firstLineChars="382"/>
              <w:textAlignment w:val="center"/>
              <w:rPr>
                <w:rFonts w:hint="default" w:ascii="Times New Roman" w:hAnsi="Times New Roman" w:cs="Times New Roman"/>
                <w:color w:val="auto"/>
                <w:sz w:val="24"/>
                <w:szCs w:val="24"/>
                <w:highlight w:val="none"/>
              </w:rPr>
            </w:pPr>
            <w:r>
              <w:rPr>
                <w:rFonts w:hint="default" w:ascii="Times New Roman" w:hAnsi="Times New Roman" w:cs="Times New Roman"/>
                <w:i/>
                <w:color w:val="auto"/>
                <w:sz w:val="24"/>
                <w:szCs w:val="24"/>
                <w:highlight w:val="none"/>
              </w:rPr>
              <w:t>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参考位置</w:t>
            </w:r>
            <w:r>
              <w:rPr>
                <w:rFonts w:hint="default" w:ascii="Times New Roman" w:hAnsi="Times New Roman" w:cs="Times New Roman"/>
                <w:color w:val="auto"/>
                <w:sz w:val="24"/>
                <w:szCs w:val="24"/>
                <w:highlight w:val="none"/>
              </w:rPr>
              <w:t>距声源的距离，m。</w:t>
            </w:r>
          </w:p>
          <w:p w14:paraId="06460CBD">
            <w:pPr>
              <w:pStyle w:val="134"/>
              <w:autoSpaceDE w:val="0"/>
              <w:autoSpaceDN w:val="0"/>
              <w:snapToGrid w:val="0"/>
              <w:spacing w:line="480" w:lineRule="exact"/>
              <w:ind w:firstLine="460" w:firstLineChars="192"/>
              <w:jc w:val="both"/>
              <w:textAlignment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建设项目声源在预测点产生的等效声级贡献值(</w:t>
            </w:r>
            <w:r>
              <w:rPr>
                <w:rFonts w:hint="default" w:ascii="Times New Roman" w:hAnsi="Times New Roman" w:cs="Times New Roman"/>
                <w:i/>
                <w:color w:val="auto"/>
                <w:szCs w:val="24"/>
                <w:highlight w:val="none"/>
              </w:rPr>
              <w:t>L</w:t>
            </w:r>
            <w:r>
              <w:rPr>
                <w:rFonts w:hint="default" w:ascii="Times New Roman" w:hAnsi="Times New Roman" w:cs="Times New Roman"/>
                <w:color w:val="auto"/>
                <w:szCs w:val="24"/>
                <w:highlight w:val="none"/>
                <w:vertAlign w:val="subscript"/>
              </w:rPr>
              <w:t>eqg</w:t>
            </w:r>
            <w:r>
              <w:rPr>
                <w:rFonts w:hint="default" w:ascii="Times New Roman" w:hAnsi="Times New Roman" w:cs="Times New Roman"/>
                <w:color w:val="auto"/>
                <w:szCs w:val="24"/>
                <w:highlight w:val="none"/>
              </w:rPr>
              <w:t>)计算公式：</w:t>
            </w:r>
          </w:p>
          <w:p w14:paraId="47BE1940">
            <w:pPr>
              <w:pStyle w:val="134"/>
              <w:autoSpaceDE w:val="0"/>
              <w:autoSpaceDN w:val="0"/>
              <w:snapToGrid w:val="0"/>
              <w:spacing w:line="240" w:lineRule="auto"/>
              <w:ind w:firstLine="198"/>
              <w:jc w:val="center"/>
              <w:textAlignment w:val="center"/>
              <w:rPr>
                <w:rFonts w:hint="default" w:ascii="Times New Roman" w:hAnsi="Times New Roman" w:cs="Times New Roman"/>
                <w:color w:val="auto"/>
                <w:szCs w:val="24"/>
                <w:highlight w:val="none"/>
              </w:rPr>
            </w:pPr>
            <w:r>
              <w:rPr>
                <w:rFonts w:hint="default" w:ascii="Times New Roman" w:hAnsi="Times New Roman" w:cs="Times New Roman"/>
                <w:color w:val="auto"/>
                <w:position w:val="-30"/>
                <w:szCs w:val="24"/>
                <w:highlight w:val="none"/>
              </w:rPr>
              <w:object>
                <v:shape id="_x0000_i1029" o:spt="75" type="#_x0000_t75" style="height:38.9pt;width:143.45pt;" o:ole="t" filled="f" o:preferrelative="t" stroked="f" coordsize="21600,21600">
                  <v:path/>
                  <v:fill on="f" focussize="0,0"/>
                  <v:stroke on="f"/>
                  <v:imagedata r:id="rId31" o:title=""/>
                  <o:lock v:ext="edit" aspectratio="t"/>
                  <w10:wrap type="none"/>
                  <w10:anchorlock/>
                </v:shape>
                <o:OLEObject Type="Embed" ProgID="Equation.3" ShapeID="_x0000_i1029" DrawAspect="Content" ObjectID="_1468075729" r:id="rId30">
                  <o:LockedField>false</o:LockedField>
                </o:OLEObject>
              </w:object>
            </w:r>
          </w:p>
          <w:p w14:paraId="3117AB92">
            <w:pPr>
              <w:pStyle w:val="134"/>
              <w:autoSpaceDE w:val="0"/>
              <w:autoSpaceDN w:val="0"/>
              <w:snapToGrid w:val="0"/>
              <w:spacing w:line="480" w:lineRule="exact"/>
              <w:ind w:firstLine="200"/>
              <w:jc w:val="both"/>
              <w:textAlignment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式中</w:t>
            </w:r>
            <w:r>
              <w:rPr>
                <w:rFonts w:hint="eastAsia" w:ascii="Times New Roman" w:cs="Times New Roman"/>
                <w:color w:val="auto"/>
                <w:szCs w:val="24"/>
                <w:highlight w:val="none"/>
                <w:lang w:eastAsia="zh-CN"/>
              </w:rPr>
              <w:t>：</w:t>
            </w:r>
            <w:r>
              <w:rPr>
                <w:rFonts w:hint="default" w:ascii="Times New Roman" w:hAnsi="Times New Roman" w:cs="Times New Roman"/>
                <w:i/>
                <w:color w:val="auto"/>
                <w:szCs w:val="24"/>
                <w:highlight w:val="none"/>
              </w:rPr>
              <w:t>L</w:t>
            </w:r>
            <w:r>
              <w:rPr>
                <w:rFonts w:hint="default" w:ascii="Times New Roman" w:hAnsi="Times New Roman" w:cs="Times New Roman"/>
                <w:color w:val="auto"/>
                <w:szCs w:val="24"/>
                <w:highlight w:val="none"/>
                <w:vertAlign w:val="subscript"/>
              </w:rPr>
              <w:t>eqg</w:t>
            </w:r>
            <w:r>
              <w:rPr>
                <w:rFonts w:hint="default" w:ascii="Times New Roman" w:hAnsi="Times New Roman" w:cs="Times New Roman"/>
                <w:color w:val="auto"/>
                <w:szCs w:val="24"/>
                <w:highlight w:val="none"/>
              </w:rPr>
              <w:t>—建设项目声源在预测点的等效声级贡献值，dB(A)；</w:t>
            </w:r>
          </w:p>
          <w:p w14:paraId="79E1690E">
            <w:pPr>
              <w:pStyle w:val="134"/>
              <w:autoSpaceDE w:val="0"/>
              <w:autoSpaceDN w:val="0"/>
              <w:snapToGrid w:val="0"/>
              <w:spacing w:line="480" w:lineRule="exact"/>
              <w:ind w:firstLine="820" w:firstLineChars="342"/>
              <w:jc w:val="both"/>
              <w:textAlignment w:val="center"/>
              <w:rPr>
                <w:rFonts w:hint="default" w:ascii="Times New Roman" w:hAnsi="Times New Roman" w:cs="Times New Roman"/>
                <w:color w:val="auto"/>
                <w:szCs w:val="24"/>
                <w:highlight w:val="none"/>
              </w:rPr>
            </w:pPr>
            <w:r>
              <w:rPr>
                <w:rFonts w:hint="default" w:ascii="Times New Roman" w:hAnsi="Times New Roman" w:cs="Times New Roman"/>
                <w:i/>
                <w:color w:val="auto"/>
                <w:szCs w:val="24"/>
                <w:highlight w:val="none"/>
              </w:rPr>
              <w:t>L</w:t>
            </w:r>
            <w:r>
              <w:rPr>
                <w:rFonts w:hint="default" w:ascii="Times New Roman" w:hAnsi="Times New Roman" w:cs="Times New Roman"/>
                <w:color w:val="auto"/>
                <w:szCs w:val="24"/>
                <w:highlight w:val="none"/>
                <w:vertAlign w:val="subscript"/>
              </w:rPr>
              <w:t>Ai</w:t>
            </w:r>
            <w:r>
              <w:rPr>
                <w:rFonts w:hint="default" w:ascii="Times New Roman" w:hAnsi="Times New Roman" w:cs="Times New Roman"/>
                <w:color w:val="auto"/>
                <w:szCs w:val="24"/>
                <w:highlight w:val="none"/>
              </w:rPr>
              <w:t>—</w:t>
            </w:r>
            <w:r>
              <w:rPr>
                <w:rFonts w:hint="default" w:ascii="Times New Roman" w:hAnsi="Times New Roman" w:cs="Times New Roman"/>
                <w:i/>
                <w:color w:val="auto"/>
                <w:szCs w:val="24"/>
                <w:highlight w:val="none"/>
              </w:rPr>
              <w:t>i</w:t>
            </w:r>
            <w:r>
              <w:rPr>
                <w:rFonts w:hint="default" w:ascii="Times New Roman" w:hAnsi="Times New Roman" w:cs="Times New Roman"/>
                <w:color w:val="auto"/>
                <w:szCs w:val="24"/>
                <w:highlight w:val="none"/>
              </w:rPr>
              <w:t>声源在预测点产生的A声级，dB(A)；</w:t>
            </w:r>
          </w:p>
          <w:p w14:paraId="788C6391">
            <w:pPr>
              <w:pStyle w:val="134"/>
              <w:autoSpaceDE w:val="0"/>
              <w:autoSpaceDN w:val="0"/>
              <w:snapToGrid w:val="0"/>
              <w:spacing w:line="480" w:lineRule="exact"/>
              <w:ind w:firstLine="940" w:firstLineChars="392"/>
              <w:jc w:val="both"/>
              <w:textAlignment w:val="center"/>
              <w:rPr>
                <w:rFonts w:hint="default" w:ascii="Times New Roman" w:hAnsi="Times New Roman" w:cs="Times New Roman"/>
                <w:color w:val="auto"/>
                <w:szCs w:val="24"/>
                <w:highlight w:val="none"/>
              </w:rPr>
            </w:pPr>
            <w:r>
              <w:rPr>
                <w:rFonts w:hint="default" w:ascii="Times New Roman" w:hAnsi="Times New Roman" w:cs="Times New Roman"/>
                <w:i/>
                <w:color w:val="auto"/>
                <w:szCs w:val="24"/>
                <w:highlight w:val="none"/>
              </w:rPr>
              <w:t>T</w:t>
            </w:r>
            <w:r>
              <w:rPr>
                <w:rFonts w:hint="default" w:ascii="Times New Roman" w:hAnsi="Times New Roman" w:cs="Times New Roman"/>
                <w:color w:val="auto"/>
                <w:szCs w:val="24"/>
                <w:highlight w:val="none"/>
              </w:rPr>
              <w:t>—预测计算的时间段，s；</w:t>
            </w:r>
          </w:p>
          <w:p w14:paraId="2F0FB454">
            <w:pPr>
              <w:pStyle w:val="131"/>
              <w:adjustRightInd w:val="0"/>
              <w:snapToGrid w:val="0"/>
              <w:spacing w:line="480" w:lineRule="exact"/>
              <w:ind w:firstLine="840" w:firstLineChars="350"/>
              <w:textAlignment w:val="center"/>
              <w:rPr>
                <w:rFonts w:hint="default" w:ascii="Times New Roman" w:hAnsi="Times New Roman" w:cs="Times New Roman"/>
                <w:color w:val="auto"/>
                <w:sz w:val="24"/>
                <w:szCs w:val="24"/>
                <w:highlight w:val="none"/>
              </w:rPr>
            </w:pPr>
            <w:r>
              <w:rPr>
                <w:rFonts w:hint="default" w:ascii="Times New Roman" w:hAnsi="Times New Roman" w:cs="Times New Roman"/>
                <w:i/>
                <w:color w:val="auto"/>
                <w:sz w:val="24"/>
                <w:szCs w:val="24"/>
                <w:highlight w:val="none"/>
              </w:rPr>
              <w:t>t</w:t>
            </w:r>
            <w:r>
              <w:rPr>
                <w:rFonts w:hint="default" w:ascii="Times New Roman" w:hAnsi="Times New Roman" w:cs="Times New Roman"/>
                <w:color w:val="auto"/>
                <w:sz w:val="24"/>
                <w:szCs w:val="24"/>
                <w:highlight w:val="none"/>
                <w:vertAlign w:val="subscript"/>
              </w:rPr>
              <w:t>i</w:t>
            </w:r>
            <w:r>
              <w:rPr>
                <w:rFonts w:hint="default" w:ascii="Times New Roman" w:hAnsi="Times New Roman" w:cs="Times New Roman"/>
                <w:color w:val="auto"/>
                <w:sz w:val="24"/>
                <w:szCs w:val="24"/>
                <w:highlight w:val="none"/>
              </w:rPr>
              <w:t>—</w:t>
            </w:r>
            <w:r>
              <w:rPr>
                <w:rFonts w:hint="default" w:ascii="Times New Roman" w:hAnsi="Times New Roman" w:cs="Times New Roman"/>
                <w:i/>
                <w:color w:val="auto"/>
                <w:sz w:val="24"/>
                <w:szCs w:val="24"/>
                <w:highlight w:val="none"/>
              </w:rPr>
              <w:t>i</w:t>
            </w:r>
            <w:r>
              <w:rPr>
                <w:rFonts w:hint="default" w:ascii="Times New Roman" w:hAnsi="Times New Roman" w:cs="Times New Roman"/>
                <w:color w:val="auto"/>
                <w:sz w:val="24"/>
                <w:szCs w:val="24"/>
                <w:highlight w:val="none"/>
              </w:rPr>
              <w:t>声源在T时段内的运行时间，s。</w:t>
            </w:r>
          </w:p>
          <w:p w14:paraId="13637172">
            <w:pPr>
              <w:pStyle w:val="134"/>
              <w:autoSpaceDE w:val="0"/>
              <w:autoSpaceDN w:val="0"/>
              <w:snapToGrid w:val="0"/>
              <w:spacing w:line="480" w:lineRule="exact"/>
              <w:ind w:firstLine="460" w:firstLineChars="192"/>
              <w:jc w:val="both"/>
              <w:textAlignment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预测点的预测等效声级(L</w:t>
            </w:r>
            <w:r>
              <w:rPr>
                <w:rFonts w:hint="default" w:ascii="Times New Roman" w:hAnsi="Times New Roman" w:cs="Times New Roman"/>
                <w:color w:val="auto"/>
                <w:szCs w:val="24"/>
                <w:highlight w:val="none"/>
                <w:vertAlign w:val="subscript"/>
              </w:rPr>
              <w:t>eq</w:t>
            </w:r>
            <w:r>
              <w:rPr>
                <w:rFonts w:hint="default" w:ascii="Times New Roman" w:hAnsi="Times New Roman" w:cs="Times New Roman"/>
                <w:color w:val="auto"/>
                <w:szCs w:val="24"/>
                <w:highlight w:val="none"/>
              </w:rPr>
              <w:t>)计算公式：</w:t>
            </w:r>
          </w:p>
          <w:p w14:paraId="777EACED">
            <w:pPr>
              <w:autoSpaceDE w:val="0"/>
              <w:autoSpaceDN w:val="0"/>
              <w:adjustRightInd w:val="0"/>
              <w:snapToGrid w:val="0"/>
              <w:spacing w:line="240" w:lineRule="auto"/>
              <w:ind w:firstLine="200"/>
              <w:jc w:val="center"/>
              <w:textAlignment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position w:val="-10"/>
                <w:sz w:val="24"/>
                <w:szCs w:val="24"/>
                <w:highlight w:val="none"/>
              </w:rPr>
              <w:object>
                <v:shape id="_x0000_i1030" o:spt="75" type="#_x0000_t75" style="height:23.5pt;width:179.35pt;" o:ole="t" filled="f" o:preferrelative="t" stroked="f" coordsize="21600,21600">
                  <v:path/>
                  <v:fill on="f" focussize="0,0"/>
                  <v:stroke on="f"/>
                  <v:imagedata r:id="rId33" o:title=""/>
                  <o:lock v:ext="edit" aspectratio="t"/>
                  <w10:wrap type="none"/>
                  <w10:anchorlock/>
                </v:shape>
                <o:OLEObject Type="Embed" ProgID="Equation.3" ShapeID="_x0000_i1030" DrawAspect="Content" ObjectID="_1468075730" r:id="rId32">
                  <o:LockedField>false</o:LockedField>
                </o:OLEObject>
              </w:object>
            </w:r>
          </w:p>
          <w:p w14:paraId="7A7ED1D9">
            <w:pPr>
              <w:pStyle w:val="134"/>
              <w:keepNext w:val="0"/>
              <w:keepLines w:val="0"/>
              <w:pageBreakBefore w:val="0"/>
              <w:kinsoku/>
              <w:wordWrap/>
              <w:overflowPunct/>
              <w:topLinePunct w:val="0"/>
              <w:autoSpaceDE w:val="0"/>
              <w:autoSpaceDN w:val="0"/>
              <w:bidi w:val="0"/>
              <w:snapToGrid w:val="0"/>
              <w:spacing w:line="500" w:lineRule="exact"/>
              <w:ind w:left="1680" w:hanging="1680" w:hangingChars="700"/>
              <w:jc w:val="both"/>
              <w:textAlignment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式中</w:t>
            </w:r>
            <w:r>
              <w:rPr>
                <w:rFonts w:hint="eastAsia" w:ascii="Times New Roman" w:cs="Times New Roman"/>
                <w:color w:val="auto"/>
                <w:szCs w:val="24"/>
                <w:highlight w:val="none"/>
                <w:lang w:eastAsia="zh-CN"/>
              </w:rPr>
              <w:t>：</w:t>
            </w:r>
            <w:r>
              <w:rPr>
                <w:rFonts w:hint="default" w:ascii="Times New Roman" w:hAnsi="Times New Roman" w:cs="Times New Roman"/>
                <w:i/>
                <w:color w:val="auto"/>
                <w:szCs w:val="24"/>
                <w:highlight w:val="none"/>
              </w:rPr>
              <w:t>L</w:t>
            </w:r>
            <w:r>
              <w:rPr>
                <w:rFonts w:hint="default" w:ascii="Times New Roman" w:hAnsi="Times New Roman" w:cs="Times New Roman"/>
                <w:color w:val="auto"/>
                <w:szCs w:val="24"/>
                <w:highlight w:val="none"/>
                <w:vertAlign w:val="subscript"/>
              </w:rPr>
              <w:t>eqg</w:t>
            </w:r>
            <w:r>
              <w:rPr>
                <w:rFonts w:hint="default" w:ascii="Times New Roman" w:hAnsi="Times New Roman" w:cs="Times New Roman"/>
                <w:color w:val="auto"/>
                <w:szCs w:val="24"/>
                <w:highlight w:val="none"/>
              </w:rPr>
              <w:t xml:space="preserve">—建设项目声源在预测点的等效声级贡献值，dB(A)； </w:t>
            </w:r>
          </w:p>
          <w:p w14:paraId="4E718EAF">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Leqb—预测点的背景值，dB(A)。</w:t>
            </w:r>
          </w:p>
          <w:p w14:paraId="6134315F">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eastAsia="宋体" w:cs="Times New Roman"/>
                <w:color w:val="auto"/>
                <w:spacing w:val="0"/>
                <w:sz w:val="24"/>
                <w:szCs w:val="24"/>
                <w:highlight w:val="none"/>
                <w:lang w:val="en-US" w:eastAsia="zh-CN"/>
              </w:rPr>
              <w:t>（2）室外声源</w:t>
            </w:r>
          </w:p>
          <w:p w14:paraId="66EC4844">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噪声预测按照《环境影响评价技术导则 声环境》（HJ2.4-2021）进行，按主要噪声源同时运行的不利工况进行预测分析。</w:t>
            </w:r>
          </w:p>
          <w:p w14:paraId="61809321">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两个以上的多个噪声源同时存在时，总声级计算公式：</w:t>
            </w:r>
          </w:p>
          <w:p w14:paraId="308538A3">
            <w:pPr>
              <w:pStyle w:val="83"/>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object>
                <v:shape id="_x0000_i1031" o:spt="75" type="#_x0000_t75" style="height:32.25pt;width:105.4pt;" o:ole="t" filled="f" o:preferrelative="t" stroked="f" coordsize="21600,21600">
                  <v:path/>
                  <v:fill on="f" focussize="0,0"/>
                  <v:stroke on="f"/>
                  <v:imagedata r:id="rId35" o:title=""/>
                  <o:lock v:ext="edit" aspectratio="t"/>
                  <w10:wrap type="none"/>
                  <w10:anchorlock/>
                </v:shape>
                <o:OLEObject Type="Embed" ProgID="Equation.3" ShapeID="_x0000_i1031" DrawAspect="Content" ObjectID="_1468075731" r:id="rId34">
                  <o:LockedField>false</o:LockedField>
                </o:OLEObject>
              </w:object>
            </w:r>
          </w:p>
          <w:p w14:paraId="645D4031">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zh-CN" w:eastAsia="zh-CN"/>
              </w:rPr>
            </w:pPr>
            <w:r>
              <w:rPr>
                <w:rFonts w:hint="default" w:ascii="Times New Roman" w:hAnsi="Times New Roman" w:eastAsia="宋体" w:cs="Times New Roman"/>
                <w:color w:val="auto"/>
                <w:spacing w:val="0"/>
                <w:sz w:val="24"/>
                <w:szCs w:val="24"/>
                <w:highlight w:val="none"/>
                <w:lang w:val="zh-CN" w:eastAsia="zh-CN"/>
              </w:rPr>
              <w:t>式中：Ln——评价点的总声级，dB</w:t>
            </w:r>
            <w:r>
              <w:rPr>
                <w:rFonts w:hint="default" w:ascii="Times New Roman" w:hAnsi="Times New Roman" w:eastAsia="宋体" w:cs="Times New Roman"/>
                <w:color w:val="auto"/>
                <w:spacing w:val="0"/>
                <w:sz w:val="24"/>
                <w:szCs w:val="24"/>
                <w:highlight w:val="none"/>
                <w:lang w:val="en-US" w:eastAsia="zh-CN"/>
              </w:rPr>
              <w:t>(A)</w:t>
            </w:r>
            <w:r>
              <w:rPr>
                <w:rFonts w:hint="default" w:ascii="Times New Roman" w:hAnsi="Times New Roman" w:eastAsia="宋体" w:cs="Times New Roman"/>
                <w:color w:val="auto"/>
                <w:spacing w:val="0"/>
                <w:sz w:val="24"/>
                <w:szCs w:val="24"/>
                <w:highlight w:val="none"/>
                <w:lang w:val="zh-CN" w:eastAsia="zh-CN"/>
              </w:rPr>
              <w:t>；</w:t>
            </w:r>
          </w:p>
          <w:p w14:paraId="30BE3930">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zh-CN" w:eastAsia="zh-CN"/>
              </w:rPr>
            </w:pPr>
            <w:r>
              <w:rPr>
                <w:rFonts w:hint="default" w:ascii="Times New Roman" w:hAnsi="Times New Roman" w:eastAsia="宋体" w:cs="Times New Roman"/>
                <w:color w:val="auto"/>
                <w:spacing w:val="0"/>
                <w:sz w:val="24"/>
                <w:szCs w:val="24"/>
                <w:highlight w:val="none"/>
                <w:lang w:val="en-US" w:eastAsia="zh-CN"/>
              </w:rPr>
              <w:t>n</w:t>
            </w:r>
            <w:r>
              <w:rPr>
                <w:rFonts w:hint="default" w:ascii="Times New Roman" w:hAnsi="Times New Roman" w:eastAsia="宋体" w:cs="Times New Roman"/>
                <w:color w:val="auto"/>
                <w:spacing w:val="0"/>
                <w:sz w:val="24"/>
                <w:szCs w:val="24"/>
                <w:highlight w:val="none"/>
                <w:lang w:val="zh-CN" w:eastAsia="zh-CN"/>
              </w:rPr>
              <w:t>——声源数；</w:t>
            </w:r>
          </w:p>
          <w:p w14:paraId="30B6F3EF">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zh-CN" w:eastAsia="zh-CN"/>
              </w:rPr>
            </w:pPr>
            <w:r>
              <w:rPr>
                <w:rFonts w:hint="default" w:ascii="Times New Roman" w:hAnsi="Times New Roman" w:eastAsia="宋体" w:cs="Times New Roman"/>
                <w:color w:val="auto"/>
                <w:spacing w:val="0"/>
                <w:sz w:val="24"/>
                <w:szCs w:val="24"/>
                <w:highlight w:val="none"/>
                <w:lang w:val="zh-CN" w:eastAsia="zh-CN"/>
              </w:rPr>
              <w:t>Li——某声源对评价点的声级，dB</w:t>
            </w:r>
            <w:r>
              <w:rPr>
                <w:rFonts w:hint="default" w:ascii="Times New Roman" w:hAnsi="Times New Roman" w:eastAsia="宋体" w:cs="Times New Roman"/>
                <w:color w:val="auto"/>
                <w:spacing w:val="0"/>
                <w:sz w:val="24"/>
                <w:szCs w:val="24"/>
                <w:highlight w:val="none"/>
                <w:lang w:val="en-US" w:eastAsia="zh-CN"/>
              </w:rPr>
              <w:t>(A)</w:t>
            </w:r>
            <w:r>
              <w:rPr>
                <w:rFonts w:hint="default" w:ascii="Times New Roman" w:hAnsi="Times New Roman" w:eastAsia="宋体" w:cs="Times New Roman"/>
                <w:color w:val="auto"/>
                <w:spacing w:val="0"/>
                <w:sz w:val="24"/>
                <w:szCs w:val="24"/>
                <w:highlight w:val="none"/>
                <w:lang w:val="zh-CN" w:eastAsia="zh-CN"/>
              </w:rPr>
              <w:t>。</w:t>
            </w:r>
          </w:p>
          <w:p w14:paraId="26BB78F8">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点声源衰减模式：</w:t>
            </w:r>
          </w:p>
          <w:p w14:paraId="25EF4804">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object>
                <v:shape id="_x0000_i1032" o:spt="75" type="#_x0000_t75" style="height:19.9pt;width:166.9pt;" o:ole="t" filled="f" o:preferrelative="t" stroked="f" coordsize="21600,21600">
                  <v:path/>
                  <v:fill on="f" focussize="0,0"/>
                  <v:stroke on="f"/>
                  <v:imagedata r:id="rId37" o:title=""/>
                  <o:lock v:ext="edit" aspectratio="t"/>
                  <w10:wrap type="none"/>
                  <w10:anchorlock/>
                </v:shape>
                <o:OLEObject Type="Embed" ProgID="Equation.3" ShapeID="_x0000_i1032" DrawAspect="Content" ObjectID="_1468075732" r:id="rId36">
                  <o:LockedField>false</o:LockedField>
                </o:OLEObject>
              </w:object>
            </w:r>
          </w:p>
          <w:p w14:paraId="4052C2D7">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式中：LP(r)——预测点声级，dB(A)；</w:t>
            </w:r>
          </w:p>
          <w:p w14:paraId="2985C06C">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LP(r0)——已知参考点声级，dB(A)；</w:t>
            </w:r>
          </w:p>
          <w:p w14:paraId="36335C7E">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r——预测点到声源距离，m；</w:t>
            </w:r>
          </w:p>
          <w:p w14:paraId="4FCFDA11">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r——参考点到声源距离，取1m；</w:t>
            </w:r>
          </w:p>
          <w:p w14:paraId="2D0F9E6B">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eastAsia"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ΔL——其它因素引起的衰减量，dB(A)。</w:t>
            </w:r>
          </w:p>
          <w:p w14:paraId="26BD6A2F">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cs="Times New Roman"/>
                <w:b/>
                <w:bCs w:val="0"/>
                <w:color w:val="auto"/>
                <w:sz w:val="24"/>
                <w:highlight w:val="none"/>
                <w:lang w:val="en-US" w:eastAsia="zh-CN"/>
              </w:rPr>
            </w:pPr>
            <w:r>
              <w:rPr>
                <w:rFonts w:hint="eastAsia" w:ascii="Times New Roman" w:hAnsi="Times New Roman" w:eastAsia="宋体" w:cs="Times New Roman"/>
                <w:color w:val="auto"/>
                <w:spacing w:val="0"/>
                <w:kern w:val="0"/>
                <w:sz w:val="24"/>
                <w:szCs w:val="24"/>
                <w:highlight w:val="none"/>
                <w:lang w:val="en-US" w:eastAsia="zh-CN" w:bidi="ar-SA"/>
              </w:rPr>
              <w:t>3、预测结果</w:t>
            </w:r>
          </w:p>
          <w:p w14:paraId="2DB91C80">
            <w:pPr>
              <w:pStyle w:val="8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outlineLvl w:val="9"/>
              <w:rPr>
                <w:rFonts w:hint="eastAsia" w:ascii="Times New Roman" w:hAnsi="Times New Roman" w:eastAsia="宋体" w:cs="Times New Roman"/>
                <w:color w:val="auto"/>
                <w:spacing w:val="0"/>
                <w:sz w:val="24"/>
                <w:szCs w:val="24"/>
                <w:highlight w:val="none"/>
                <w:lang w:val="en-US" w:eastAsia="zh-CN"/>
              </w:rPr>
            </w:pPr>
            <w:r>
              <w:rPr>
                <w:rFonts w:hint="eastAsia" w:ascii="Times New Roman" w:hAnsi="Times New Roman" w:eastAsia="宋体" w:cs="Times New Roman"/>
                <w:color w:val="auto"/>
                <w:spacing w:val="0"/>
                <w:sz w:val="24"/>
                <w:szCs w:val="24"/>
                <w:highlight w:val="none"/>
                <w:lang w:val="en-US" w:eastAsia="zh-CN"/>
              </w:rPr>
              <w:t>本项目声环境</w:t>
            </w:r>
            <w:r>
              <w:rPr>
                <w:rFonts w:hint="eastAsia" w:cs="Times New Roman"/>
                <w:color w:val="auto"/>
                <w:spacing w:val="0"/>
                <w:sz w:val="24"/>
                <w:szCs w:val="24"/>
                <w:highlight w:val="none"/>
                <w:lang w:val="en-US" w:eastAsia="zh-CN"/>
              </w:rPr>
              <w:t>厂界</w:t>
            </w:r>
            <w:r>
              <w:rPr>
                <w:rFonts w:hint="eastAsia" w:ascii="Times New Roman" w:hAnsi="Times New Roman" w:eastAsia="宋体" w:cs="Times New Roman"/>
                <w:color w:val="auto"/>
                <w:spacing w:val="0"/>
                <w:sz w:val="24"/>
                <w:szCs w:val="24"/>
                <w:highlight w:val="none"/>
                <w:lang w:val="en-US" w:eastAsia="zh-CN"/>
              </w:rPr>
              <w:t>噪声预测结果</w:t>
            </w:r>
            <w:r>
              <w:rPr>
                <w:rFonts w:hint="default" w:ascii="Times New Roman" w:hAnsi="Times New Roman" w:eastAsia="宋体" w:cs="Times New Roman"/>
                <w:color w:val="auto"/>
                <w:spacing w:val="0"/>
                <w:sz w:val="24"/>
                <w:szCs w:val="24"/>
                <w:highlight w:val="none"/>
                <w:lang w:val="en-US" w:eastAsia="zh-CN"/>
              </w:rPr>
              <w:t>见表</w:t>
            </w:r>
            <w:r>
              <w:rPr>
                <w:rFonts w:hint="eastAsia" w:ascii="Times New Roman" w:hAnsi="Times New Roman" w:eastAsia="宋体" w:cs="Times New Roman"/>
                <w:color w:val="auto"/>
                <w:spacing w:val="0"/>
                <w:sz w:val="24"/>
                <w:szCs w:val="24"/>
                <w:highlight w:val="none"/>
                <w:lang w:val="en-US" w:eastAsia="zh-CN"/>
              </w:rPr>
              <w:t>4-</w:t>
            </w:r>
            <w:r>
              <w:rPr>
                <w:rFonts w:hint="eastAsia" w:cs="Times New Roman"/>
                <w:color w:val="auto"/>
                <w:spacing w:val="0"/>
                <w:sz w:val="24"/>
                <w:szCs w:val="24"/>
                <w:highlight w:val="none"/>
                <w:lang w:val="en-US" w:eastAsia="zh-CN"/>
              </w:rPr>
              <w:t>14</w:t>
            </w:r>
            <w:r>
              <w:rPr>
                <w:rFonts w:hint="eastAsia" w:ascii="Times New Roman" w:hAnsi="Times New Roman" w:eastAsia="宋体" w:cs="Times New Roman"/>
                <w:color w:val="auto"/>
                <w:spacing w:val="0"/>
                <w:sz w:val="24"/>
                <w:szCs w:val="24"/>
                <w:highlight w:val="none"/>
                <w:lang w:val="en-US" w:eastAsia="zh-CN"/>
              </w:rPr>
              <w:t>。</w:t>
            </w:r>
          </w:p>
          <w:p w14:paraId="3EF7BC83">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val="0"/>
                <w:color w:val="auto"/>
                <w:sz w:val="24"/>
                <w:highlight w:val="none"/>
                <w:lang w:val="en-US" w:eastAsia="zh-CN"/>
              </w:rPr>
            </w:pPr>
            <w:r>
              <w:rPr>
                <w:rFonts w:hint="eastAsia" w:ascii="Times New Roman" w:hAnsi="Times New Roman" w:eastAsia="宋体" w:cs="Times New Roman"/>
                <w:b/>
                <w:bCs w:val="0"/>
                <w:color w:val="auto"/>
                <w:sz w:val="24"/>
                <w:highlight w:val="none"/>
                <w:lang w:val="en-US" w:eastAsia="zh-CN"/>
              </w:rPr>
              <w:t>表4-</w:t>
            </w:r>
            <w:r>
              <w:rPr>
                <w:rFonts w:hint="eastAsia" w:cs="Times New Roman"/>
                <w:b/>
                <w:bCs w:val="0"/>
                <w:color w:val="auto"/>
                <w:sz w:val="24"/>
                <w:highlight w:val="none"/>
                <w:lang w:val="en-US" w:eastAsia="zh-CN"/>
              </w:rPr>
              <w:t xml:space="preserve">14  </w:t>
            </w:r>
            <w:r>
              <w:rPr>
                <w:rFonts w:hint="eastAsia" w:ascii="Times New Roman" w:hAnsi="Times New Roman" w:eastAsia="宋体" w:cs="Times New Roman"/>
                <w:b/>
                <w:bCs w:val="0"/>
                <w:color w:val="auto"/>
                <w:sz w:val="24"/>
                <w:highlight w:val="none"/>
                <w:lang w:val="en-US" w:eastAsia="zh-CN"/>
              </w:rPr>
              <w:t>厂界声环境噪声</w:t>
            </w:r>
            <w:r>
              <w:rPr>
                <w:rFonts w:hint="eastAsia" w:ascii="Times New Roman" w:hAnsi="Times New Roman" w:cs="Times New Roman"/>
                <w:b/>
                <w:bCs w:val="0"/>
                <w:color w:val="auto"/>
                <w:sz w:val="24"/>
                <w:highlight w:val="none"/>
                <w:lang w:val="en-US" w:eastAsia="zh-CN"/>
              </w:rPr>
              <w:t>贡献值</w:t>
            </w:r>
            <w:r>
              <w:rPr>
                <w:b/>
                <w:color w:val="auto"/>
                <w:szCs w:val="21"/>
              </w:rPr>
              <w:t xml:space="preserve"> </w:t>
            </w:r>
            <w:r>
              <w:rPr>
                <w:rFonts w:hint="eastAsia"/>
                <w:b/>
                <w:color w:val="auto"/>
                <w:szCs w:val="21"/>
                <w:lang w:val="en-US" w:eastAsia="zh-CN"/>
              </w:rPr>
              <w:t xml:space="preserve"> </w:t>
            </w:r>
            <w:r>
              <w:rPr>
                <w:b/>
                <w:color w:val="auto"/>
                <w:szCs w:val="21"/>
              </w:rPr>
              <w:t>单位：dB(A)</w:t>
            </w:r>
          </w:p>
          <w:tbl>
            <w:tblPr>
              <w:tblStyle w:val="32"/>
              <w:tblW w:w="769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Layout w:type="fixed"/>
              <w:tblCellMar>
                <w:top w:w="0" w:type="dxa"/>
                <w:left w:w="108" w:type="dxa"/>
                <w:bottom w:w="0" w:type="dxa"/>
                <w:right w:w="108" w:type="dxa"/>
              </w:tblCellMar>
            </w:tblPr>
            <w:tblGrid>
              <w:gridCol w:w="1657"/>
              <w:gridCol w:w="1754"/>
              <w:gridCol w:w="2144"/>
              <w:gridCol w:w="2144"/>
            </w:tblGrid>
            <w:tr w14:paraId="29FA6E2F">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562" w:hRule="atLeast"/>
                <w:tblHeader/>
              </w:trPr>
              <w:tc>
                <w:tcPr>
                  <w:tcW w:w="1076" w:type="pct"/>
                  <w:tcBorders>
                    <w:bottom w:val="single" w:color="auto" w:sz="4" w:space="0"/>
                    <w:right w:val="single" w:color="auto" w:sz="4" w:space="0"/>
                  </w:tcBorders>
                  <w:noWrap w:val="0"/>
                  <w:vAlign w:val="center"/>
                </w:tcPr>
                <w:p w14:paraId="1E8519BB">
                  <w:pPr>
                    <w:pStyle w:val="130"/>
                    <w:tabs>
                      <w:tab w:val="left" w:pos="470"/>
                    </w:tabs>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序号</w:t>
                  </w:r>
                </w:p>
              </w:tc>
              <w:tc>
                <w:tcPr>
                  <w:tcW w:w="1139" w:type="pct"/>
                  <w:tcBorders>
                    <w:left w:val="single" w:color="auto" w:sz="4" w:space="0"/>
                    <w:bottom w:val="single" w:color="auto" w:sz="4" w:space="0"/>
                    <w:right w:val="single" w:color="auto" w:sz="4" w:space="0"/>
                  </w:tcBorders>
                  <w:noWrap w:val="0"/>
                  <w:vAlign w:val="center"/>
                </w:tcPr>
                <w:p w14:paraId="5CF7CF22">
                  <w:pPr>
                    <w:pStyle w:val="130"/>
                    <w:tabs>
                      <w:tab w:val="left" w:pos="470"/>
                    </w:tabs>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位置</w:t>
                  </w:r>
                </w:p>
              </w:tc>
              <w:tc>
                <w:tcPr>
                  <w:tcW w:w="1392" w:type="pct"/>
                  <w:tcBorders>
                    <w:left w:val="single" w:color="auto" w:sz="4" w:space="0"/>
                    <w:bottom w:val="single" w:color="auto" w:sz="4" w:space="0"/>
                  </w:tcBorders>
                  <w:noWrap w:val="0"/>
                  <w:vAlign w:val="center"/>
                </w:tcPr>
                <w:p w14:paraId="11C21001">
                  <w:pPr>
                    <w:pStyle w:val="130"/>
                    <w:tabs>
                      <w:tab w:val="left" w:pos="470"/>
                    </w:tabs>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昼间噪声贡献值</w:t>
                  </w:r>
                </w:p>
              </w:tc>
              <w:tc>
                <w:tcPr>
                  <w:tcW w:w="1392" w:type="pct"/>
                  <w:tcBorders>
                    <w:left w:val="single" w:color="auto" w:sz="4" w:space="0"/>
                    <w:bottom w:val="single" w:color="auto" w:sz="4" w:space="0"/>
                  </w:tcBorders>
                  <w:noWrap w:val="0"/>
                  <w:vAlign w:val="center"/>
                </w:tcPr>
                <w:p w14:paraId="79CE176C">
                  <w:pPr>
                    <w:pStyle w:val="130"/>
                    <w:tabs>
                      <w:tab w:val="left" w:pos="470"/>
                    </w:tabs>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标准值</w:t>
                  </w:r>
                </w:p>
              </w:tc>
            </w:tr>
            <w:tr w14:paraId="75F46F6E">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33" w:hRule="atLeast"/>
                <w:tblHeader/>
              </w:trPr>
              <w:tc>
                <w:tcPr>
                  <w:tcW w:w="1076" w:type="pct"/>
                  <w:tcBorders>
                    <w:top w:val="single" w:color="auto" w:sz="4" w:space="0"/>
                    <w:bottom w:val="single" w:color="auto" w:sz="4" w:space="0"/>
                    <w:right w:val="single" w:color="auto" w:sz="4" w:space="0"/>
                  </w:tcBorders>
                  <w:noWrap w:val="0"/>
                  <w:vAlign w:val="center"/>
                </w:tcPr>
                <w:p w14:paraId="1D7F2262">
                  <w:pPr>
                    <w:pStyle w:val="150"/>
                    <w:spacing w:beforeLines="0" w:afterLines="0" w:line="240" w:lineRule="auto"/>
                    <w:rPr>
                      <w:rFonts w:hint="default" w:ascii="Times New Roman" w:hAnsi="Times New Roman" w:eastAsia="宋体" w:cs="Times New Roman"/>
                      <w:color w:val="auto"/>
                      <w:highlight w:val="none"/>
                      <w:lang w:val="en-US" w:eastAsia="zh-CN"/>
                    </w:rPr>
                  </w:pPr>
                  <w:r>
                    <w:rPr>
                      <w:color w:val="auto"/>
                    </w:rPr>
                    <w:t>1</w:t>
                  </w:r>
                </w:p>
              </w:tc>
              <w:tc>
                <w:tcPr>
                  <w:tcW w:w="1139" w:type="pct"/>
                  <w:tcBorders>
                    <w:top w:val="single" w:color="auto" w:sz="4" w:space="0"/>
                    <w:left w:val="single" w:color="auto" w:sz="4" w:space="0"/>
                    <w:bottom w:val="single" w:color="auto" w:sz="4" w:space="0"/>
                    <w:right w:val="single" w:color="auto" w:sz="4" w:space="0"/>
                  </w:tcBorders>
                  <w:noWrap w:val="0"/>
                  <w:vAlign w:val="center"/>
                </w:tcPr>
                <w:p w14:paraId="12F9BBD3">
                  <w:pPr>
                    <w:pStyle w:val="130"/>
                    <w:tabs>
                      <w:tab w:val="left" w:pos="470"/>
                    </w:tabs>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厂界东侧</w:t>
                  </w:r>
                </w:p>
              </w:tc>
              <w:tc>
                <w:tcPr>
                  <w:tcW w:w="1392" w:type="pct"/>
                  <w:tcBorders>
                    <w:top w:val="single" w:color="auto" w:sz="4" w:space="0"/>
                    <w:left w:val="single" w:color="auto" w:sz="4" w:space="0"/>
                    <w:bottom w:val="single" w:color="auto" w:sz="4" w:space="0"/>
                  </w:tcBorders>
                  <w:noWrap w:val="0"/>
                  <w:vAlign w:val="center"/>
                </w:tcPr>
                <w:p w14:paraId="1961C615">
                  <w:pPr>
                    <w:pStyle w:val="150"/>
                    <w:spacing w:beforeLines="0" w:afterLines="0" w:line="240" w:lineRule="auto"/>
                    <w:rPr>
                      <w:rFonts w:hint="default" w:ascii="Times New Roman" w:hAnsi="Times New Roman" w:eastAsia="宋体" w:cs="Times New Roman"/>
                      <w:color w:val="auto"/>
                      <w:highlight w:val="none"/>
                      <w:lang w:val="en-US" w:eastAsia="zh-CN"/>
                    </w:rPr>
                  </w:pPr>
                  <w:r>
                    <w:rPr>
                      <w:rFonts w:hint="eastAsia"/>
                      <w:color w:val="auto"/>
                      <w:lang w:val="en-US" w:eastAsia="zh-CN"/>
                    </w:rPr>
                    <w:t>52</w:t>
                  </w:r>
                </w:p>
              </w:tc>
              <w:tc>
                <w:tcPr>
                  <w:tcW w:w="1392" w:type="pct"/>
                  <w:vMerge w:val="restart"/>
                  <w:tcBorders>
                    <w:top w:val="single" w:color="auto" w:sz="4" w:space="0"/>
                    <w:left w:val="single" w:color="auto" w:sz="4" w:space="0"/>
                  </w:tcBorders>
                  <w:noWrap w:val="0"/>
                  <w:vAlign w:val="center"/>
                </w:tcPr>
                <w:p w14:paraId="77CBCFA6">
                  <w:pPr>
                    <w:pStyle w:val="150"/>
                    <w:spacing w:beforeLines="0" w:afterLines="0" w:line="240" w:lineRule="auto"/>
                    <w:rPr>
                      <w:rFonts w:hint="default" w:eastAsia="宋体"/>
                      <w:color w:val="auto"/>
                      <w:lang w:val="en-US" w:eastAsia="zh-CN"/>
                    </w:rPr>
                  </w:pPr>
                  <w:r>
                    <w:rPr>
                      <w:color w:val="auto"/>
                    </w:rPr>
                    <w:t>昼间：</w:t>
                  </w:r>
                  <w:r>
                    <w:rPr>
                      <w:rFonts w:hint="eastAsia"/>
                      <w:color w:val="auto"/>
                      <w:lang w:val="en-US" w:eastAsia="zh-CN"/>
                    </w:rPr>
                    <w:t>60</w:t>
                  </w:r>
                </w:p>
              </w:tc>
            </w:tr>
            <w:tr w14:paraId="3674F05B">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39" w:hRule="atLeast"/>
                <w:tblHeader/>
              </w:trPr>
              <w:tc>
                <w:tcPr>
                  <w:tcW w:w="1076" w:type="pct"/>
                  <w:tcBorders>
                    <w:top w:val="single" w:color="auto" w:sz="4" w:space="0"/>
                    <w:bottom w:val="single" w:color="auto" w:sz="4" w:space="0"/>
                    <w:right w:val="single" w:color="auto" w:sz="4" w:space="0"/>
                  </w:tcBorders>
                  <w:noWrap w:val="0"/>
                  <w:vAlign w:val="center"/>
                </w:tcPr>
                <w:p w14:paraId="1AE6404A">
                  <w:pPr>
                    <w:pStyle w:val="150"/>
                    <w:spacing w:beforeLines="0" w:afterLines="0" w:line="240" w:lineRule="auto"/>
                    <w:rPr>
                      <w:rFonts w:hint="default" w:ascii="Times New Roman" w:hAnsi="Times New Roman" w:eastAsia="宋体" w:cs="Times New Roman"/>
                      <w:color w:val="auto"/>
                      <w:highlight w:val="none"/>
                      <w:lang w:val="en-US" w:eastAsia="zh-CN"/>
                    </w:rPr>
                  </w:pPr>
                  <w:r>
                    <w:rPr>
                      <w:color w:val="auto"/>
                    </w:rPr>
                    <w:t>2</w:t>
                  </w:r>
                </w:p>
              </w:tc>
              <w:tc>
                <w:tcPr>
                  <w:tcW w:w="1139" w:type="pct"/>
                  <w:tcBorders>
                    <w:top w:val="single" w:color="auto" w:sz="4" w:space="0"/>
                    <w:left w:val="single" w:color="auto" w:sz="4" w:space="0"/>
                    <w:bottom w:val="single" w:color="auto" w:sz="4" w:space="0"/>
                    <w:right w:val="single" w:color="auto" w:sz="4" w:space="0"/>
                  </w:tcBorders>
                  <w:noWrap w:val="0"/>
                  <w:vAlign w:val="center"/>
                </w:tcPr>
                <w:p w14:paraId="4F5FD2BF">
                  <w:pPr>
                    <w:pStyle w:val="130"/>
                    <w:tabs>
                      <w:tab w:val="left" w:pos="470"/>
                    </w:tabs>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厂界南侧</w:t>
                  </w:r>
                </w:p>
              </w:tc>
              <w:tc>
                <w:tcPr>
                  <w:tcW w:w="1392" w:type="pct"/>
                  <w:tcBorders>
                    <w:top w:val="single" w:color="auto" w:sz="4" w:space="0"/>
                    <w:left w:val="single" w:color="auto" w:sz="4" w:space="0"/>
                    <w:bottom w:val="single" w:color="auto" w:sz="4" w:space="0"/>
                  </w:tcBorders>
                  <w:noWrap w:val="0"/>
                  <w:vAlign w:val="center"/>
                </w:tcPr>
                <w:p w14:paraId="621F9221">
                  <w:pPr>
                    <w:pStyle w:val="150"/>
                    <w:spacing w:beforeLines="0" w:afterLines="0"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1392" w:type="pct"/>
                  <w:vMerge w:val="continue"/>
                  <w:tcBorders>
                    <w:left w:val="single" w:color="auto" w:sz="4" w:space="0"/>
                  </w:tcBorders>
                  <w:noWrap w:val="0"/>
                  <w:vAlign w:val="center"/>
                </w:tcPr>
                <w:p w14:paraId="1BDB69E5">
                  <w:pPr>
                    <w:pStyle w:val="150"/>
                    <w:spacing w:beforeLines="0" w:afterLines="0" w:line="240" w:lineRule="auto"/>
                    <w:rPr>
                      <w:color w:val="auto"/>
                    </w:rPr>
                  </w:pPr>
                </w:p>
              </w:tc>
            </w:tr>
            <w:tr w14:paraId="5938B5F8">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39" w:hRule="atLeast"/>
                <w:tblHeader/>
              </w:trPr>
              <w:tc>
                <w:tcPr>
                  <w:tcW w:w="1076" w:type="pct"/>
                  <w:tcBorders>
                    <w:top w:val="single" w:color="auto" w:sz="4" w:space="0"/>
                    <w:bottom w:val="single" w:color="auto" w:sz="4" w:space="0"/>
                    <w:right w:val="single" w:color="auto" w:sz="4" w:space="0"/>
                  </w:tcBorders>
                  <w:noWrap w:val="0"/>
                  <w:vAlign w:val="center"/>
                </w:tcPr>
                <w:p w14:paraId="6DB8EBEB">
                  <w:pPr>
                    <w:pStyle w:val="150"/>
                    <w:spacing w:beforeLines="0" w:afterLines="0" w:line="240" w:lineRule="auto"/>
                    <w:rPr>
                      <w:rFonts w:hint="default" w:ascii="Times New Roman" w:hAnsi="Times New Roman" w:eastAsia="宋体" w:cs="Times New Roman"/>
                      <w:color w:val="auto"/>
                      <w:highlight w:val="none"/>
                      <w:lang w:val="en-US" w:eastAsia="zh-CN"/>
                    </w:rPr>
                  </w:pPr>
                  <w:r>
                    <w:rPr>
                      <w:color w:val="auto"/>
                    </w:rPr>
                    <w:t>3</w:t>
                  </w:r>
                </w:p>
              </w:tc>
              <w:tc>
                <w:tcPr>
                  <w:tcW w:w="1139" w:type="pct"/>
                  <w:tcBorders>
                    <w:top w:val="single" w:color="auto" w:sz="4" w:space="0"/>
                    <w:left w:val="single" w:color="auto" w:sz="4" w:space="0"/>
                    <w:bottom w:val="single" w:color="auto" w:sz="4" w:space="0"/>
                    <w:right w:val="single" w:color="auto" w:sz="4" w:space="0"/>
                  </w:tcBorders>
                  <w:noWrap w:val="0"/>
                  <w:vAlign w:val="center"/>
                </w:tcPr>
                <w:p w14:paraId="28FDB9EE">
                  <w:pPr>
                    <w:pStyle w:val="130"/>
                    <w:tabs>
                      <w:tab w:val="left" w:pos="470"/>
                    </w:tabs>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厂界西侧</w:t>
                  </w:r>
                </w:p>
              </w:tc>
              <w:tc>
                <w:tcPr>
                  <w:tcW w:w="1392" w:type="pct"/>
                  <w:tcBorders>
                    <w:top w:val="single" w:color="auto" w:sz="4" w:space="0"/>
                    <w:left w:val="single" w:color="auto" w:sz="4" w:space="0"/>
                    <w:bottom w:val="single" w:color="auto" w:sz="4" w:space="0"/>
                  </w:tcBorders>
                  <w:noWrap w:val="0"/>
                  <w:vAlign w:val="center"/>
                </w:tcPr>
                <w:p w14:paraId="712495E8">
                  <w:pPr>
                    <w:pStyle w:val="150"/>
                    <w:spacing w:beforeLines="0" w:afterLines="0"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51</w:t>
                  </w:r>
                </w:p>
              </w:tc>
              <w:tc>
                <w:tcPr>
                  <w:tcW w:w="1392" w:type="pct"/>
                  <w:vMerge w:val="continue"/>
                  <w:tcBorders>
                    <w:left w:val="single" w:color="auto" w:sz="4" w:space="0"/>
                  </w:tcBorders>
                  <w:noWrap w:val="0"/>
                  <w:vAlign w:val="center"/>
                </w:tcPr>
                <w:p w14:paraId="63F46D11">
                  <w:pPr>
                    <w:pStyle w:val="150"/>
                    <w:spacing w:beforeLines="0" w:afterLines="0" w:line="240" w:lineRule="auto"/>
                    <w:rPr>
                      <w:color w:val="auto"/>
                    </w:rPr>
                  </w:pPr>
                </w:p>
              </w:tc>
            </w:tr>
            <w:tr w14:paraId="3A0764E6">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78" w:hRule="atLeast"/>
                <w:tblHeader/>
              </w:trPr>
              <w:tc>
                <w:tcPr>
                  <w:tcW w:w="1076" w:type="pct"/>
                  <w:tcBorders>
                    <w:top w:val="single" w:color="auto" w:sz="4" w:space="0"/>
                    <w:bottom w:val="single" w:color="auto" w:sz="12" w:space="0"/>
                    <w:right w:val="single" w:color="auto" w:sz="4" w:space="0"/>
                  </w:tcBorders>
                  <w:noWrap w:val="0"/>
                  <w:vAlign w:val="center"/>
                </w:tcPr>
                <w:p w14:paraId="67488B3E">
                  <w:pPr>
                    <w:pStyle w:val="150"/>
                    <w:spacing w:beforeLines="0" w:afterLines="0" w:line="240" w:lineRule="auto"/>
                    <w:rPr>
                      <w:rFonts w:hint="default" w:ascii="Times New Roman" w:hAnsi="Times New Roman" w:eastAsia="宋体" w:cs="Times New Roman"/>
                      <w:color w:val="auto"/>
                      <w:highlight w:val="none"/>
                      <w:lang w:val="en-US" w:eastAsia="zh-CN"/>
                    </w:rPr>
                  </w:pPr>
                  <w:r>
                    <w:rPr>
                      <w:color w:val="auto"/>
                    </w:rPr>
                    <w:t>4</w:t>
                  </w:r>
                </w:p>
              </w:tc>
              <w:tc>
                <w:tcPr>
                  <w:tcW w:w="1139" w:type="pct"/>
                  <w:tcBorders>
                    <w:top w:val="single" w:color="auto" w:sz="4" w:space="0"/>
                    <w:left w:val="single" w:color="auto" w:sz="4" w:space="0"/>
                    <w:bottom w:val="single" w:color="auto" w:sz="12" w:space="0"/>
                    <w:right w:val="single" w:color="auto" w:sz="4" w:space="0"/>
                  </w:tcBorders>
                  <w:noWrap w:val="0"/>
                  <w:vAlign w:val="center"/>
                </w:tcPr>
                <w:p w14:paraId="78D12EF2">
                  <w:pPr>
                    <w:pStyle w:val="130"/>
                    <w:tabs>
                      <w:tab w:val="left" w:pos="470"/>
                    </w:tabs>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厂界北侧</w:t>
                  </w:r>
                </w:p>
              </w:tc>
              <w:tc>
                <w:tcPr>
                  <w:tcW w:w="1392" w:type="pct"/>
                  <w:tcBorders>
                    <w:top w:val="single" w:color="auto" w:sz="4" w:space="0"/>
                    <w:left w:val="single" w:color="auto" w:sz="4" w:space="0"/>
                    <w:bottom w:val="single" w:color="auto" w:sz="12" w:space="0"/>
                  </w:tcBorders>
                  <w:noWrap w:val="0"/>
                  <w:vAlign w:val="center"/>
                </w:tcPr>
                <w:p w14:paraId="32F3FEE5">
                  <w:pPr>
                    <w:pStyle w:val="150"/>
                    <w:spacing w:beforeLines="0" w:afterLines="0"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53</w:t>
                  </w:r>
                </w:p>
              </w:tc>
              <w:tc>
                <w:tcPr>
                  <w:tcW w:w="1392" w:type="pct"/>
                  <w:vMerge w:val="continue"/>
                  <w:tcBorders>
                    <w:left w:val="single" w:color="auto" w:sz="4" w:space="0"/>
                    <w:bottom w:val="single" w:color="auto" w:sz="12" w:space="0"/>
                  </w:tcBorders>
                  <w:noWrap w:val="0"/>
                  <w:vAlign w:val="center"/>
                </w:tcPr>
                <w:p w14:paraId="40985AE3">
                  <w:pPr>
                    <w:pStyle w:val="150"/>
                    <w:spacing w:beforeLines="0" w:afterLines="0" w:line="240" w:lineRule="auto"/>
                    <w:rPr>
                      <w:color w:val="auto"/>
                    </w:rPr>
                  </w:pPr>
                </w:p>
              </w:tc>
            </w:tr>
          </w:tbl>
          <w:p w14:paraId="0B637878">
            <w:pPr>
              <w:adjustRightInd w:val="0"/>
              <w:snapToGrid w:val="0"/>
              <w:spacing w:line="360" w:lineRule="auto"/>
              <w:jc w:val="left"/>
              <w:rPr>
                <w:snapToGrid w:val="0"/>
                <w:color w:val="auto"/>
                <w:kern w:val="0"/>
                <w:szCs w:val="21"/>
              </w:rPr>
            </w:pPr>
            <w:r>
              <w:rPr>
                <w:snapToGrid w:val="0"/>
                <w:color w:val="auto"/>
                <w:kern w:val="0"/>
                <w:szCs w:val="21"/>
              </w:rPr>
              <w:t>注：本项目夜间不生产。</w:t>
            </w:r>
          </w:p>
          <w:p w14:paraId="655A51A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bCs/>
                <w:color w:val="auto"/>
                <w:sz w:val="24"/>
                <w:highlight w:val="none"/>
                <w:lang w:val="en-US" w:eastAsia="zh-CN"/>
              </w:rPr>
            </w:pPr>
            <w:r>
              <w:rPr>
                <w:rFonts w:hint="eastAsia"/>
                <w:bCs/>
                <w:color w:val="auto"/>
                <w:sz w:val="24"/>
                <w:highlight w:val="none"/>
                <w:lang w:val="en-US" w:eastAsia="zh-CN"/>
              </w:rPr>
              <w:t>由预测结果可知，本工程运行后，经设备基础减震、隔声等措施后，再经距离衰减，厂界噪声贡献值在50-53dB(A)之间，项目厂界噪声满足《工业企业厂界环境噪声排放标准》（GB12348-2008）中的2类标准限值要求。综上，本项目的运营不会对周围声环境产生不良影响，对声环境的影响是可以接受的。</w:t>
            </w:r>
          </w:p>
          <w:p w14:paraId="7CF414D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4</w:t>
            </w:r>
            <w:r>
              <w:rPr>
                <w:rFonts w:hint="eastAsia" w:ascii="Times New Roman" w:hAnsi="Times New Roman" w:cs="Times New Roman"/>
                <w:b w:val="0"/>
                <w:bCs/>
                <w:color w:val="auto"/>
                <w:sz w:val="24"/>
                <w:highlight w:val="none"/>
                <w:lang w:val="en-US" w:eastAsia="zh-CN"/>
              </w:rPr>
              <w:t>、</w:t>
            </w:r>
            <w:r>
              <w:rPr>
                <w:rFonts w:hint="default" w:ascii="Times New Roman" w:hAnsi="Times New Roman" w:cs="Times New Roman"/>
                <w:b w:val="0"/>
                <w:bCs/>
                <w:color w:val="auto"/>
                <w:sz w:val="24"/>
                <w:highlight w:val="none"/>
              </w:rPr>
              <w:t>监测计划</w:t>
            </w:r>
          </w:p>
          <w:p w14:paraId="6D1B762F">
            <w:pPr>
              <w:keepNext w:val="0"/>
              <w:keepLines w:val="0"/>
              <w:pageBreakBefore w:val="0"/>
              <w:widowControl w:val="0"/>
              <w:kinsoku/>
              <w:wordWrap/>
              <w:overflowPunct/>
              <w:topLinePunct w:val="0"/>
              <w:autoSpaceDE/>
              <w:autoSpaceDN/>
              <w:bidi w:val="0"/>
              <w:adjustRightInd/>
              <w:snapToGrid/>
              <w:spacing w:line="500" w:lineRule="exact"/>
              <w:ind w:firstLine="360" w:firstLineChars="15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根据</w:t>
            </w:r>
            <w:r>
              <w:rPr>
                <w:rFonts w:hint="eastAsia" w:ascii="Times New Roman" w:hAnsi="Times New Roman" w:cs="Times New Roman"/>
                <w:color w:val="auto"/>
                <w:sz w:val="24"/>
                <w:highlight w:val="none"/>
                <w:lang w:val="en-US" w:eastAsia="zh-CN"/>
              </w:rPr>
              <w:t>《排污单位自行监测技术指南 火力发电及锅炉》(HJ820-2017)：“厂界环境噪声每季度至少开展一次昼夜监测，监测指标为等效A声级。周边有敏感点的，应提高监测频次”。本</w:t>
            </w:r>
            <w:r>
              <w:rPr>
                <w:rFonts w:hint="eastAsia" w:ascii="Times New Roman" w:hAnsi="Times New Roman" w:eastAsia="宋体" w:cs="Times New Roman"/>
                <w:bCs/>
                <w:color w:val="auto"/>
                <w:sz w:val="24"/>
                <w:highlight w:val="none"/>
                <w:lang w:val="en-US" w:eastAsia="zh-CN"/>
              </w:rPr>
              <w:t>项目建成后，</w:t>
            </w:r>
            <w:r>
              <w:rPr>
                <w:rFonts w:hint="eastAsia" w:cs="Times New Roman"/>
                <w:bCs/>
                <w:color w:val="auto"/>
                <w:sz w:val="24"/>
                <w:highlight w:val="none"/>
                <w:lang w:val="en-US" w:eastAsia="zh-CN"/>
              </w:rPr>
              <w:t>周边无敏感点，</w:t>
            </w:r>
            <w:r>
              <w:rPr>
                <w:rFonts w:hint="eastAsia" w:ascii="Times New Roman" w:hAnsi="Times New Roman" w:eastAsia="宋体" w:cs="Times New Roman"/>
                <w:bCs/>
                <w:color w:val="auto"/>
                <w:sz w:val="24"/>
                <w:highlight w:val="none"/>
                <w:lang w:val="en-US" w:eastAsia="zh-CN"/>
              </w:rPr>
              <w:t>年运行时间不发生变化，因此按每季度开展</w:t>
            </w:r>
            <w:r>
              <w:rPr>
                <w:rFonts w:hint="eastAsia" w:cs="Times New Roman"/>
                <w:bCs/>
                <w:color w:val="auto"/>
                <w:sz w:val="24"/>
                <w:highlight w:val="none"/>
                <w:lang w:val="en-US" w:eastAsia="zh-CN"/>
              </w:rPr>
              <w:t>1</w:t>
            </w:r>
            <w:r>
              <w:rPr>
                <w:rFonts w:hint="eastAsia" w:ascii="Times New Roman" w:hAnsi="Times New Roman" w:eastAsia="宋体" w:cs="Times New Roman"/>
                <w:bCs/>
                <w:color w:val="auto"/>
                <w:sz w:val="24"/>
                <w:highlight w:val="none"/>
                <w:lang w:val="en-US" w:eastAsia="zh-CN"/>
              </w:rPr>
              <w:t>次昼夜监测。</w:t>
            </w:r>
          </w:p>
          <w:p w14:paraId="7C99328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w:t>
            </w:r>
            <w:r>
              <w:rPr>
                <w:rFonts w:hint="eastAsia" w:cs="Times New Roman"/>
                <w:b/>
                <w:bCs/>
                <w:color w:val="auto"/>
                <w:sz w:val="24"/>
                <w:szCs w:val="24"/>
                <w:highlight w:val="none"/>
                <w:lang w:val="en-US" w:eastAsia="zh-CN"/>
              </w:rPr>
              <w:t xml:space="preserve">16 </w:t>
            </w:r>
            <w:r>
              <w:rPr>
                <w:rFonts w:hint="default" w:ascii="Times New Roman" w:hAnsi="Times New Roman" w:eastAsia="宋体" w:cs="Times New Roman"/>
                <w:b/>
                <w:bCs/>
                <w:color w:val="auto"/>
                <w:sz w:val="24"/>
                <w:szCs w:val="24"/>
                <w:highlight w:val="none"/>
                <w:lang w:val="en-US" w:eastAsia="zh-CN"/>
              </w:rPr>
              <w:t xml:space="preserve"> 噪声监测计划表</w:t>
            </w:r>
          </w:p>
          <w:tbl>
            <w:tblPr>
              <w:tblStyle w:val="32"/>
              <w:tblW w:w="795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9"/>
              <w:gridCol w:w="1989"/>
              <w:gridCol w:w="1990"/>
              <w:gridCol w:w="1990"/>
            </w:tblGrid>
            <w:tr w14:paraId="3EE66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73" w:hRule="atLeast"/>
              </w:trPr>
              <w:tc>
                <w:tcPr>
                  <w:tcW w:w="1989" w:type="dxa"/>
                  <w:tcBorders>
                    <w:tl2br w:val="nil"/>
                    <w:tr2bl w:val="nil"/>
                  </w:tcBorders>
                  <w:vAlign w:val="center"/>
                </w:tcPr>
                <w:p w14:paraId="6C89A123">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eastAsia" w:ascii="Times New Roman" w:hAnsi="Times New Roman" w:cs="Times New Roman"/>
                      <w:color w:val="auto"/>
                      <w:szCs w:val="21"/>
                      <w:highlight w:val="none"/>
                      <w:lang w:val="en-US" w:eastAsia="zh-CN"/>
                    </w:rPr>
                    <w:t>类别</w:t>
                  </w:r>
                </w:p>
              </w:tc>
              <w:tc>
                <w:tcPr>
                  <w:tcW w:w="1989" w:type="dxa"/>
                  <w:tcBorders>
                    <w:tl2br w:val="nil"/>
                    <w:tr2bl w:val="nil"/>
                  </w:tcBorders>
                  <w:vAlign w:val="center"/>
                </w:tcPr>
                <w:p w14:paraId="60C08063">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color w:val="auto"/>
                      <w:szCs w:val="21"/>
                      <w:highlight w:val="none"/>
                    </w:rPr>
                    <w:t>监测点位</w:t>
                  </w:r>
                </w:p>
              </w:tc>
              <w:tc>
                <w:tcPr>
                  <w:tcW w:w="1990" w:type="dxa"/>
                  <w:tcBorders>
                    <w:tl2br w:val="nil"/>
                    <w:tr2bl w:val="nil"/>
                  </w:tcBorders>
                  <w:vAlign w:val="center"/>
                </w:tcPr>
                <w:p w14:paraId="2631BAAA">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color w:val="auto"/>
                      <w:szCs w:val="21"/>
                      <w:highlight w:val="none"/>
                    </w:rPr>
                    <w:t>监测项目</w:t>
                  </w:r>
                </w:p>
              </w:tc>
              <w:tc>
                <w:tcPr>
                  <w:tcW w:w="1990" w:type="dxa"/>
                  <w:tcBorders>
                    <w:tl2br w:val="nil"/>
                    <w:tr2bl w:val="nil"/>
                  </w:tcBorders>
                  <w:vAlign w:val="center"/>
                </w:tcPr>
                <w:p w14:paraId="45AAF6CE">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color w:val="auto"/>
                      <w:szCs w:val="21"/>
                      <w:highlight w:val="none"/>
                    </w:rPr>
                    <w:t>监测频次</w:t>
                  </w:r>
                </w:p>
              </w:tc>
            </w:tr>
            <w:tr w14:paraId="17E477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1989" w:type="dxa"/>
                  <w:tcBorders>
                    <w:tl2br w:val="nil"/>
                    <w:tr2bl w:val="nil"/>
                  </w:tcBorders>
                  <w:vAlign w:val="center"/>
                </w:tcPr>
                <w:p w14:paraId="6AF19AC1">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color w:val="auto"/>
                      <w:szCs w:val="21"/>
                      <w:highlight w:val="none"/>
                    </w:rPr>
                    <w:t>噪声</w:t>
                  </w:r>
                </w:p>
              </w:tc>
              <w:tc>
                <w:tcPr>
                  <w:tcW w:w="1989" w:type="dxa"/>
                  <w:tcBorders>
                    <w:tl2br w:val="nil"/>
                    <w:tr2bl w:val="nil"/>
                  </w:tcBorders>
                  <w:vAlign w:val="center"/>
                </w:tcPr>
                <w:p w14:paraId="601B033A">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color w:val="auto"/>
                      <w:szCs w:val="21"/>
                      <w:highlight w:val="none"/>
                    </w:rPr>
                    <w:t>项目厂界四周（围墙外1m处）</w:t>
                  </w:r>
                </w:p>
              </w:tc>
              <w:tc>
                <w:tcPr>
                  <w:tcW w:w="1990" w:type="dxa"/>
                  <w:tcBorders>
                    <w:tl2br w:val="nil"/>
                    <w:tr2bl w:val="nil"/>
                  </w:tcBorders>
                  <w:vAlign w:val="center"/>
                </w:tcPr>
                <w:p w14:paraId="4670C11B">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color w:val="auto"/>
                      <w:szCs w:val="21"/>
                      <w:highlight w:val="none"/>
                    </w:rPr>
                    <w:t>昼间等效连续A声级</w:t>
                  </w:r>
                </w:p>
              </w:tc>
              <w:tc>
                <w:tcPr>
                  <w:tcW w:w="1990" w:type="dxa"/>
                  <w:tcBorders>
                    <w:tl2br w:val="nil"/>
                    <w:tr2bl w:val="nil"/>
                  </w:tcBorders>
                  <w:vAlign w:val="center"/>
                </w:tcPr>
                <w:p w14:paraId="0537AA36">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color w:val="auto"/>
                      <w:szCs w:val="21"/>
                      <w:highlight w:val="none"/>
                    </w:rPr>
                    <w:t>每季度</w:t>
                  </w:r>
                  <w:r>
                    <w:rPr>
                      <w:rFonts w:hint="eastAsia" w:cs="Times New Roman"/>
                      <w:color w:val="auto"/>
                      <w:szCs w:val="21"/>
                      <w:highlight w:val="none"/>
                      <w:lang w:val="en-US" w:eastAsia="zh-CN"/>
                    </w:rPr>
                    <w:t>1</w:t>
                  </w:r>
                  <w:r>
                    <w:rPr>
                      <w:rFonts w:hint="default" w:ascii="Times New Roman" w:hAnsi="Times New Roman" w:cs="Times New Roman"/>
                      <w:color w:val="auto"/>
                      <w:szCs w:val="21"/>
                      <w:highlight w:val="none"/>
                    </w:rPr>
                    <w:t>次</w:t>
                  </w:r>
                </w:p>
              </w:tc>
            </w:tr>
          </w:tbl>
          <w:p w14:paraId="13F4A68B">
            <w:pPr>
              <w:spacing w:before="120" w:beforeLines="50"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四、固废产生及处置措施</w:t>
            </w:r>
          </w:p>
          <w:p w14:paraId="0A86C221">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本项目产生的固体废弃物包括</w:t>
            </w:r>
            <w:r>
              <w:rPr>
                <w:rFonts w:hint="eastAsia" w:cs="Times New Roman"/>
                <w:b w:val="0"/>
                <w:bCs/>
                <w:color w:val="auto"/>
                <w:sz w:val="24"/>
                <w:highlight w:val="none"/>
                <w:lang w:val="en-US" w:eastAsia="zh-CN"/>
              </w:rPr>
              <w:t>生活垃圾、</w:t>
            </w:r>
            <w:r>
              <w:rPr>
                <w:rFonts w:hint="default" w:ascii="Times New Roman" w:hAnsi="Times New Roman" w:cs="Times New Roman"/>
                <w:b w:val="0"/>
                <w:bCs/>
                <w:color w:val="auto"/>
                <w:sz w:val="24"/>
                <w:highlight w:val="none"/>
              </w:rPr>
              <w:t>一般固废和危险废物。其中</w:t>
            </w:r>
            <w:r>
              <w:rPr>
                <w:rFonts w:hint="eastAsia" w:cs="Times New Roman"/>
                <w:b w:val="0"/>
                <w:bCs/>
                <w:color w:val="auto"/>
                <w:sz w:val="24"/>
                <w:highlight w:val="none"/>
                <w:lang w:val="en-US" w:eastAsia="zh-CN"/>
              </w:rPr>
              <w:t>生活垃圾集中收集，暂存于收纳桶，由环卫部门定期清运处理；</w:t>
            </w:r>
            <w:r>
              <w:rPr>
                <w:rFonts w:hint="default" w:ascii="Times New Roman" w:hAnsi="Times New Roman" w:cs="Times New Roman"/>
                <w:b w:val="0"/>
                <w:bCs/>
                <w:color w:val="auto"/>
                <w:sz w:val="24"/>
                <w:highlight w:val="none"/>
              </w:rPr>
              <w:t>一般废物主要包括废包装袋、废边角料、</w:t>
            </w:r>
            <w:r>
              <w:rPr>
                <w:rFonts w:hint="default" w:ascii="Times New Roman" w:hAnsi="Times New Roman" w:cs="Times New Roman"/>
                <w:b w:val="0"/>
                <w:bCs/>
                <w:color w:val="auto"/>
                <w:sz w:val="24"/>
                <w:highlight w:val="none"/>
                <w:lang w:val="en-US" w:eastAsia="zh-CN"/>
              </w:rPr>
              <w:t>锅炉灰渣、</w:t>
            </w:r>
            <w:r>
              <w:rPr>
                <w:rFonts w:hint="default" w:ascii="Times New Roman" w:hAnsi="Times New Roman" w:cs="Times New Roman"/>
                <w:b w:val="0"/>
                <w:bCs/>
                <w:color w:val="auto"/>
                <w:sz w:val="24"/>
                <w:highlight w:val="none"/>
              </w:rPr>
              <w:t>除尘器收集粉尘</w:t>
            </w:r>
            <w:r>
              <w:rPr>
                <w:rFonts w:hint="eastAsia" w:cs="Times New Roman"/>
                <w:b w:val="0"/>
                <w:bCs/>
                <w:color w:val="auto"/>
                <w:sz w:val="24"/>
                <w:highlight w:val="none"/>
                <w:lang w:eastAsia="zh-CN"/>
              </w:rPr>
              <w:t>、</w:t>
            </w:r>
            <w:r>
              <w:rPr>
                <w:rFonts w:hint="eastAsia" w:cs="Times New Roman"/>
                <w:b w:val="0"/>
                <w:bCs/>
                <w:color w:val="auto"/>
                <w:sz w:val="24"/>
                <w:highlight w:val="none"/>
                <w:lang w:val="en-US" w:eastAsia="zh-CN"/>
              </w:rPr>
              <w:t>废胶桶、废胶渣</w:t>
            </w:r>
            <w:r>
              <w:rPr>
                <w:rFonts w:hint="eastAsia" w:cs="Times New Roman"/>
                <w:b w:val="0"/>
                <w:bCs/>
                <w:color w:val="auto"/>
                <w:sz w:val="24"/>
                <w:highlight w:val="none"/>
                <w:lang w:eastAsia="zh-CN"/>
              </w:rPr>
              <w:t>；危险废物</w:t>
            </w:r>
            <w:r>
              <w:rPr>
                <w:rFonts w:hint="eastAsia" w:cs="Times New Roman"/>
                <w:b w:val="0"/>
                <w:bCs/>
                <w:color w:val="auto"/>
                <w:sz w:val="24"/>
                <w:highlight w:val="none"/>
                <w:lang w:val="en-US" w:eastAsia="zh-CN"/>
              </w:rPr>
              <w:t>主要包括废导热油</w:t>
            </w:r>
            <w:r>
              <w:rPr>
                <w:rFonts w:hint="eastAsia" w:cs="Times New Roman"/>
                <w:b w:val="0"/>
                <w:bCs/>
                <w:color w:val="auto"/>
                <w:sz w:val="24"/>
                <w:highlight w:val="none"/>
                <w:lang w:eastAsia="zh-CN"/>
              </w:rPr>
              <w:t>、废</w:t>
            </w:r>
            <w:r>
              <w:rPr>
                <w:rFonts w:hint="eastAsia" w:cs="Times New Roman"/>
                <w:b w:val="0"/>
                <w:bCs/>
                <w:color w:val="auto"/>
                <w:sz w:val="24"/>
                <w:highlight w:val="none"/>
                <w:lang w:val="en-US" w:eastAsia="zh-CN"/>
              </w:rPr>
              <w:t>机油、废油桶、废弃的含油抹布及手套</w:t>
            </w:r>
            <w:r>
              <w:rPr>
                <w:rFonts w:hint="eastAsia" w:cs="Times New Roman"/>
                <w:b w:val="0"/>
                <w:bCs/>
                <w:color w:val="auto"/>
                <w:sz w:val="24"/>
                <w:highlight w:val="none"/>
                <w:lang w:eastAsia="zh-CN"/>
              </w:rPr>
              <w:t>、废活性炭</w:t>
            </w:r>
            <w:r>
              <w:rPr>
                <w:rFonts w:hint="default" w:ascii="Times New Roman" w:hAnsi="Times New Roman" w:cs="Times New Roman"/>
                <w:b w:val="0"/>
                <w:bCs/>
                <w:color w:val="auto"/>
                <w:sz w:val="24"/>
                <w:highlight w:val="none"/>
              </w:rPr>
              <w:t>。具体产生及处理情况如下：</w:t>
            </w:r>
          </w:p>
          <w:p w14:paraId="486F23FC">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（1）生活垃圾：本项目劳动定员</w:t>
            </w:r>
            <w:r>
              <w:rPr>
                <w:rFonts w:hint="eastAsia" w:cs="Times New Roman"/>
                <w:b w:val="0"/>
                <w:bCs/>
                <w:color w:val="auto"/>
                <w:sz w:val="24"/>
                <w:highlight w:val="none"/>
                <w:lang w:val="en-US" w:eastAsia="zh-CN"/>
              </w:rPr>
              <w:t>18</w:t>
            </w:r>
            <w:r>
              <w:rPr>
                <w:rFonts w:hint="default" w:ascii="Times New Roman" w:hAnsi="Times New Roman" w:cs="Times New Roman"/>
                <w:b w:val="0"/>
                <w:bCs/>
                <w:color w:val="auto"/>
                <w:sz w:val="24"/>
                <w:highlight w:val="none"/>
              </w:rPr>
              <w:t>人，年工作天数为</w:t>
            </w:r>
            <w:r>
              <w:rPr>
                <w:rFonts w:hint="eastAsia" w:cs="Times New Roman"/>
                <w:b w:val="0"/>
                <w:bCs/>
                <w:color w:val="auto"/>
                <w:sz w:val="24"/>
                <w:highlight w:val="none"/>
                <w:lang w:val="en-US" w:eastAsia="zh-CN"/>
              </w:rPr>
              <w:t>270</w:t>
            </w:r>
            <w:r>
              <w:rPr>
                <w:rFonts w:hint="default" w:ascii="Times New Roman" w:hAnsi="Times New Roman" w:cs="Times New Roman"/>
                <w:b w:val="0"/>
                <w:bCs/>
                <w:color w:val="auto"/>
                <w:sz w:val="24"/>
                <w:highlight w:val="none"/>
              </w:rPr>
              <w:t>天，在生产营运期间生活垃圾产生系数取0.</w:t>
            </w:r>
            <w:r>
              <w:rPr>
                <w:rFonts w:hint="eastAsia" w:cs="Times New Roman"/>
                <w:b w:val="0"/>
                <w:bCs/>
                <w:color w:val="auto"/>
                <w:sz w:val="24"/>
                <w:highlight w:val="none"/>
                <w:lang w:val="en-US" w:eastAsia="zh-CN"/>
              </w:rPr>
              <w:t>5</w:t>
            </w:r>
            <w:r>
              <w:rPr>
                <w:rFonts w:hint="default" w:ascii="Times New Roman" w:hAnsi="Times New Roman" w:cs="Times New Roman"/>
                <w:b w:val="0"/>
                <w:bCs/>
                <w:color w:val="auto"/>
                <w:sz w:val="24"/>
                <w:highlight w:val="none"/>
              </w:rPr>
              <w:t>kg/人•天，因此，项目生活垃圾产生量为</w:t>
            </w:r>
            <w:r>
              <w:rPr>
                <w:rFonts w:hint="eastAsia" w:cs="Times New Roman"/>
                <w:b w:val="0"/>
                <w:bCs/>
                <w:color w:val="auto"/>
                <w:sz w:val="24"/>
                <w:highlight w:val="none"/>
                <w:lang w:val="en-US" w:eastAsia="zh-CN"/>
              </w:rPr>
              <w:t>9</w:t>
            </w:r>
            <w:r>
              <w:rPr>
                <w:rFonts w:hint="default" w:ascii="Times New Roman" w:hAnsi="Times New Roman" w:cs="Times New Roman"/>
                <w:b w:val="0"/>
                <w:bCs/>
                <w:color w:val="auto"/>
                <w:sz w:val="24"/>
                <w:highlight w:val="none"/>
              </w:rPr>
              <w:t>kg/d、</w:t>
            </w:r>
            <w:r>
              <w:rPr>
                <w:rFonts w:hint="eastAsia" w:cs="Times New Roman"/>
                <w:b w:val="0"/>
                <w:bCs/>
                <w:color w:val="auto"/>
                <w:sz w:val="24"/>
                <w:highlight w:val="none"/>
                <w:lang w:val="en-US" w:eastAsia="zh-CN"/>
              </w:rPr>
              <w:t>2.43</w:t>
            </w:r>
            <w:r>
              <w:rPr>
                <w:rFonts w:hint="default" w:ascii="Times New Roman" w:hAnsi="Times New Roman" w:cs="Times New Roman"/>
                <w:b w:val="0"/>
                <w:bCs/>
                <w:color w:val="auto"/>
                <w:sz w:val="24"/>
                <w:highlight w:val="none"/>
              </w:rPr>
              <w:t>t/a，集中收集后，交由</w:t>
            </w:r>
            <w:r>
              <w:rPr>
                <w:rFonts w:hint="eastAsia" w:cs="Times New Roman"/>
                <w:b w:val="0"/>
                <w:bCs/>
                <w:color w:val="auto"/>
                <w:sz w:val="24"/>
                <w:highlight w:val="none"/>
                <w:lang w:val="en-US" w:eastAsia="zh-CN"/>
              </w:rPr>
              <w:t>环卫</w:t>
            </w:r>
            <w:r>
              <w:rPr>
                <w:rFonts w:hint="default" w:ascii="Times New Roman" w:hAnsi="Times New Roman" w:cs="Times New Roman"/>
                <w:b w:val="0"/>
                <w:bCs/>
                <w:color w:val="auto"/>
                <w:sz w:val="24"/>
                <w:highlight w:val="none"/>
              </w:rPr>
              <w:t>部门统一处理。</w:t>
            </w:r>
          </w:p>
          <w:p w14:paraId="7CB6E809">
            <w:pPr>
              <w:spacing w:line="360" w:lineRule="auto"/>
              <w:ind w:firstLine="480" w:firstLineChars="200"/>
              <w:rPr>
                <w:rFonts w:hint="eastAsia" w:ascii="Times New Roman" w:hAnsi="Times New Roman" w:eastAsia="宋体" w:cs="Times New Roman"/>
                <w:b w:val="0"/>
                <w:bCs/>
                <w:color w:val="auto"/>
                <w:sz w:val="24"/>
                <w:highlight w:val="none"/>
                <w:lang w:eastAsia="zh-CN"/>
              </w:rPr>
            </w:pPr>
            <w:r>
              <w:rPr>
                <w:rFonts w:hint="default" w:ascii="Times New Roman" w:hAnsi="Times New Roman" w:cs="Times New Roman"/>
                <w:b w:val="0"/>
                <w:bCs/>
                <w:color w:val="auto"/>
                <w:sz w:val="24"/>
                <w:highlight w:val="none"/>
              </w:rPr>
              <w:t>（2）</w:t>
            </w:r>
            <w:r>
              <w:rPr>
                <w:rFonts w:hint="eastAsia" w:cs="Times New Roman"/>
                <w:b w:val="0"/>
                <w:bCs/>
                <w:color w:val="auto"/>
                <w:sz w:val="24"/>
                <w:highlight w:val="none"/>
                <w:lang w:val="en-US" w:eastAsia="zh-CN"/>
              </w:rPr>
              <w:t>一般固废</w:t>
            </w:r>
          </w:p>
          <w:p w14:paraId="32A1E7EB">
            <w:pPr>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rPr>
              <w:t>①</w:t>
            </w:r>
            <w:r>
              <w:rPr>
                <w:rFonts w:hint="eastAsia" w:ascii="Times New Roman" w:hAnsi="Times New Roman" w:eastAsia="宋体" w:cs="Times New Roman"/>
                <w:b w:val="0"/>
                <w:bCs/>
                <w:color w:val="auto"/>
                <w:sz w:val="24"/>
                <w:highlight w:val="none"/>
                <w:lang w:val="en-US" w:eastAsia="zh-CN"/>
              </w:rPr>
              <w:t>废包装袋</w:t>
            </w:r>
          </w:p>
          <w:p w14:paraId="70673A4A">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在</w:t>
            </w:r>
            <w:r>
              <w:rPr>
                <w:rFonts w:hint="eastAsia" w:cs="Times New Roman"/>
                <w:b w:val="0"/>
                <w:bCs/>
                <w:color w:val="auto"/>
                <w:sz w:val="24"/>
                <w:highlight w:val="none"/>
                <w:lang w:val="en-US" w:eastAsia="zh-CN"/>
              </w:rPr>
              <w:t>生产</w:t>
            </w:r>
            <w:r>
              <w:rPr>
                <w:rFonts w:hint="default" w:ascii="Times New Roman" w:hAnsi="Times New Roman" w:cs="Times New Roman"/>
                <w:b w:val="0"/>
                <w:bCs/>
                <w:color w:val="auto"/>
                <w:sz w:val="24"/>
                <w:highlight w:val="none"/>
              </w:rPr>
              <w:t>过程中使用的</w:t>
            </w:r>
            <w:r>
              <w:rPr>
                <w:rFonts w:hint="eastAsia" w:cs="Times New Roman"/>
                <w:b w:val="0"/>
                <w:bCs/>
                <w:color w:val="auto"/>
                <w:sz w:val="24"/>
                <w:highlight w:val="none"/>
                <w:lang w:val="en-US" w:eastAsia="zh-CN"/>
              </w:rPr>
              <w:t>面粉</w:t>
            </w:r>
            <w:r>
              <w:rPr>
                <w:rFonts w:hint="default" w:ascii="Times New Roman" w:hAnsi="Times New Roman" w:cs="Times New Roman"/>
                <w:b w:val="0"/>
                <w:bCs/>
                <w:color w:val="auto"/>
                <w:sz w:val="24"/>
                <w:highlight w:val="none"/>
              </w:rPr>
              <w:t>等废包装袋</w:t>
            </w:r>
            <w:r>
              <w:rPr>
                <w:rFonts w:hint="eastAsia" w:cs="Times New Roman"/>
                <w:b w:val="0"/>
                <w:bCs/>
                <w:color w:val="auto"/>
                <w:sz w:val="24"/>
                <w:highlight w:val="none"/>
                <w:lang w:val="en-US" w:eastAsia="zh-CN"/>
              </w:rPr>
              <w:t>，</w:t>
            </w:r>
            <w:r>
              <w:rPr>
                <w:rFonts w:hint="default" w:ascii="Times New Roman" w:hAnsi="Times New Roman" w:cs="Times New Roman"/>
                <w:b w:val="0"/>
                <w:bCs/>
                <w:color w:val="auto"/>
                <w:sz w:val="24"/>
                <w:highlight w:val="none"/>
              </w:rPr>
              <w:t>根据《一般固体废物分类与代码》（GB/T 39198-2020），代码为</w:t>
            </w:r>
            <w:r>
              <w:rPr>
                <w:rFonts w:hint="default" w:ascii="Times New Roman" w:hAnsi="Times New Roman" w:cs="Times New Roman"/>
                <w:b w:val="0"/>
                <w:bCs/>
                <w:color w:val="auto"/>
                <w:sz w:val="24"/>
                <w:highlight w:val="none"/>
                <w:lang w:val="en-US" w:eastAsia="zh-CN"/>
              </w:rPr>
              <w:t>SW62</w:t>
            </w:r>
            <w:r>
              <w:rPr>
                <w:rFonts w:hint="eastAsia" w:ascii="Times New Roman" w:hAnsi="Times New Roman" w:cs="Times New Roman"/>
                <w:b w:val="0"/>
                <w:bCs/>
                <w:color w:val="auto"/>
                <w:sz w:val="24"/>
                <w:highlight w:val="none"/>
                <w:lang w:val="en-US" w:eastAsia="zh-CN"/>
              </w:rPr>
              <w:t xml:space="preserve"> </w:t>
            </w:r>
            <w:r>
              <w:rPr>
                <w:rFonts w:hint="default" w:ascii="Times New Roman" w:hAnsi="Times New Roman" w:cs="Times New Roman"/>
                <w:b w:val="0"/>
                <w:bCs/>
                <w:color w:val="auto"/>
                <w:sz w:val="24"/>
                <w:highlight w:val="none"/>
                <w:lang w:val="en-US" w:eastAsia="zh-CN"/>
              </w:rPr>
              <w:t>900-002-S62</w:t>
            </w:r>
            <w:r>
              <w:rPr>
                <w:rFonts w:hint="default" w:ascii="Times New Roman" w:hAnsi="Times New Roman" w:cs="Times New Roman"/>
                <w:b w:val="0"/>
                <w:bCs/>
                <w:color w:val="auto"/>
                <w:sz w:val="24"/>
                <w:highlight w:val="none"/>
              </w:rPr>
              <w:t>。</w:t>
            </w:r>
            <w:r>
              <w:rPr>
                <w:rFonts w:hint="eastAsia" w:ascii="Times New Roman" w:hAnsi="Times New Roman" w:cs="Times New Roman"/>
                <w:b w:val="0"/>
                <w:bCs/>
                <w:color w:val="auto"/>
                <w:sz w:val="24"/>
                <w:highlight w:val="none"/>
                <w:lang w:val="en-US" w:eastAsia="zh-CN"/>
              </w:rPr>
              <w:t>根据建设单位提供资料，废包装袋</w:t>
            </w:r>
            <w:r>
              <w:rPr>
                <w:rFonts w:hint="default" w:ascii="Times New Roman" w:hAnsi="Times New Roman" w:cs="Times New Roman"/>
                <w:b w:val="0"/>
                <w:bCs/>
                <w:color w:val="auto"/>
                <w:sz w:val="24"/>
                <w:highlight w:val="none"/>
              </w:rPr>
              <w:t>产生量为0.</w:t>
            </w:r>
            <w:r>
              <w:rPr>
                <w:rFonts w:hint="eastAsia" w:cs="Times New Roman"/>
                <w:b w:val="0"/>
                <w:bCs/>
                <w:color w:val="auto"/>
                <w:sz w:val="24"/>
                <w:highlight w:val="none"/>
                <w:lang w:val="en-US" w:eastAsia="zh-CN"/>
              </w:rPr>
              <w:t>5</w:t>
            </w:r>
            <w:r>
              <w:rPr>
                <w:rFonts w:hint="default" w:ascii="Times New Roman" w:hAnsi="Times New Roman" w:cs="Times New Roman"/>
                <w:b w:val="0"/>
                <w:bCs/>
                <w:color w:val="auto"/>
                <w:sz w:val="24"/>
                <w:highlight w:val="none"/>
              </w:rPr>
              <w:t>t/a，集中收集后，收集后出售给废品回收公司。</w:t>
            </w:r>
          </w:p>
          <w:p w14:paraId="166A9048">
            <w:pPr>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rPr>
              <w:t>②</w:t>
            </w:r>
            <w:r>
              <w:rPr>
                <w:rFonts w:hint="eastAsia" w:ascii="Times New Roman" w:hAnsi="Times New Roman" w:eastAsia="宋体" w:cs="Times New Roman"/>
                <w:b w:val="0"/>
                <w:bCs/>
                <w:color w:val="auto"/>
                <w:sz w:val="24"/>
                <w:highlight w:val="none"/>
                <w:lang w:val="en-US" w:eastAsia="zh-CN"/>
              </w:rPr>
              <w:t>废边角料</w:t>
            </w:r>
          </w:p>
          <w:p w14:paraId="584C47BA">
            <w:pPr>
              <w:spacing w:line="360" w:lineRule="auto"/>
              <w:ind w:firstLine="480" w:firstLineChars="200"/>
              <w:rPr>
                <w:rFonts w:hint="eastAsia" w:ascii="Times New Roman" w:hAnsi="Times New Roman" w:eastAsia="宋体" w:cs="Times New Roman"/>
                <w:b w:val="0"/>
                <w:bCs/>
                <w:color w:val="auto"/>
                <w:sz w:val="24"/>
                <w:highlight w:val="none"/>
                <w:lang w:eastAsia="zh-CN"/>
              </w:rPr>
            </w:pPr>
            <w:r>
              <w:rPr>
                <w:rFonts w:hint="eastAsia" w:ascii="Times New Roman" w:hAnsi="Times New Roman" w:eastAsia="宋体" w:cs="Times New Roman"/>
                <w:b w:val="0"/>
                <w:bCs/>
                <w:color w:val="auto"/>
                <w:sz w:val="24"/>
                <w:highlight w:val="none"/>
              </w:rPr>
              <w:t>本项目在锯木、</w:t>
            </w:r>
            <w:r>
              <w:rPr>
                <w:rFonts w:hint="eastAsia" w:ascii="Times New Roman" w:hAnsi="Times New Roman" w:eastAsia="宋体" w:cs="Times New Roman"/>
                <w:b w:val="0"/>
                <w:bCs/>
                <w:color w:val="auto"/>
                <w:sz w:val="24"/>
                <w:highlight w:val="none"/>
                <w:lang w:val="en-US" w:eastAsia="zh-CN"/>
              </w:rPr>
              <w:t>锯</w:t>
            </w:r>
            <w:r>
              <w:rPr>
                <w:rFonts w:hint="eastAsia" w:ascii="Times New Roman" w:hAnsi="Times New Roman" w:eastAsia="宋体" w:cs="Times New Roman"/>
                <w:b w:val="0"/>
                <w:bCs/>
                <w:color w:val="auto"/>
                <w:sz w:val="24"/>
                <w:highlight w:val="none"/>
              </w:rPr>
              <w:t>切过程会产生边角料，根据《一般固体废物分类与代码》（GB/T 39198-2020），属于废弃资源行业生产过程中产生的废木制品，代码为</w:t>
            </w:r>
            <w:r>
              <w:rPr>
                <w:rFonts w:hint="eastAsia" w:ascii="Times New Roman" w:hAnsi="Times New Roman" w:eastAsia="宋体" w:cs="Times New Roman"/>
                <w:b w:val="0"/>
                <w:bCs/>
                <w:color w:val="auto"/>
                <w:sz w:val="24"/>
                <w:highlight w:val="none"/>
                <w:lang w:val="en-US" w:eastAsia="zh-CN"/>
              </w:rPr>
              <w:t>SW17 900-009-S17</w:t>
            </w:r>
            <w:r>
              <w:rPr>
                <w:rFonts w:hint="eastAsia" w:ascii="Times New Roman" w:hAnsi="Times New Roman" w:eastAsia="宋体" w:cs="Times New Roman"/>
                <w:b w:val="0"/>
                <w:bCs/>
                <w:color w:val="auto"/>
                <w:sz w:val="24"/>
                <w:highlight w:val="none"/>
              </w:rPr>
              <w:t>。项目采用原木量为</w:t>
            </w:r>
            <w:r>
              <w:rPr>
                <w:rFonts w:hint="eastAsia" w:cs="Times New Roman"/>
                <w:b w:val="0"/>
                <w:bCs/>
                <w:color w:val="auto"/>
                <w:sz w:val="24"/>
                <w:highlight w:val="none"/>
                <w:lang w:val="en-US" w:eastAsia="zh-CN"/>
              </w:rPr>
              <w:t>12</w:t>
            </w:r>
            <w:r>
              <w:rPr>
                <w:rFonts w:hint="eastAsia" w:ascii="Times New Roman" w:hAnsi="Times New Roman" w:eastAsia="宋体" w:cs="Times New Roman"/>
                <w:b w:val="0"/>
                <w:bCs/>
                <w:color w:val="auto"/>
                <w:sz w:val="24"/>
                <w:highlight w:val="none"/>
              </w:rPr>
              <w:t>000m</w:t>
            </w:r>
            <w:r>
              <w:rPr>
                <w:rFonts w:hint="eastAsia" w:ascii="Times New Roman" w:hAnsi="Times New Roman" w:eastAsia="宋体" w:cs="Times New Roman"/>
                <w:b w:val="0"/>
                <w:bCs/>
                <w:color w:val="auto"/>
                <w:sz w:val="24"/>
                <w:highlight w:val="none"/>
                <w:vertAlign w:val="superscript"/>
              </w:rPr>
              <w:t>3</w:t>
            </w:r>
            <w:r>
              <w:rPr>
                <w:rFonts w:hint="eastAsia" w:ascii="Times New Roman" w:hAnsi="Times New Roman" w:eastAsia="宋体" w:cs="Times New Roman"/>
                <w:b w:val="0"/>
                <w:bCs/>
                <w:color w:val="auto"/>
                <w:sz w:val="24"/>
                <w:highlight w:val="none"/>
              </w:rPr>
              <w:t>/a（</w:t>
            </w:r>
            <w:r>
              <w:rPr>
                <w:rFonts w:hint="eastAsia" w:cs="Times New Roman"/>
                <w:b w:val="0"/>
                <w:bCs/>
                <w:color w:val="auto"/>
                <w:sz w:val="24"/>
                <w:highlight w:val="none"/>
                <w:lang w:val="en-US" w:eastAsia="zh-CN"/>
              </w:rPr>
              <w:t>48</w:t>
            </w:r>
            <w:r>
              <w:rPr>
                <w:rFonts w:hint="eastAsia" w:ascii="Times New Roman" w:hAnsi="Times New Roman" w:eastAsia="宋体" w:cs="Times New Roman"/>
                <w:b w:val="0"/>
                <w:bCs/>
                <w:color w:val="auto"/>
                <w:sz w:val="24"/>
                <w:highlight w:val="none"/>
                <w:lang w:val="en-US" w:eastAsia="zh-CN"/>
              </w:rPr>
              <w:t>00</w:t>
            </w:r>
            <w:r>
              <w:rPr>
                <w:rFonts w:hint="eastAsia" w:ascii="Times New Roman" w:hAnsi="Times New Roman" w:eastAsia="宋体" w:cs="Times New Roman"/>
                <w:b w:val="0"/>
                <w:bCs/>
                <w:color w:val="auto"/>
                <w:sz w:val="24"/>
                <w:highlight w:val="none"/>
              </w:rPr>
              <w:t>t/a）。木材加工产生的边角料约占原料使用量的1%，则边角料产生量约为</w:t>
            </w:r>
            <w:r>
              <w:rPr>
                <w:rFonts w:hint="eastAsia" w:cs="Times New Roman"/>
                <w:b w:val="0"/>
                <w:bCs/>
                <w:color w:val="auto"/>
                <w:sz w:val="24"/>
                <w:highlight w:val="none"/>
                <w:lang w:val="en-US" w:eastAsia="zh-CN"/>
              </w:rPr>
              <w:t>48</w:t>
            </w:r>
            <w:r>
              <w:rPr>
                <w:rFonts w:hint="eastAsia" w:ascii="Times New Roman" w:hAnsi="Times New Roman" w:eastAsia="宋体" w:cs="Times New Roman"/>
                <w:b w:val="0"/>
                <w:bCs/>
                <w:color w:val="auto"/>
                <w:sz w:val="24"/>
                <w:highlight w:val="none"/>
              </w:rPr>
              <w:t>t/a，经统一收集后</w:t>
            </w:r>
            <w:r>
              <w:rPr>
                <w:rFonts w:hint="eastAsia" w:ascii="Times New Roman" w:hAnsi="Times New Roman" w:eastAsia="宋体" w:cs="Times New Roman"/>
                <w:b w:val="0"/>
                <w:bCs/>
                <w:color w:val="auto"/>
                <w:sz w:val="24"/>
                <w:highlight w:val="none"/>
                <w:lang w:val="en-US" w:eastAsia="zh-CN"/>
              </w:rPr>
              <w:t>外售处置</w:t>
            </w:r>
            <w:r>
              <w:rPr>
                <w:rFonts w:hint="eastAsia" w:ascii="Times New Roman" w:hAnsi="Times New Roman" w:eastAsia="宋体" w:cs="Times New Roman"/>
                <w:b w:val="0"/>
                <w:bCs/>
                <w:color w:val="auto"/>
                <w:sz w:val="24"/>
                <w:highlight w:val="none"/>
                <w:lang w:eastAsia="zh-CN"/>
              </w:rPr>
              <w:t>。</w:t>
            </w:r>
          </w:p>
          <w:p w14:paraId="435E657C">
            <w:pPr>
              <w:spacing w:line="360" w:lineRule="auto"/>
              <w:ind w:firstLine="480" w:firstLineChars="200"/>
              <w:rPr>
                <w:rFonts w:hint="default" w:ascii="Times New Roman" w:hAnsi="Times New Roman" w:cs="Times New Roman"/>
                <w:b w:val="0"/>
                <w:bCs/>
                <w:color w:val="auto"/>
                <w:sz w:val="24"/>
                <w:highlight w:val="none"/>
              </w:rPr>
            </w:pPr>
            <w:r>
              <w:rPr>
                <w:rFonts w:hint="eastAsia" w:ascii="Times New Roman" w:hAnsi="Times New Roman" w:eastAsia="宋体" w:cs="Times New Roman"/>
                <w:b w:val="0"/>
                <w:bCs/>
                <w:color w:val="auto"/>
                <w:sz w:val="24"/>
                <w:highlight w:val="none"/>
              </w:rPr>
              <w:t>③</w:t>
            </w:r>
            <w:r>
              <w:rPr>
                <w:rFonts w:hint="default" w:ascii="Times New Roman" w:hAnsi="Times New Roman" w:eastAsia="宋体" w:cs="Times New Roman"/>
                <w:b w:val="0"/>
                <w:bCs/>
                <w:color w:val="auto"/>
                <w:sz w:val="24"/>
                <w:highlight w:val="none"/>
              </w:rPr>
              <w:t>锅炉</w:t>
            </w:r>
            <w:r>
              <w:rPr>
                <w:rFonts w:hint="eastAsia" w:ascii="Times New Roman" w:hAnsi="Times New Roman" w:eastAsia="宋体" w:cs="Times New Roman"/>
                <w:b w:val="0"/>
                <w:bCs/>
                <w:color w:val="auto"/>
                <w:sz w:val="24"/>
                <w:highlight w:val="none"/>
                <w:lang w:val="en-US" w:eastAsia="zh-CN"/>
              </w:rPr>
              <w:t>灰</w:t>
            </w:r>
            <w:r>
              <w:rPr>
                <w:rFonts w:hint="default" w:ascii="Times New Roman" w:hAnsi="Times New Roman" w:cs="Times New Roman"/>
                <w:b w:val="0"/>
                <w:bCs/>
                <w:color w:val="auto"/>
                <w:sz w:val="24"/>
                <w:highlight w:val="none"/>
              </w:rPr>
              <w:t>渣</w:t>
            </w:r>
          </w:p>
          <w:p w14:paraId="12346365">
            <w:pPr>
              <w:spacing w:line="360" w:lineRule="auto"/>
              <w:ind w:firstLine="480" w:firstLineChars="200"/>
              <w:jc w:val="center"/>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本项目产生炉渣量根据《污染源源强核算技术指南 锅炉》（HJ991-2018）中8固体废物源强核算方法中8.1给出的的物料衡算法确定，计算公式为：</w:t>
            </w:r>
            <w:r>
              <w:rPr>
                <w:rFonts w:hint="default" w:ascii="Times New Roman" w:hAnsi="Times New Roman" w:cs="Times New Roman"/>
                <w:b w:val="0"/>
                <w:bCs/>
                <w:color w:val="auto"/>
                <w:sz w:val="24"/>
                <w:highlight w:val="none"/>
              </w:rPr>
              <w:br w:type="textWrapping"/>
            </w:r>
            <w:r>
              <w:rPr>
                <w:rFonts w:hint="default" w:ascii="Times New Roman" w:hAnsi="Times New Roman" w:cs="Times New Roman"/>
                <w:b w:val="0"/>
                <w:bCs/>
                <w:color w:val="auto"/>
                <w:sz w:val="24"/>
                <w:highlight w:val="none"/>
              </w:rPr>
              <w:drawing>
                <wp:inline distT="0" distB="0" distL="114300" distR="114300">
                  <wp:extent cx="2400300" cy="581025"/>
                  <wp:effectExtent l="0" t="0" r="0" b="9525"/>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38"/>
                          <a:stretch>
                            <a:fillRect/>
                          </a:stretch>
                        </pic:blipFill>
                        <pic:spPr>
                          <a:xfrm>
                            <a:off x="0" y="0"/>
                            <a:ext cx="2400300" cy="581025"/>
                          </a:xfrm>
                          <a:prstGeom prst="rect">
                            <a:avLst/>
                          </a:prstGeom>
                          <a:noFill/>
                          <a:ln>
                            <a:noFill/>
                          </a:ln>
                        </pic:spPr>
                      </pic:pic>
                    </a:graphicData>
                  </a:graphic>
                </wp:inline>
              </w:drawing>
            </w:r>
          </w:p>
          <w:p w14:paraId="07DB030B">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式中：E</w:t>
            </w:r>
            <w:r>
              <w:rPr>
                <w:rFonts w:hint="default" w:ascii="Times New Roman" w:hAnsi="Times New Roman" w:cs="Times New Roman"/>
                <w:b w:val="0"/>
                <w:bCs/>
                <w:color w:val="auto"/>
                <w:sz w:val="24"/>
                <w:highlight w:val="none"/>
                <w:vertAlign w:val="subscript"/>
              </w:rPr>
              <w:t>hz</w:t>
            </w:r>
            <w:r>
              <w:rPr>
                <w:rFonts w:hint="default" w:ascii="Times New Roman" w:hAnsi="Times New Roman" w:cs="Times New Roman"/>
                <w:b w:val="0"/>
                <w:bCs/>
                <w:color w:val="auto"/>
                <w:sz w:val="24"/>
                <w:highlight w:val="none"/>
              </w:rPr>
              <w:t>－核算时段内灰渣产生量，t；</w:t>
            </w:r>
          </w:p>
          <w:p w14:paraId="19921763">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R－核算时段内锅炉燃料耗量，t，本项目取</w:t>
            </w:r>
            <w:r>
              <w:rPr>
                <w:rFonts w:hint="eastAsia" w:cs="Times New Roman"/>
                <w:b w:val="0"/>
                <w:bCs/>
                <w:color w:val="auto"/>
                <w:sz w:val="24"/>
                <w:highlight w:val="none"/>
                <w:lang w:val="en-US" w:eastAsia="zh-CN"/>
              </w:rPr>
              <w:t>1530</w:t>
            </w:r>
            <w:r>
              <w:rPr>
                <w:rFonts w:hint="default" w:ascii="Times New Roman" w:hAnsi="Times New Roman" w:cs="Times New Roman"/>
                <w:b w:val="0"/>
                <w:bCs/>
                <w:color w:val="auto"/>
                <w:sz w:val="24"/>
                <w:highlight w:val="none"/>
              </w:rPr>
              <w:t>t/a；</w:t>
            </w:r>
          </w:p>
          <w:p w14:paraId="339B93D7">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A</w:t>
            </w:r>
            <w:r>
              <w:rPr>
                <w:rFonts w:hint="default" w:ascii="Times New Roman" w:hAnsi="Times New Roman" w:cs="Times New Roman"/>
                <w:b w:val="0"/>
                <w:bCs/>
                <w:color w:val="auto"/>
                <w:sz w:val="24"/>
                <w:highlight w:val="none"/>
                <w:vertAlign w:val="subscript"/>
              </w:rPr>
              <w:t>ar</w:t>
            </w:r>
            <w:r>
              <w:rPr>
                <w:rFonts w:hint="default" w:ascii="Times New Roman" w:hAnsi="Times New Roman" w:cs="Times New Roman"/>
                <w:b w:val="0"/>
                <w:bCs/>
                <w:color w:val="auto"/>
                <w:sz w:val="24"/>
                <w:highlight w:val="none"/>
              </w:rPr>
              <w:t>－收到基灰分的质量分数，%，取</w:t>
            </w:r>
            <w:r>
              <w:rPr>
                <w:rFonts w:hint="eastAsia" w:cs="Times New Roman"/>
                <w:b w:val="0"/>
                <w:bCs/>
                <w:color w:val="auto"/>
                <w:sz w:val="24"/>
                <w:highlight w:val="none"/>
                <w:lang w:val="en-US" w:eastAsia="zh-CN"/>
              </w:rPr>
              <w:t>3.71</w:t>
            </w:r>
            <w:r>
              <w:rPr>
                <w:rFonts w:hint="default" w:ascii="Times New Roman" w:hAnsi="Times New Roman" w:cs="Times New Roman"/>
                <w:b w:val="0"/>
                <w:bCs/>
                <w:color w:val="auto"/>
                <w:sz w:val="24"/>
                <w:highlight w:val="none"/>
              </w:rPr>
              <w:t>；</w:t>
            </w:r>
          </w:p>
          <w:p w14:paraId="329946D4">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q</w:t>
            </w:r>
            <w:r>
              <w:rPr>
                <w:rFonts w:hint="default" w:ascii="Times New Roman" w:hAnsi="Times New Roman" w:cs="Times New Roman"/>
                <w:b w:val="0"/>
                <w:bCs/>
                <w:color w:val="auto"/>
                <w:sz w:val="24"/>
                <w:highlight w:val="none"/>
                <w:vertAlign w:val="subscript"/>
              </w:rPr>
              <w:t>4</w:t>
            </w:r>
            <w:r>
              <w:rPr>
                <w:rFonts w:hint="default" w:ascii="Times New Roman" w:hAnsi="Times New Roman" w:cs="Times New Roman"/>
                <w:b w:val="0"/>
                <w:bCs/>
                <w:color w:val="auto"/>
                <w:sz w:val="24"/>
                <w:highlight w:val="none"/>
              </w:rPr>
              <w:t>－锅炉机械不完全燃烧热损失，%，取10；</w:t>
            </w:r>
          </w:p>
          <w:p w14:paraId="0B256748">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Q</w:t>
            </w:r>
            <w:r>
              <w:rPr>
                <w:rFonts w:hint="default" w:ascii="Times New Roman" w:hAnsi="Times New Roman" w:cs="Times New Roman"/>
                <w:b w:val="0"/>
                <w:bCs/>
                <w:color w:val="auto"/>
                <w:sz w:val="24"/>
                <w:highlight w:val="none"/>
                <w:vertAlign w:val="subscript"/>
              </w:rPr>
              <w:t>net</w:t>
            </w:r>
            <w:r>
              <w:rPr>
                <w:rFonts w:hint="eastAsia" w:cs="Times New Roman"/>
                <w:b w:val="0"/>
                <w:bCs/>
                <w:color w:val="auto"/>
                <w:sz w:val="24"/>
                <w:highlight w:val="none"/>
                <w:vertAlign w:val="subscript"/>
                <w:lang w:val="en-US" w:eastAsia="zh-CN"/>
              </w:rPr>
              <w:t>,</w:t>
            </w:r>
            <w:r>
              <w:rPr>
                <w:rFonts w:hint="default" w:ascii="Times New Roman" w:hAnsi="Times New Roman" w:cs="Times New Roman"/>
                <w:b w:val="0"/>
                <w:bCs/>
                <w:color w:val="auto"/>
                <w:sz w:val="24"/>
                <w:highlight w:val="none"/>
                <w:vertAlign w:val="subscript"/>
              </w:rPr>
              <w:t>ar</w:t>
            </w:r>
            <w:r>
              <w:rPr>
                <w:rFonts w:hint="default" w:ascii="Times New Roman" w:hAnsi="Times New Roman" w:cs="Times New Roman"/>
                <w:b w:val="0"/>
                <w:bCs/>
                <w:color w:val="auto"/>
                <w:sz w:val="24"/>
                <w:highlight w:val="none"/>
              </w:rPr>
              <w:t>－收到基基低位发热量，KJ/Kg，取11116。</w:t>
            </w:r>
          </w:p>
          <w:p w14:paraId="10FF8091">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经计算本项目锅炉</w:t>
            </w:r>
            <w:r>
              <w:rPr>
                <w:rFonts w:hint="eastAsia" w:cs="Times New Roman"/>
                <w:b w:val="0"/>
                <w:bCs/>
                <w:color w:val="auto"/>
                <w:sz w:val="24"/>
                <w:highlight w:val="none"/>
                <w:lang w:val="en-US" w:eastAsia="zh-CN"/>
              </w:rPr>
              <w:t>灰</w:t>
            </w:r>
            <w:r>
              <w:rPr>
                <w:rFonts w:hint="default" w:ascii="Times New Roman" w:hAnsi="Times New Roman" w:cs="Times New Roman"/>
                <w:b w:val="0"/>
                <w:bCs/>
                <w:color w:val="auto"/>
                <w:sz w:val="24"/>
                <w:highlight w:val="none"/>
              </w:rPr>
              <w:t>渣产生量为</w:t>
            </w:r>
            <w:r>
              <w:rPr>
                <w:rFonts w:hint="eastAsia" w:cs="Times New Roman"/>
                <w:b w:val="0"/>
                <w:bCs/>
                <w:color w:val="auto"/>
                <w:sz w:val="24"/>
                <w:highlight w:val="none"/>
                <w:lang w:val="en-US" w:eastAsia="zh-CN"/>
              </w:rPr>
              <w:t>106.98</w:t>
            </w:r>
            <w:r>
              <w:rPr>
                <w:rFonts w:hint="default" w:ascii="Times New Roman" w:hAnsi="Times New Roman" w:cs="Times New Roman"/>
                <w:b w:val="0"/>
                <w:bCs/>
                <w:color w:val="auto"/>
                <w:sz w:val="24"/>
                <w:highlight w:val="none"/>
              </w:rPr>
              <w:t>t/a，统一收集，暂存灰渣暂存间，定期洒水降尘，并设苫布苫盖，定期外售用于制作有机肥。</w:t>
            </w:r>
          </w:p>
          <w:p w14:paraId="01B4CBD8">
            <w:pPr>
              <w:spacing w:line="360" w:lineRule="auto"/>
              <w:ind w:firstLine="480" w:firstLineChars="200"/>
              <w:rPr>
                <w:rFonts w:hint="default" w:ascii="Times New Roman" w:hAnsi="Times New Roman" w:cs="Times New Roman"/>
                <w:b w:val="0"/>
                <w:bCs/>
                <w:color w:val="auto"/>
                <w:sz w:val="24"/>
                <w:highlight w:val="none"/>
              </w:rPr>
            </w:pPr>
            <w:r>
              <w:rPr>
                <w:rFonts w:hint="eastAsia" w:ascii="Times New Roman" w:hAnsi="Times New Roman" w:eastAsia="宋体" w:cs="Times New Roman"/>
                <w:b w:val="0"/>
                <w:bCs/>
                <w:color w:val="auto"/>
                <w:sz w:val="24"/>
                <w:highlight w:val="none"/>
                <w:lang w:val="en-US" w:eastAsia="zh-CN"/>
              </w:rPr>
              <w:t>④</w:t>
            </w:r>
            <w:r>
              <w:rPr>
                <w:rFonts w:hint="default" w:ascii="Times New Roman" w:hAnsi="Times New Roman" w:cs="Times New Roman"/>
                <w:b w:val="0"/>
                <w:bCs/>
                <w:color w:val="auto"/>
                <w:sz w:val="24"/>
                <w:highlight w:val="none"/>
              </w:rPr>
              <w:t>除尘器收集粉尘</w:t>
            </w:r>
          </w:p>
          <w:p w14:paraId="5BA5539B">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根据</w:t>
            </w:r>
            <w:r>
              <w:rPr>
                <w:rFonts w:hint="eastAsia" w:cs="Times New Roman"/>
                <w:b w:val="0"/>
                <w:bCs/>
                <w:color w:val="auto"/>
                <w:sz w:val="24"/>
                <w:highlight w:val="none"/>
                <w:lang w:val="en-US" w:eastAsia="zh-CN"/>
              </w:rPr>
              <w:t>物料衡算</w:t>
            </w:r>
            <w:r>
              <w:rPr>
                <w:rFonts w:hint="default" w:ascii="Times New Roman" w:hAnsi="Times New Roman" w:cs="Times New Roman"/>
                <w:b w:val="0"/>
                <w:bCs/>
                <w:color w:val="auto"/>
                <w:sz w:val="24"/>
                <w:highlight w:val="none"/>
              </w:rPr>
              <w:t>法估算出颗粒物的产生量是</w:t>
            </w:r>
            <w:r>
              <w:rPr>
                <w:rFonts w:hint="eastAsia" w:cs="Times New Roman"/>
                <w:b w:val="0"/>
                <w:bCs/>
                <w:color w:val="auto"/>
                <w:sz w:val="24"/>
                <w:highlight w:val="none"/>
                <w:lang w:val="en-US" w:eastAsia="zh-CN"/>
              </w:rPr>
              <w:t>25.51</w:t>
            </w:r>
            <w:r>
              <w:rPr>
                <w:rFonts w:hint="default" w:ascii="Times New Roman" w:hAnsi="Times New Roman" w:cs="Times New Roman"/>
                <w:b w:val="0"/>
                <w:bCs/>
                <w:color w:val="auto"/>
                <w:sz w:val="24"/>
                <w:highlight w:val="none"/>
              </w:rPr>
              <w:t>t/a，布袋除尘器的处理效率为99</w:t>
            </w:r>
            <w:r>
              <w:rPr>
                <w:rFonts w:hint="eastAsia" w:cs="Times New Roman"/>
                <w:b w:val="0"/>
                <w:bCs/>
                <w:color w:val="auto"/>
                <w:sz w:val="24"/>
                <w:highlight w:val="none"/>
                <w:lang w:val="en-US" w:eastAsia="zh-CN"/>
              </w:rPr>
              <w:t>.6</w:t>
            </w:r>
            <w:r>
              <w:rPr>
                <w:rFonts w:hint="default" w:ascii="Times New Roman" w:hAnsi="Times New Roman" w:cs="Times New Roman"/>
                <w:b w:val="0"/>
                <w:bCs/>
                <w:color w:val="auto"/>
                <w:sz w:val="24"/>
                <w:highlight w:val="none"/>
              </w:rPr>
              <w:t>%，因此收集到的粉尘量为</w:t>
            </w:r>
            <w:r>
              <w:rPr>
                <w:rFonts w:hint="eastAsia" w:cs="Times New Roman"/>
                <w:b w:val="0"/>
                <w:bCs/>
                <w:color w:val="auto"/>
                <w:sz w:val="24"/>
                <w:highlight w:val="none"/>
                <w:lang w:val="en-US" w:eastAsia="zh-CN"/>
              </w:rPr>
              <w:t>25.41</w:t>
            </w:r>
            <w:r>
              <w:rPr>
                <w:rFonts w:hint="default" w:ascii="Times New Roman" w:hAnsi="Times New Roman" w:cs="Times New Roman"/>
                <w:b w:val="0"/>
                <w:bCs/>
                <w:color w:val="auto"/>
                <w:sz w:val="24"/>
                <w:highlight w:val="none"/>
              </w:rPr>
              <w:t>t/a</w:t>
            </w:r>
            <w:r>
              <w:rPr>
                <w:rFonts w:hint="eastAsia" w:cs="Times New Roman"/>
                <w:b w:val="0"/>
                <w:bCs/>
                <w:color w:val="auto"/>
                <w:sz w:val="24"/>
                <w:highlight w:val="none"/>
                <w:lang w:val="en-US" w:eastAsia="zh-CN"/>
              </w:rPr>
              <w:t>。根据《一般固体废物分类与代码》（GB/T 39198-2020），代码为SW59 900-099-S59。</w:t>
            </w:r>
            <w:r>
              <w:rPr>
                <w:rFonts w:hint="default" w:ascii="Times New Roman" w:hAnsi="Times New Roman" w:cs="Times New Roman"/>
                <w:b w:val="0"/>
                <w:bCs/>
                <w:color w:val="auto"/>
                <w:sz w:val="24"/>
                <w:highlight w:val="none"/>
              </w:rPr>
              <w:t>统一收集，暂存</w:t>
            </w:r>
            <w:r>
              <w:rPr>
                <w:rFonts w:hint="eastAsia" w:cs="Times New Roman"/>
                <w:b w:val="0"/>
                <w:bCs/>
                <w:color w:val="auto"/>
                <w:sz w:val="24"/>
                <w:highlight w:val="none"/>
                <w:lang w:val="en-US" w:eastAsia="zh-CN"/>
              </w:rPr>
              <w:t>收纳桶</w:t>
            </w:r>
            <w:r>
              <w:rPr>
                <w:rFonts w:hint="default" w:ascii="Times New Roman" w:hAnsi="Times New Roman" w:cs="Times New Roman"/>
                <w:b w:val="0"/>
                <w:bCs/>
                <w:color w:val="auto"/>
                <w:sz w:val="24"/>
                <w:highlight w:val="none"/>
              </w:rPr>
              <w:t>，定期外售用于制作有机肥。</w:t>
            </w:r>
          </w:p>
          <w:p w14:paraId="3E466974">
            <w:pPr>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lang w:val="en-US" w:eastAsia="zh-CN"/>
              </w:rPr>
              <w:t>⑤废胶桶</w:t>
            </w:r>
          </w:p>
          <w:p w14:paraId="5314E04F">
            <w:pPr>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根据企业提供资料，项目</w:t>
            </w:r>
            <w:r>
              <w:rPr>
                <w:rFonts w:hint="eastAsia" w:ascii="Times New Roman" w:hAnsi="Times New Roman" w:eastAsia="宋体" w:cs="Times New Roman"/>
                <w:b w:val="0"/>
                <w:bCs/>
                <w:color w:val="auto"/>
                <w:sz w:val="24"/>
                <w:highlight w:val="none"/>
                <w:lang w:val="en-US" w:eastAsia="zh-CN"/>
              </w:rPr>
              <w:t>年</w:t>
            </w:r>
            <w:r>
              <w:rPr>
                <w:rFonts w:hint="default" w:ascii="Times New Roman" w:hAnsi="Times New Roman" w:eastAsia="宋体" w:cs="Times New Roman"/>
                <w:b w:val="0"/>
                <w:bCs/>
                <w:color w:val="auto"/>
                <w:sz w:val="24"/>
                <w:highlight w:val="none"/>
                <w:lang w:val="en-US" w:eastAsia="zh-CN"/>
              </w:rPr>
              <w:t>产生废胶水桶量为</w:t>
            </w:r>
            <w:r>
              <w:rPr>
                <w:rFonts w:hint="eastAsia" w:ascii="Times New Roman" w:hAnsi="Times New Roman" w:eastAsia="宋体" w:cs="Times New Roman"/>
                <w:b w:val="0"/>
                <w:bCs/>
                <w:color w:val="auto"/>
                <w:sz w:val="24"/>
                <w:highlight w:val="none"/>
                <w:lang w:val="en-US" w:eastAsia="zh-CN"/>
              </w:rPr>
              <w:t>1</w:t>
            </w:r>
            <w:r>
              <w:rPr>
                <w:rFonts w:hint="default" w:ascii="Times New Roman" w:hAnsi="Times New Roman" w:eastAsia="宋体" w:cs="Times New Roman"/>
                <w:b w:val="0"/>
                <w:bCs/>
                <w:color w:val="auto"/>
                <w:sz w:val="24"/>
                <w:highlight w:val="none"/>
                <w:lang w:val="en-US" w:eastAsia="zh-CN"/>
              </w:rPr>
              <w:t>.</w:t>
            </w:r>
            <w:r>
              <w:rPr>
                <w:rFonts w:hint="eastAsia" w:ascii="Times New Roman" w:hAnsi="Times New Roman" w:eastAsia="宋体" w:cs="Times New Roman"/>
                <w:b w:val="0"/>
                <w:bCs/>
                <w:color w:val="auto"/>
                <w:sz w:val="24"/>
                <w:highlight w:val="none"/>
                <w:lang w:val="en-US" w:eastAsia="zh-CN"/>
              </w:rPr>
              <w:t>5</w:t>
            </w:r>
            <w:r>
              <w:rPr>
                <w:rFonts w:hint="default" w:ascii="Times New Roman" w:hAnsi="Times New Roman" w:eastAsia="宋体" w:cs="Times New Roman"/>
                <w:b w:val="0"/>
                <w:bCs/>
                <w:color w:val="auto"/>
                <w:sz w:val="24"/>
                <w:highlight w:val="none"/>
                <w:lang w:val="en-US" w:eastAsia="zh-CN"/>
              </w:rPr>
              <w:t>t/a。因项目使用胶水为水基型胶水，故产生废胶水桶不属于危险废物，废物类别为一般工业固体废物，一般固废代码为900-0</w:t>
            </w:r>
            <w:r>
              <w:rPr>
                <w:rFonts w:hint="eastAsia" w:ascii="Times New Roman" w:hAnsi="Times New Roman" w:eastAsia="宋体" w:cs="Times New Roman"/>
                <w:b w:val="0"/>
                <w:bCs/>
                <w:color w:val="auto"/>
                <w:sz w:val="24"/>
                <w:highlight w:val="none"/>
                <w:lang w:val="en-US" w:eastAsia="zh-CN"/>
              </w:rPr>
              <w:t>9</w:t>
            </w:r>
            <w:r>
              <w:rPr>
                <w:rFonts w:hint="default" w:ascii="Times New Roman" w:hAnsi="Times New Roman" w:eastAsia="宋体" w:cs="Times New Roman"/>
                <w:b w:val="0"/>
                <w:bCs/>
                <w:color w:val="auto"/>
                <w:sz w:val="24"/>
                <w:highlight w:val="none"/>
                <w:lang w:val="en-US" w:eastAsia="zh-CN"/>
              </w:rPr>
              <w:t>9-S</w:t>
            </w:r>
            <w:r>
              <w:rPr>
                <w:rFonts w:hint="eastAsia" w:ascii="Times New Roman" w:hAnsi="Times New Roman" w:eastAsia="宋体" w:cs="Times New Roman"/>
                <w:b w:val="0"/>
                <w:bCs/>
                <w:color w:val="auto"/>
                <w:sz w:val="24"/>
                <w:highlight w:val="none"/>
                <w:lang w:val="en-US" w:eastAsia="zh-CN"/>
              </w:rPr>
              <w:t>59</w:t>
            </w:r>
            <w:r>
              <w:rPr>
                <w:rFonts w:hint="default" w:ascii="Times New Roman" w:hAnsi="Times New Roman" w:eastAsia="宋体" w:cs="Times New Roman"/>
                <w:b w:val="0"/>
                <w:bCs/>
                <w:color w:val="auto"/>
                <w:sz w:val="24"/>
                <w:highlight w:val="none"/>
                <w:lang w:val="en-US" w:eastAsia="zh-CN"/>
              </w:rPr>
              <w:t>，集中收集后由供货商回收</w:t>
            </w:r>
            <w:r>
              <w:rPr>
                <w:rFonts w:hint="eastAsia" w:ascii="Times New Roman" w:hAnsi="Times New Roman" w:eastAsia="宋体" w:cs="Times New Roman"/>
                <w:b w:val="0"/>
                <w:bCs/>
                <w:color w:val="auto"/>
                <w:sz w:val="24"/>
                <w:highlight w:val="none"/>
                <w:lang w:val="en-US" w:eastAsia="zh-CN"/>
              </w:rPr>
              <w:t>处置。</w:t>
            </w:r>
          </w:p>
          <w:p w14:paraId="619153DF">
            <w:pPr>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lang w:val="en-US" w:eastAsia="zh-CN"/>
              </w:rPr>
              <w:t>⑥废胶渣</w:t>
            </w:r>
          </w:p>
          <w:p w14:paraId="4DE40DE7">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eastAsia="宋体" w:cs="Times New Roman"/>
                <w:b w:val="0"/>
                <w:bCs/>
                <w:color w:val="auto"/>
                <w:sz w:val="24"/>
                <w:highlight w:val="none"/>
                <w:lang w:val="en-US" w:eastAsia="zh-CN"/>
              </w:rPr>
              <w:t>项目过胶工序会产</w:t>
            </w:r>
            <w:r>
              <w:rPr>
                <w:rFonts w:hint="default" w:ascii="Times New Roman" w:hAnsi="Times New Roman" w:cs="Times New Roman"/>
                <w:b w:val="0"/>
                <w:bCs/>
                <w:color w:val="auto"/>
                <w:sz w:val="24"/>
                <w:highlight w:val="none"/>
              </w:rPr>
              <w:t>生少量废胶水，根据企业提供资料，废胶水产生量为0.</w:t>
            </w:r>
            <w:r>
              <w:rPr>
                <w:rFonts w:hint="eastAsia" w:cs="Times New Roman"/>
                <w:b w:val="0"/>
                <w:bCs/>
                <w:color w:val="auto"/>
                <w:sz w:val="24"/>
                <w:highlight w:val="none"/>
                <w:lang w:val="en-US" w:eastAsia="zh-CN"/>
              </w:rPr>
              <w:t>0</w:t>
            </w:r>
            <w:r>
              <w:rPr>
                <w:rFonts w:hint="default" w:ascii="Times New Roman" w:hAnsi="Times New Roman" w:cs="Times New Roman"/>
                <w:b w:val="0"/>
                <w:bCs/>
                <w:color w:val="auto"/>
                <w:sz w:val="24"/>
                <w:highlight w:val="none"/>
              </w:rPr>
              <w:t>3t/a，本项目使用大豆胶为水基型胶水，根据其成分分析，不含有有毒、有害物质等，不属于危险废物，废物类别为一般工业固废，一般固废代码为900-0</w:t>
            </w:r>
            <w:r>
              <w:rPr>
                <w:rFonts w:hint="eastAsia" w:ascii="Times New Roman" w:hAnsi="Times New Roman" w:cs="Times New Roman"/>
                <w:b w:val="0"/>
                <w:bCs/>
                <w:color w:val="auto"/>
                <w:sz w:val="24"/>
                <w:highlight w:val="none"/>
                <w:lang w:val="en-US" w:eastAsia="zh-CN"/>
              </w:rPr>
              <w:t>9</w:t>
            </w:r>
            <w:r>
              <w:rPr>
                <w:rFonts w:hint="default" w:ascii="Times New Roman" w:hAnsi="Times New Roman" w:cs="Times New Roman"/>
                <w:b w:val="0"/>
                <w:bCs/>
                <w:color w:val="auto"/>
                <w:sz w:val="24"/>
                <w:highlight w:val="none"/>
              </w:rPr>
              <w:t>9-S</w:t>
            </w:r>
            <w:r>
              <w:rPr>
                <w:rFonts w:hint="eastAsia" w:ascii="Times New Roman" w:hAnsi="Times New Roman" w:cs="Times New Roman"/>
                <w:b w:val="0"/>
                <w:bCs/>
                <w:color w:val="auto"/>
                <w:sz w:val="24"/>
                <w:highlight w:val="none"/>
                <w:lang w:val="en-US" w:eastAsia="zh-CN"/>
              </w:rPr>
              <w:t>59</w:t>
            </w:r>
            <w:r>
              <w:rPr>
                <w:rFonts w:hint="default" w:ascii="Times New Roman" w:hAnsi="Times New Roman" w:cs="Times New Roman"/>
                <w:b w:val="0"/>
                <w:bCs/>
                <w:color w:val="auto"/>
                <w:sz w:val="24"/>
                <w:highlight w:val="none"/>
              </w:rPr>
              <w:t>，集中收集后由供货商回收处置。</w:t>
            </w:r>
          </w:p>
          <w:p w14:paraId="08D3ECBD">
            <w:pPr>
              <w:spacing w:line="360" w:lineRule="auto"/>
              <w:ind w:firstLine="480" w:firstLineChars="200"/>
              <w:rPr>
                <w:rFonts w:hint="eastAsia" w:ascii="Times New Roman" w:hAnsi="Times New Roman" w:eastAsia="宋体" w:cs="Times New Roman"/>
                <w:b w:val="0"/>
                <w:bCs/>
                <w:color w:val="auto"/>
                <w:sz w:val="24"/>
                <w:highlight w:val="none"/>
                <w:lang w:eastAsia="zh-CN"/>
              </w:rPr>
            </w:pPr>
            <w:r>
              <w:rPr>
                <w:rFonts w:hint="default" w:ascii="Times New Roman" w:hAnsi="Times New Roman" w:cs="Times New Roman"/>
                <w:b w:val="0"/>
                <w:bCs/>
                <w:color w:val="auto"/>
                <w:sz w:val="24"/>
                <w:highlight w:val="none"/>
              </w:rPr>
              <w:t>（</w:t>
            </w:r>
            <w:r>
              <w:rPr>
                <w:rFonts w:hint="eastAsia" w:cs="Times New Roman"/>
                <w:b w:val="0"/>
                <w:bCs/>
                <w:color w:val="auto"/>
                <w:sz w:val="24"/>
                <w:highlight w:val="none"/>
                <w:lang w:val="en-US" w:eastAsia="zh-CN"/>
              </w:rPr>
              <w:t>3</w:t>
            </w:r>
            <w:r>
              <w:rPr>
                <w:rFonts w:hint="default" w:ascii="Times New Roman" w:hAnsi="Times New Roman" w:cs="Times New Roman"/>
                <w:b w:val="0"/>
                <w:bCs/>
                <w:color w:val="auto"/>
                <w:sz w:val="24"/>
                <w:highlight w:val="none"/>
              </w:rPr>
              <w:t>）</w:t>
            </w:r>
            <w:r>
              <w:rPr>
                <w:rFonts w:hint="eastAsia" w:cs="Times New Roman"/>
                <w:b w:val="0"/>
                <w:bCs/>
                <w:color w:val="auto"/>
                <w:sz w:val="24"/>
                <w:highlight w:val="none"/>
                <w:lang w:val="en-US" w:eastAsia="zh-CN"/>
              </w:rPr>
              <w:t>危险废物</w:t>
            </w:r>
          </w:p>
          <w:p w14:paraId="65E32D8B">
            <w:pPr>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default" w:ascii="Times New Roman" w:hAnsi="Times New Roman" w:cs="Times New Roman"/>
                <w:b w:val="0"/>
                <w:bCs/>
                <w:color w:val="auto"/>
                <w:sz w:val="24"/>
                <w:highlight w:val="none"/>
              </w:rPr>
              <w:t>①</w:t>
            </w:r>
            <w:r>
              <w:rPr>
                <w:rFonts w:hint="eastAsia" w:cs="Times New Roman"/>
                <w:b w:val="0"/>
                <w:bCs/>
                <w:color w:val="auto"/>
                <w:sz w:val="24"/>
                <w:highlight w:val="none"/>
                <w:lang w:val="en-US" w:eastAsia="zh-CN"/>
              </w:rPr>
              <w:t>废导热油</w:t>
            </w:r>
          </w:p>
          <w:p w14:paraId="48AA8FA4">
            <w:pPr>
              <w:spacing w:line="360" w:lineRule="auto"/>
              <w:ind w:firstLine="480" w:firstLineChars="200"/>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根据建设单位提供资料，生产过程中</w:t>
            </w:r>
            <w:r>
              <w:rPr>
                <w:rFonts w:hint="default" w:ascii="Times New Roman" w:hAnsi="Times New Roman" w:cs="Times New Roman"/>
                <w:b w:val="0"/>
                <w:bCs/>
                <w:color w:val="auto"/>
                <w:sz w:val="24"/>
                <w:highlight w:val="none"/>
                <w:lang w:val="en-US" w:eastAsia="zh-CN"/>
              </w:rPr>
              <w:t>3年</w:t>
            </w:r>
            <w:r>
              <w:rPr>
                <w:rFonts w:hint="default" w:ascii="Times New Roman" w:hAnsi="Times New Roman" w:cs="Times New Roman"/>
                <w:b w:val="0"/>
                <w:bCs/>
                <w:color w:val="auto"/>
                <w:sz w:val="24"/>
                <w:highlight w:val="none"/>
              </w:rPr>
              <w:t>更换</w:t>
            </w:r>
            <w:r>
              <w:rPr>
                <w:rFonts w:hint="default" w:ascii="Times New Roman" w:hAnsi="Times New Roman" w:cs="Times New Roman"/>
                <w:b w:val="0"/>
                <w:bCs/>
                <w:color w:val="auto"/>
                <w:sz w:val="24"/>
                <w:highlight w:val="none"/>
                <w:lang w:val="en-US" w:eastAsia="zh-CN"/>
              </w:rPr>
              <w:t>一次产生的</w:t>
            </w:r>
            <w:r>
              <w:rPr>
                <w:rFonts w:hint="default" w:ascii="Times New Roman" w:hAnsi="Times New Roman" w:cs="Times New Roman"/>
                <w:b w:val="0"/>
                <w:bCs/>
                <w:color w:val="auto"/>
                <w:sz w:val="24"/>
                <w:highlight w:val="none"/>
              </w:rPr>
              <w:t>导热油</w:t>
            </w:r>
            <w:r>
              <w:rPr>
                <w:rFonts w:hint="eastAsia" w:cs="Times New Roman"/>
                <w:b w:val="0"/>
                <w:bCs/>
                <w:color w:val="auto"/>
                <w:sz w:val="24"/>
                <w:highlight w:val="none"/>
                <w:lang w:val="en-US" w:eastAsia="zh-CN"/>
              </w:rPr>
              <w:t>6</w:t>
            </w:r>
            <w:r>
              <w:rPr>
                <w:rFonts w:hint="default" w:ascii="Times New Roman" w:hAnsi="Times New Roman" w:cs="Times New Roman"/>
                <w:b w:val="0"/>
                <w:bCs/>
                <w:color w:val="auto"/>
                <w:sz w:val="24"/>
                <w:highlight w:val="none"/>
              </w:rPr>
              <w:t>t/</w:t>
            </w:r>
            <w:r>
              <w:rPr>
                <w:rFonts w:hint="eastAsia" w:cs="Times New Roman"/>
                <w:b w:val="0"/>
                <w:bCs/>
                <w:color w:val="auto"/>
                <w:sz w:val="24"/>
                <w:highlight w:val="none"/>
                <w:lang w:val="en-US" w:eastAsia="zh-CN"/>
              </w:rPr>
              <w:t>3</w:t>
            </w:r>
            <w:r>
              <w:rPr>
                <w:rFonts w:hint="default" w:ascii="Times New Roman" w:hAnsi="Times New Roman" w:cs="Times New Roman"/>
                <w:b w:val="0"/>
                <w:bCs/>
                <w:color w:val="auto"/>
                <w:sz w:val="24"/>
                <w:highlight w:val="none"/>
              </w:rPr>
              <w:t>a</w:t>
            </w:r>
            <w:r>
              <w:rPr>
                <w:rFonts w:hint="default" w:ascii="Times New Roman" w:hAnsi="Times New Roman" w:cs="Times New Roman"/>
                <w:b w:val="0"/>
                <w:bCs/>
                <w:color w:val="auto"/>
                <w:sz w:val="24"/>
                <w:highlight w:val="none"/>
                <w:lang w:eastAsia="zh-CN"/>
              </w:rPr>
              <w:t>，</w:t>
            </w:r>
            <w:r>
              <w:rPr>
                <w:rFonts w:hint="default" w:ascii="Times New Roman" w:hAnsi="Times New Roman" w:cs="Times New Roman"/>
                <w:b w:val="0"/>
                <w:bCs/>
                <w:color w:val="auto"/>
                <w:sz w:val="24"/>
                <w:highlight w:val="none"/>
              </w:rPr>
              <w:t>属于《国家危险废物名录》(202</w:t>
            </w:r>
            <w:r>
              <w:rPr>
                <w:rFonts w:hint="eastAsia" w:cs="Times New Roman"/>
                <w:b w:val="0"/>
                <w:bCs/>
                <w:color w:val="auto"/>
                <w:sz w:val="24"/>
                <w:highlight w:val="none"/>
                <w:lang w:val="en-US" w:eastAsia="zh-CN"/>
              </w:rPr>
              <w:t>5</w:t>
            </w:r>
            <w:r>
              <w:rPr>
                <w:rFonts w:hint="default" w:ascii="Times New Roman" w:hAnsi="Times New Roman" w:cs="Times New Roman"/>
                <w:b w:val="0"/>
                <w:bCs/>
                <w:color w:val="auto"/>
                <w:sz w:val="24"/>
                <w:highlight w:val="none"/>
              </w:rPr>
              <w:t>年版)中编号为HW08废矿物油与含矿物油废物，属于危险废物“其他生产、销售、使用过程中产生的废矿物油及沾染矿物油的废弃包装物”，废物代码为900-2</w:t>
            </w:r>
            <w:r>
              <w:rPr>
                <w:rFonts w:hint="eastAsia" w:cs="Times New Roman"/>
                <w:b w:val="0"/>
                <w:bCs/>
                <w:color w:val="auto"/>
                <w:sz w:val="24"/>
                <w:highlight w:val="none"/>
                <w:lang w:val="en-US" w:eastAsia="zh-CN"/>
              </w:rPr>
              <w:t>49</w:t>
            </w:r>
            <w:r>
              <w:rPr>
                <w:rFonts w:hint="default" w:ascii="Times New Roman" w:hAnsi="Times New Roman" w:cs="Times New Roman"/>
                <w:b w:val="0"/>
                <w:bCs/>
                <w:color w:val="auto"/>
                <w:sz w:val="24"/>
                <w:highlight w:val="none"/>
              </w:rPr>
              <w:t>-08，</w:t>
            </w:r>
            <w:r>
              <w:rPr>
                <w:rFonts w:hint="default" w:ascii="Times New Roman" w:hAnsi="Times New Roman" w:cs="Times New Roman"/>
                <w:b w:val="0"/>
                <w:bCs/>
                <w:color w:val="auto"/>
                <w:sz w:val="24"/>
                <w:highlight w:val="none"/>
                <w:lang w:val="en-US" w:eastAsia="zh-CN"/>
              </w:rPr>
              <w:t>更换后直接由有资质单位处理，厂区不暂存</w:t>
            </w:r>
            <w:r>
              <w:rPr>
                <w:rFonts w:hint="default" w:ascii="Times New Roman" w:hAnsi="Times New Roman" w:cs="Times New Roman"/>
                <w:b w:val="0"/>
                <w:bCs/>
                <w:color w:val="auto"/>
                <w:sz w:val="24"/>
                <w:highlight w:val="none"/>
              </w:rPr>
              <w:t>。</w:t>
            </w:r>
          </w:p>
          <w:p w14:paraId="5A4B1856">
            <w:pPr>
              <w:spacing w:line="360" w:lineRule="auto"/>
              <w:ind w:firstLine="480" w:firstLineChars="200"/>
              <w:rPr>
                <w:rFonts w:hint="default" w:ascii="Times New Roman" w:hAnsi="Times New Roman" w:cs="Times New Roman"/>
                <w:b w:val="0"/>
                <w:bCs/>
                <w:color w:val="auto"/>
                <w:sz w:val="24"/>
                <w:highlight w:val="none"/>
                <w:lang w:val="en-US"/>
              </w:rPr>
            </w:pPr>
            <w:r>
              <w:rPr>
                <w:rFonts w:hint="default" w:ascii="Times New Roman" w:hAnsi="Times New Roman" w:cs="Times New Roman"/>
                <w:b w:val="0"/>
                <w:bCs/>
                <w:color w:val="auto"/>
                <w:sz w:val="24"/>
                <w:highlight w:val="none"/>
              </w:rPr>
              <w:t>②</w:t>
            </w:r>
            <w:r>
              <w:rPr>
                <w:rFonts w:hint="eastAsia" w:cs="Times New Roman"/>
                <w:b w:val="0"/>
                <w:bCs/>
                <w:color w:val="auto"/>
                <w:sz w:val="24"/>
                <w:highlight w:val="none"/>
                <w:lang w:eastAsia="zh-CN"/>
              </w:rPr>
              <w:t>废</w:t>
            </w:r>
            <w:r>
              <w:rPr>
                <w:rFonts w:hint="eastAsia" w:cs="Times New Roman"/>
                <w:b w:val="0"/>
                <w:bCs/>
                <w:color w:val="auto"/>
                <w:sz w:val="24"/>
                <w:highlight w:val="none"/>
                <w:lang w:val="en-US" w:eastAsia="zh-CN"/>
              </w:rPr>
              <w:t>机油、废油桶、废弃的含油抹布及手套</w:t>
            </w:r>
          </w:p>
          <w:p w14:paraId="39B3E74B">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项目机械设备</w:t>
            </w:r>
            <w:r>
              <w:rPr>
                <w:rFonts w:hint="eastAsia" w:cs="Times New Roman"/>
                <w:b w:val="0"/>
                <w:bCs/>
                <w:color w:val="auto"/>
                <w:sz w:val="24"/>
                <w:highlight w:val="none"/>
                <w:lang w:val="en-US" w:eastAsia="zh-CN"/>
              </w:rPr>
              <w:t>较</w:t>
            </w:r>
            <w:r>
              <w:rPr>
                <w:rFonts w:hint="default" w:ascii="Times New Roman" w:hAnsi="Times New Roman" w:cs="Times New Roman"/>
                <w:b w:val="0"/>
                <w:bCs/>
                <w:color w:val="auto"/>
                <w:sz w:val="24"/>
                <w:highlight w:val="none"/>
              </w:rPr>
              <w:t>多，设备维修时产生少量含油抹布及废机油、废油桶危险废物。经类比调查，含油抹布</w:t>
            </w:r>
            <w:r>
              <w:rPr>
                <w:rFonts w:hint="eastAsia" w:cs="Times New Roman"/>
                <w:b w:val="0"/>
                <w:bCs/>
                <w:color w:val="auto"/>
                <w:sz w:val="24"/>
                <w:highlight w:val="none"/>
                <w:lang w:val="en-US" w:eastAsia="zh-CN"/>
              </w:rPr>
              <w:t>及手套</w:t>
            </w:r>
            <w:r>
              <w:rPr>
                <w:rFonts w:hint="default" w:ascii="Times New Roman" w:hAnsi="Times New Roman" w:cs="Times New Roman"/>
                <w:b w:val="0"/>
                <w:bCs/>
                <w:color w:val="auto"/>
                <w:sz w:val="24"/>
                <w:highlight w:val="none"/>
              </w:rPr>
              <w:t>产生量约0.</w:t>
            </w:r>
            <w:r>
              <w:rPr>
                <w:rFonts w:hint="eastAsia" w:cs="Times New Roman"/>
                <w:b w:val="0"/>
                <w:bCs/>
                <w:color w:val="auto"/>
                <w:sz w:val="24"/>
                <w:highlight w:val="none"/>
                <w:lang w:val="en-US" w:eastAsia="zh-CN"/>
              </w:rPr>
              <w:t>05</w:t>
            </w:r>
            <w:r>
              <w:rPr>
                <w:rFonts w:hint="default" w:ascii="Times New Roman" w:hAnsi="Times New Roman" w:cs="Times New Roman"/>
                <w:b w:val="0"/>
                <w:bCs/>
                <w:color w:val="auto"/>
                <w:sz w:val="24"/>
                <w:highlight w:val="none"/>
              </w:rPr>
              <w:t>t/a，废机油产生量约0.</w:t>
            </w:r>
            <w:r>
              <w:rPr>
                <w:rFonts w:hint="eastAsia" w:cs="Times New Roman"/>
                <w:b w:val="0"/>
                <w:bCs/>
                <w:color w:val="auto"/>
                <w:sz w:val="24"/>
                <w:highlight w:val="none"/>
                <w:lang w:val="en-US" w:eastAsia="zh-CN"/>
              </w:rPr>
              <w:t>1</w:t>
            </w:r>
            <w:r>
              <w:rPr>
                <w:rFonts w:hint="default" w:ascii="Times New Roman" w:hAnsi="Times New Roman" w:cs="Times New Roman"/>
                <w:b w:val="0"/>
                <w:bCs/>
                <w:color w:val="auto"/>
                <w:sz w:val="24"/>
                <w:highlight w:val="none"/>
              </w:rPr>
              <w:t>t/a，废油桶产生量约0.</w:t>
            </w:r>
            <w:r>
              <w:rPr>
                <w:rFonts w:hint="eastAsia" w:cs="Times New Roman"/>
                <w:b w:val="0"/>
                <w:bCs/>
                <w:color w:val="auto"/>
                <w:sz w:val="24"/>
                <w:highlight w:val="none"/>
                <w:lang w:val="en-US" w:eastAsia="zh-CN"/>
              </w:rPr>
              <w:t>2</w:t>
            </w:r>
            <w:r>
              <w:rPr>
                <w:rFonts w:hint="default" w:ascii="Times New Roman" w:hAnsi="Times New Roman" w:cs="Times New Roman"/>
                <w:b w:val="0"/>
                <w:bCs/>
                <w:color w:val="auto"/>
                <w:sz w:val="24"/>
                <w:highlight w:val="none"/>
              </w:rPr>
              <w:t>t/a，根据《国家危险废物名录》（2025年版），废机油属于危险废物，危险废物类别为“HW08”，废物代码为900-214-08，废油桶属于危险废物，危险废物类别为“HW08”，废物代码为900-249-08，含油抹布</w:t>
            </w:r>
            <w:r>
              <w:rPr>
                <w:rFonts w:hint="eastAsia" w:cs="Times New Roman"/>
                <w:b w:val="0"/>
                <w:bCs/>
                <w:color w:val="auto"/>
                <w:sz w:val="24"/>
                <w:highlight w:val="none"/>
                <w:lang w:val="en-US" w:eastAsia="zh-CN"/>
              </w:rPr>
              <w:t>及手套</w:t>
            </w:r>
            <w:r>
              <w:rPr>
                <w:rFonts w:hint="default" w:ascii="Times New Roman" w:hAnsi="Times New Roman" w:cs="Times New Roman"/>
                <w:b w:val="0"/>
                <w:bCs/>
                <w:color w:val="auto"/>
                <w:sz w:val="24"/>
                <w:highlight w:val="none"/>
              </w:rPr>
              <w:t>危险废物类别为“HW49”，废物代码为900-041-49，含油抹布</w:t>
            </w:r>
            <w:r>
              <w:rPr>
                <w:rFonts w:hint="eastAsia" w:cs="Times New Roman"/>
                <w:b w:val="0"/>
                <w:bCs/>
                <w:color w:val="auto"/>
                <w:sz w:val="24"/>
                <w:highlight w:val="none"/>
                <w:lang w:val="en-US" w:eastAsia="zh-CN"/>
              </w:rPr>
              <w:t>及手套</w:t>
            </w:r>
            <w:r>
              <w:rPr>
                <w:rFonts w:hint="default" w:ascii="Times New Roman" w:hAnsi="Times New Roman" w:cs="Times New Roman"/>
                <w:b w:val="0"/>
                <w:bCs/>
                <w:color w:val="auto"/>
                <w:sz w:val="24"/>
                <w:highlight w:val="none"/>
              </w:rPr>
              <w:t>、废机油、废机油桶不得随意丢弃，集中收集至</w:t>
            </w:r>
            <w:r>
              <w:rPr>
                <w:rFonts w:hint="eastAsia" w:cs="Times New Roman"/>
                <w:b w:val="0"/>
                <w:bCs/>
                <w:color w:val="auto"/>
                <w:sz w:val="24"/>
                <w:highlight w:val="none"/>
                <w:lang w:val="en-US" w:eastAsia="zh-CN"/>
              </w:rPr>
              <w:t>危险废物贮存库密闭</w:t>
            </w:r>
            <w:r>
              <w:rPr>
                <w:rFonts w:hint="default" w:ascii="Times New Roman" w:hAnsi="Times New Roman" w:cs="Times New Roman"/>
                <w:b w:val="0"/>
                <w:bCs/>
                <w:color w:val="auto"/>
                <w:sz w:val="24"/>
                <w:highlight w:val="none"/>
              </w:rPr>
              <w:t>暂存后，定期交由具有危险废物处置资质的单位处理。</w:t>
            </w:r>
          </w:p>
          <w:p w14:paraId="12DA7FF0">
            <w:pPr>
              <w:spacing w:line="360" w:lineRule="auto"/>
              <w:ind w:firstLine="480" w:firstLineChars="200"/>
              <w:rPr>
                <w:rFonts w:hint="eastAsia" w:ascii="Times New Roman" w:hAnsi="Times New Roman" w:eastAsia="宋体" w:cs="Times New Roman"/>
                <w:b w:val="0"/>
                <w:bCs/>
                <w:color w:val="auto"/>
                <w:sz w:val="24"/>
                <w:highlight w:val="none"/>
                <w:lang w:val="en-US" w:eastAsia="zh-CN"/>
              </w:rPr>
            </w:pPr>
            <w:r>
              <w:rPr>
                <w:rFonts w:hint="default" w:ascii="Times New Roman" w:hAnsi="Times New Roman" w:cs="Times New Roman"/>
                <w:b w:val="0"/>
                <w:bCs/>
                <w:color w:val="auto"/>
                <w:sz w:val="24"/>
                <w:highlight w:val="none"/>
              </w:rPr>
              <w:t>③</w:t>
            </w:r>
            <w:r>
              <w:rPr>
                <w:rFonts w:hint="eastAsia" w:cs="Times New Roman"/>
                <w:b w:val="0"/>
                <w:bCs/>
                <w:color w:val="auto"/>
                <w:sz w:val="24"/>
                <w:highlight w:val="none"/>
                <w:lang w:val="en-US" w:eastAsia="zh-CN"/>
              </w:rPr>
              <w:t>废活性炭</w:t>
            </w:r>
          </w:p>
          <w:p w14:paraId="4C0A59F9">
            <w:pPr>
              <w:spacing w:line="360" w:lineRule="auto"/>
              <w:ind w:firstLine="480" w:firstLineChars="200"/>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本项目产生的有机废气设有活性炭处理设施，吸附过程需进行活性炭更换。根据《国家危险废物名录（2025年）》，废活性炭属于危险废物“烟气、VOCs治理过程（不包括餐饮行业油烟治理过程）产生的废活性炭，化学原料和化学制品脱色（不包括有机合成食品添加剂脱色）、除杂、净化过程产生的废活性炭（不包括900-405-06、772-005-18、261-053-29、265-002-29、384-003-29、387-001-29类废物）”，废物类别及代码HW49 900-039-49。</w:t>
            </w:r>
            <w:r>
              <w:rPr>
                <w:rFonts w:hint="default" w:ascii="Times New Roman" w:hAnsi="Times New Roman" w:cs="Times New Roman"/>
                <w:b w:val="0"/>
                <w:bCs/>
                <w:color w:val="auto"/>
                <w:sz w:val="24"/>
                <w:highlight w:val="none"/>
                <w:lang w:eastAsia="zh-CN"/>
              </w:rPr>
              <w:t>活性炭三个月更换一次。</w:t>
            </w:r>
            <w:r>
              <w:rPr>
                <w:rFonts w:hint="eastAsia" w:cs="Times New Roman"/>
                <w:b w:val="0"/>
                <w:bCs/>
                <w:color w:val="auto"/>
                <w:sz w:val="24"/>
                <w:highlight w:val="none"/>
                <w:lang w:val="en-US" w:eastAsia="zh-CN"/>
              </w:rPr>
              <w:t>年产生量约0.3t/a，</w:t>
            </w:r>
            <w:r>
              <w:rPr>
                <w:rFonts w:hint="default" w:ascii="Times New Roman" w:hAnsi="Times New Roman" w:cs="Times New Roman"/>
                <w:b w:val="0"/>
                <w:bCs/>
                <w:color w:val="auto"/>
                <w:sz w:val="24"/>
                <w:highlight w:val="none"/>
              </w:rPr>
              <w:t>集中收集后暂存于危险废物</w:t>
            </w:r>
            <w:r>
              <w:rPr>
                <w:rFonts w:hint="eastAsia" w:cs="Times New Roman"/>
                <w:b w:val="0"/>
                <w:bCs/>
                <w:color w:val="auto"/>
                <w:sz w:val="24"/>
                <w:highlight w:val="none"/>
                <w:lang w:val="en-US" w:eastAsia="zh-CN"/>
              </w:rPr>
              <w:t>贮存库</w:t>
            </w:r>
            <w:r>
              <w:rPr>
                <w:rFonts w:hint="default" w:ascii="Times New Roman" w:hAnsi="Times New Roman" w:cs="Times New Roman"/>
                <w:b w:val="0"/>
                <w:bCs/>
                <w:color w:val="auto"/>
                <w:sz w:val="24"/>
                <w:highlight w:val="none"/>
              </w:rPr>
              <w:t>，定期委托有资质单位处置。</w:t>
            </w:r>
          </w:p>
          <w:p w14:paraId="58AF9DF1">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 xml:space="preserve">17  </w:t>
            </w:r>
            <w:r>
              <w:rPr>
                <w:rFonts w:hint="default" w:ascii="Times New Roman" w:hAnsi="Times New Roman" w:eastAsia="宋体" w:cs="Times New Roman"/>
                <w:b/>
                <w:bCs/>
                <w:color w:val="auto"/>
                <w:sz w:val="24"/>
                <w:szCs w:val="24"/>
                <w:highlight w:val="none"/>
                <w:lang w:val="en-US" w:eastAsia="zh-CN"/>
              </w:rPr>
              <w:t>本项目固体废物污染物源强一览表</w:t>
            </w:r>
          </w:p>
          <w:tbl>
            <w:tblPr>
              <w:tblStyle w:val="32"/>
              <w:tblW w:w="799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915"/>
              <w:gridCol w:w="720"/>
              <w:gridCol w:w="1080"/>
              <w:gridCol w:w="1365"/>
              <w:gridCol w:w="1095"/>
              <w:gridCol w:w="1755"/>
            </w:tblGrid>
            <w:tr w14:paraId="74F54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1068" w:type="dxa"/>
                  <w:tcBorders>
                    <w:tl2br w:val="nil"/>
                    <w:tr2bl w:val="nil"/>
                  </w:tcBorders>
                  <w:noWrap w:val="0"/>
                  <w:vAlign w:val="center"/>
                </w:tcPr>
                <w:p w14:paraId="02AE97E1">
                  <w:pPr>
                    <w:pStyle w:val="25"/>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cs="宋体"/>
                      <w:smallCaps w:val="0"/>
                      <w:color w:val="auto"/>
                      <w:sz w:val="21"/>
                      <w:szCs w:val="21"/>
                      <w:highlight w:val="none"/>
                      <w:vertAlign w:val="baseline"/>
                      <w:lang w:val="en-US" w:eastAsia="zh-CN"/>
                    </w:rPr>
                    <w:t>名称</w:t>
                  </w:r>
                </w:p>
              </w:tc>
              <w:tc>
                <w:tcPr>
                  <w:tcW w:w="915" w:type="dxa"/>
                  <w:tcBorders>
                    <w:tl2br w:val="nil"/>
                    <w:tr2bl w:val="nil"/>
                  </w:tcBorders>
                  <w:noWrap w:val="0"/>
                  <w:vAlign w:val="center"/>
                </w:tcPr>
                <w:p w14:paraId="635C8A57">
                  <w:pPr>
                    <w:pStyle w:val="25"/>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cs="宋体"/>
                      <w:smallCaps w:val="0"/>
                      <w:color w:val="auto"/>
                      <w:sz w:val="21"/>
                      <w:szCs w:val="21"/>
                      <w:highlight w:val="none"/>
                      <w:vertAlign w:val="baseline"/>
                      <w:lang w:val="en-US" w:eastAsia="zh-CN"/>
                    </w:rPr>
                    <w:t>产生工序</w:t>
                  </w:r>
                </w:p>
              </w:tc>
              <w:tc>
                <w:tcPr>
                  <w:tcW w:w="720" w:type="dxa"/>
                  <w:tcBorders>
                    <w:tl2br w:val="nil"/>
                    <w:tr2bl w:val="nil"/>
                  </w:tcBorders>
                  <w:noWrap w:val="0"/>
                  <w:vAlign w:val="center"/>
                </w:tcPr>
                <w:p w14:paraId="634A003B">
                  <w:pPr>
                    <w:pStyle w:val="25"/>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cs="宋体"/>
                      <w:smallCaps w:val="0"/>
                      <w:color w:val="auto"/>
                      <w:sz w:val="21"/>
                      <w:szCs w:val="21"/>
                      <w:highlight w:val="none"/>
                      <w:vertAlign w:val="baseline"/>
                      <w:lang w:val="en-US" w:eastAsia="zh-CN"/>
                    </w:rPr>
                    <w:t>形态</w:t>
                  </w:r>
                </w:p>
              </w:tc>
              <w:tc>
                <w:tcPr>
                  <w:tcW w:w="1080" w:type="dxa"/>
                  <w:tcBorders>
                    <w:tl2br w:val="nil"/>
                    <w:tr2bl w:val="nil"/>
                  </w:tcBorders>
                  <w:noWrap w:val="0"/>
                  <w:vAlign w:val="center"/>
                </w:tcPr>
                <w:p w14:paraId="1CECE9D8">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属性</w:t>
                  </w:r>
                </w:p>
              </w:tc>
              <w:tc>
                <w:tcPr>
                  <w:tcW w:w="1365" w:type="dxa"/>
                  <w:tcBorders>
                    <w:tl2br w:val="nil"/>
                    <w:tr2bl w:val="nil"/>
                  </w:tcBorders>
                  <w:noWrap w:val="0"/>
                  <w:vAlign w:val="center"/>
                </w:tcPr>
                <w:p w14:paraId="3114736F">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类别代码</w:t>
                  </w:r>
                </w:p>
              </w:tc>
              <w:tc>
                <w:tcPr>
                  <w:tcW w:w="1095" w:type="dxa"/>
                  <w:tcBorders>
                    <w:tl2br w:val="nil"/>
                    <w:tr2bl w:val="nil"/>
                  </w:tcBorders>
                  <w:noWrap w:val="0"/>
                  <w:vAlign w:val="center"/>
                </w:tcPr>
                <w:p w14:paraId="7DE86E90">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产生量</w:t>
                  </w:r>
                </w:p>
              </w:tc>
              <w:tc>
                <w:tcPr>
                  <w:tcW w:w="1755" w:type="dxa"/>
                  <w:tcBorders>
                    <w:tl2br w:val="nil"/>
                    <w:tr2bl w:val="nil"/>
                  </w:tcBorders>
                  <w:noWrap w:val="0"/>
                  <w:vAlign w:val="center"/>
                </w:tcPr>
                <w:p w14:paraId="1DE55E35">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处理</w:t>
                  </w:r>
                  <w:r>
                    <w:rPr>
                      <w:rFonts w:hint="eastAsia" w:cs="Times New Roman"/>
                      <w:smallCaps w:val="0"/>
                      <w:color w:val="auto"/>
                      <w:sz w:val="21"/>
                      <w:szCs w:val="21"/>
                      <w:highlight w:val="none"/>
                      <w:lang w:val="en-US" w:eastAsia="zh-CN"/>
                    </w:rPr>
                    <w:t>措施</w:t>
                  </w:r>
                </w:p>
              </w:tc>
            </w:tr>
            <w:tr w14:paraId="656528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1068" w:type="dxa"/>
                  <w:tcBorders>
                    <w:tl2br w:val="nil"/>
                    <w:tr2bl w:val="nil"/>
                  </w:tcBorders>
                  <w:shd w:val="clear" w:color="auto" w:fill="auto"/>
                  <w:noWrap w:val="0"/>
                  <w:vAlign w:val="center"/>
                </w:tcPr>
                <w:p w14:paraId="515DAD10">
                  <w:pPr>
                    <w:pStyle w:val="25"/>
                    <w:ind w:left="0" w:leftChars="0" w:firstLine="0" w:firstLine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cs="Times New Roman"/>
                      <w:smallCaps w:val="0"/>
                      <w:color w:val="auto"/>
                      <w:sz w:val="21"/>
                      <w:szCs w:val="21"/>
                      <w:highlight w:val="none"/>
                      <w:lang w:val="en-US" w:eastAsia="zh-CN"/>
                    </w:rPr>
                    <w:t>生活垃圾</w:t>
                  </w:r>
                </w:p>
              </w:tc>
              <w:tc>
                <w:tcPr>
                  <w:tcW w:w="915" w:type="dxa"/>
                  <w:tcBorders>
                    <w:tl2br w:val="nil"/>
                    <w:tr2bl w:val="nil"/>
                  </w:tcBorders>
                  <w:shd w:val="clear" w:color="auto" w:fill="auto"/>
                  <w:noWrap w:val="0"/>
                  <w:vAlign w:val="center"/>
                </w:tcPr>
                <w:p w14:paraId="2D10AAC9">
                  <w:pPr>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sz w:val="21"/>
                      <w:szCs w:val="21"/>
                      <w:highlight w:val="none"/>
                      <w:lang w:val="en-US" w:eastAsia="zh-CN"/>
                    </w:rPr>
                    <w:t>职工生活</w:t>
                  </w:r>
                </w:p>
              </w:tc>
              <w:tc>
                <w:tcPr>
                  <w:tcW w:w="720" w:type="dxa"/>
                  <w:tcBorders>
                    <w:tl2br w:val="nil"/>
                    <w:tr2bl w:val="nil"/>
                  </w:tcBorders>
                  <w:shd w:val="clear" w:color="auto" w:fill="auto"/>
                  <w:noWrap w:val="0"/>
                  <w:vAlign w:val="center"/>
                </w:tcPr>
                <w:p w14:paraId="7BD7A4CD">
                  <w:pPr>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sz w:val="21"/>
                      <w:szCs w:val="21"/>
                      <w:highlight w:val="none"/>
                      <w:lang w:val="en-US" w:eastAsia="zh-CN"/>
                    </w:rPr>
                    <w:t>固体</w:t>
                  </w:r>
                </w:p>
              </w:tc>
              <w:tc>
                <w:tcPr>
                  <w:tcW w:w="1080" w:type="dxa"/>
                  <w:tcBorders>
                    <w:tl2br w:val="nil"/>
                    <w:tr2bl w:val="nil"/>
                  </w:tcBorders>
                  <w:shd w:val="clear" w:color="auto" w:fill="auto"/>
                  <w:noWrap w:val="0"/>
                  <w:vAlign w:val="center"/>
                </w:tcPr>
                <w:p w14:paraId="1A4B2E64">
                  <w:pPr>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sz w:val="21"/>
                      <w:szCs w:val="21"/>
                      <w:highlight w:val="none"/>
                      <w:lang w:val="en-US" w:eastAsia="zh-CN"/>
                    </w:rPr>
                    <w:t>/</w:t>
                  </w:r>
                </w:p>
              </w:tc>
              <w:tc>
                <w:tcPr>
                  <w:tcW w:w="1365" w:type="dxa"/>
                  <w:tcBorders>
                    <w:tl2br w:val="nil"/>
                    <w:tr2bl w:val="nil"/>
                  </w:tcBorders>
                  <w:shd w:val="clear" w:color="auto" w:fill="auto"/>
                  <w:noWrap w:val="0"/>
                  <w:vAlign w:val="center"/>
                </w:tcPr>
                <w:p w14:paraId="2A409B91">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sz w:val="21"/>
                      <w:szCs w:val="21"/>
                      <w:highlight w:val="none"/>
                      <w:lang w:val="en-US" w:eastAsia="zh-CN"/>
                    </w:rPr>
                    <w:t>/</w:t>
                  </w:r>
                </w:p>
              </w:tc>
              <w:tc>
                <w:tcPr>
                  <w:tcW w:w="1095" w:type="dxa"/>
                  <w:tcBorders>
                    <w:tl2br w:val="nil"/>
                    <w:tr2bl w:val="nil"/>
                  </w:tcBorders>
                  <w:shd w:val="clear" w:color="auto" w:fill="auto"/>
                  <w:noWrap w:val="0"/>
                  <w:vAlign w:val="center"/>
                </w:tcPr>
                <w:p w14:paraId="2910A173">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sz w:val="21"/>
                      <w:szCs w:val="21"/>
                      <w:highlight w:val="none"/>
                      <w:lang w:val="en-US" w:eastAsia="zh-CN"/>
                    </w:rPr>
                    <w:t>2.43t/a</w:t>
                  </w:r>
                </w:p>
              </w:tc>
              <w:tc>
                <w:tcPr>
                  <w:tcW w:w="1755" w:type="dxa"/>
                  <w:tcBorders>
                    <w:tl2br w:val="nil"/>
                    <w:tr2bl w:val="nil"/>
                  </w:tcBorders>
                  <w:shd w:val="clear" w:color="auto" w:fill="auto"/>
                  <w:noWrap w:val="0"/>
                  <w:vAlign w:val="center"/>
                </w:tcPr>
                <w:p w14:paraId="76ACBF6B">
                  <w:pPr>
                    <w:jc w:val="center"/>
                    <w:rPr>
                      <w:rFonts w:hint="default" w:ascii="Times New Roman" w:hAnsi="Times New Roman" w:eastAsia="宋体" w:cs="宋体"/>
                      <w:smallCaps w:val="0"/>
                      <w:color w:val="auto"/>
                      <w:kern w:val="2"/>
                      <w:sz w:val="21"/>
                      <w:szCs w:val="21"/>
                      <w:highlight w:val="none"/>
                      <w:vertAlign w:val="baseline"/>
                      <w:lang w:val="en-US" w:eastAsia="zh-CN" w:bidi="ar-SA"/>
                    </w:rPr>
                  </w:pPr>
                  <w:r>
                    <w:rPr>
                      <w:rFonts w:hint="eastAsia" w:ascii="Times New Roman" w:hAnsi="Times New Roman" w:eastAsia="宋体" w:cs="宋体"/>
                      <w:smallCaps w:val="0"/>
                      <w:color w:val="auto"/>
                      <w:sz w:val="21"/>
                      <w:szCs w:val="21"/>
                      <w:highlight w:val="none"/>
                      <w:vertAlign w:val="baseline"/>
                      <w:lang w:val="en-US" w:eastAsia="zh-CN"/>
                    </w:rPr>
                    <w:t>定期交由市政环卫部门统一处理</w:t>
                  </w:r>
                </w:p>
              </w:tc>
            </w:tr>
            <w:tr w14:paraId="3E7334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1068" w:type="dxa"/>
                  <w:tcBorders>
                    <w:tl2br w:val="nil"/>
                    <w:tr2bl w:val="nil"/>
                  </w:tcBorders>
                  <w:shd w:val="clear" w:color="auto" w:fill="auto"/>
                  <w:noWrap w:val="0"/>
                  <w:vAlign w:val="center"/>
                </w:tcPr>
                <w:p w14:paraId="2ECD1E1F">
                  <w:pPr>
                    <w:pStyle w:val="25"/>
                    <w:ind w:left="0" w:leftChars="0" w:firstLine="0" w:firstLine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cs="Times New Roman"/>
                      <w:smallCaps w:val="0"/>
                      <w:color w:val="auto"/>
                      <w:sz w:val="21"/>
                      <w:szCs w:val="21"/>
                      <w:highlight w:val="none"/>
                      <w:lang w:val="en-US" w:eastAsia="zh-CN"/>
                    </w:rPr>
                    <w:t>废包装袋</w:t>
                  </w:r>
                </w:p>
              </w:tc>
              <w:tc>
                <w:tcPr>
                  <w:tcW w:w="915" w:type="dxa"/>
                  <w:tcBorders>
                    <w:tl2br w:val="nil"/>
                    <w:tr2bl w:val="nil"/>
                  </w:tcBorders>
                  <w:shd w:val="clear" w:color="auto" w:fill="auto"/>
                  <w:noWrap w:val="0"/>
                  <w:vAlign w:val="center"/>
                </w:tcPr>
                <w:p w14:paraId="7CF26E25">
                  <w:pPr>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sz w:val="21"/>
                      <w:szCs w:val="21"/>
                      <w:highlight w:val="none"/>
                      <w:lang w:val="en-US" w:eastAsia="zh-CN"/>
                    </w:rPr>
                    <w:t>涂胶</w:t>
                  </w:r>
                </w:p>
              </w:tc>
              <w:tc>
                <w:tcPr>
                  <w:tcW w:w="720" w:type="dxa"/>
                  <w:tcBorders>
                    <w:tl2br w:val="nil"/>
                    <w:tr2bl w:val="nil"/>
                  </w:tcBorders>
                  <w:shd w:val="clear" w:color="auto" w:fill="auto"/>
                  <w:noWrap w:val="0"/>
                  <w:vAlign w:val="center"/>
                </w:tcPr>
                <w:p w14:paraId="51B9D203">
                  <w:pPr>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sz w:val="21"/>
                      <w:szCs w:val="21"/>
                      <w:highlight w:val="none"/>
                      <w:lang w:val="en-US" w:eastAsia="zh-CN"/>
                    </w:rPr>
                    <w:t>固体</w:t>
                  </w:r>
                </w:p>
              </w:tc>
              <w:tc>
                <w:tcPr>
                  <w:tcW w:w="1080" w:type="dxa"/>
                  <w:tcBorders>
                    <w:tl2br w:val="nil"/>
                    <w:tr2bl w:val="nil"/>
                  </w:tcBorders>
                  <w:shd w:val="clear" w:color="auto" w:fill="auto"/>
                  <w:noWrap w:val="0"/>
                  <w:vAlign w:val="center"/>
                </w:tcPr>
                <w:p w14:paraId="673C25C2">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sz w:val="21"/>
                      <w:szCs w:val="21"/>
                      <w:highlight w:val="none"/>
                    </w:rPr>
                    <w:t>一般</w:t>
                  </w:r>
                  <w:r>
                    <w:rPr>
                      <w:rFonts w:hint="eastAsia" w:cs="Times New Roman"/>
                      <w:smallCaps w:val="0"/>
                      <w:color w:val="auto"/>
                      <w:sz w:val="21"/>
                      <w:szCs w:val="21"/>
                      <w:highlight w:val="none"/>
                      <w:lang w:val="en-US" w:eastAsia="zh-CN"/>
                    </w:rPr>
                    <w:t>工业</w:t>
                  </w:r>
                  <w:r>
                    <w:rPr>
                      <w:rFonts w:hint="default" w:ascii="Times New Roman" w:hAnsi="Times New Roman" w:eastAsia="宋体" w:cs="Times New Roman"/>
                      <w:smallCaps w:val="0"/>
                      <w:color w:val="auto"/>
                      <w:sz w:val="21"/>
                      <w:szCs w:val="21"/>
                      <w:highlight w:val="none"/>
                      <w:lang w:val="en-US" w:eastAsia="zh-CN"/>
                    </w:rPr>
                    <w:t>固体废物</w:t>
                  </w:r>
                </w:p>
              </w:tc>
              <w:tc>
                <w:tcPr>
                  <w:tcW w:w="1365" w:type="dxa"/>
                  <w:tcBorders>
                    <w:tl2br w:val="nil"/>
                    <w:tr2bl w:val="nil"/>
                  </w:tcBorders>
                  <w:shd w:val="clear" w:color="auto" w:fill="auto"/>
                  <w:noWrap w:val="0"/>
                  <w:vAlign w:val="center"/>
                </w:tcPr>
                <w:p w14:paraId="42399111">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SW62</w:t>
                  </w:r>
                </w:p>
                <w:p w14:paraId="6684F95B">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900-002-S62</w:t>
                  </w:r>
                </w:p>
              </w:tc>
              <w:tc>
                <w:tcPr>
                  <w:tcW w:w="1095" w:type="dxa"/>
                  <w:tcBorders>
                    <w:tl2br w:val="nil"/>
                    <w:tr2bl w:val="nil"/>
                  </w:tcBorders>
                  <w:shd w:val="clear" w:color="auto" w:fill="auto"/>
                  <w:noWrap w:val="0"/>
                  <w:vAlign w:val="center"/>
                </w:tcPr>
                <w:p w14:paraId="739CF4A5">
                  <w:pPr>
                    <w:jc w:val="center"/>
                    <w:rPr>
                      <w:rFonts w:hint="default" w:ascii="Times New Roman" w:hAnsi="Times New Roman" w:eastAsia="宋体" w:cs="宋体"/>
                      <w:smallCaps w:val="0"/>
                      <w:color w:val="auto"/>
                      <w:kern w:val="2"/>
                      <w:sz w:val="21"/>
                      <w:szCs w:val="21"/>
                      <w:highlight w:val="none"/>
                      <w:vertAlign w:val="baseline"/>
                      <w:lang w:val="en-US" w:eastAsia="zh-CN" w:bidi="ar-SA"/>
                    </w:rPr>
                  </w:pPr>
                  <w:r>
                    <w:rPr>
                      <w:rFonts w:hint="eastAsia" w:ascii="Times New Roman" w:hAnsi="Times New Roman" w:eastAsia="宋体" w:cs="Times New Roman"/>
                      <w:smallCaps w:val="0"/>
                      <w:color w:val="auto"/>
                      <w:sz w:val="21"/>
                      <w:szCs w:val="21"/>
                      <w:highlight w:val="none"/>
                      <w:lang w:val="en-US" w:eastAsia="zh-CN"/>
                    </w:rPr>
                    <w:t>0.</w:t>
                  </w:r>
                  <w:r>
                    <w:rPr>
                      <w:rFonts w:hint="eastAsia" w:cs="Times New Roman"/>
                      <w:smallCaps w:val="0"/>
                      <w:color w:val="auto"/>
                      <w:sz w:val="21"/>
                      <w:szCs w:val="21"/>
                      <w:highlight w:val="none"/>
                      <w:lang w:val="en-US" w:eastAsia="zh-CN"/>
                    </w:rPr>
                    <w:t>5</w:t>
                  </w:r>
                  <w:r>
                    <w:rPr>
                      <w:rFonts w:hint="eastAsia" w:ascii="Times New Roman" w:hAnsi="Times New Roman" w:eastAsia="宋体" w:cs="Times New Roman"/>
                      <w:smallCaps w:val="0"/>
                      <w:color w:val="auto"/>
                      <w:sz w:val="21"/>
                      <w:szCs w:val="21"/>
                      <w:highlight w:val="none"/>
                      <w:lang w:val="en-US" w:eastAsia="zh-CN"/>
                    </w:rPr>
                    <w:t>t/a</w:t>
                  </w:r>
                </w:p>
              </w:tc>
              <w:tc>
                <w:tcPr>
                  <w:tcW w:w="1755" w:type="dxa"/>
                  <w:tcBorders>
                    <w:tl2br w:val="nil"/>
                    <w:tr2bl w:val="nil"/>
                  </w:tcBorders>
                  <w:shd w:val="clear" w:color="auto" w:fill="auto"/>
                  <w:noWrap w:val="0"/>
                  <w:vAlign w:val="center"/>
                </w:tcPr>
                <w:p w14:paraId="2E118551">
                  <w:pPr>
                    <w:jc w:val="center"/>
                    <w:rPr>
                      <w:rFonts w:hint="default" w:ascii="Times New Roman" w:hAnsi="Times New Roman" w:eastAsia="宋体" w:cs="宋体"/>
                      <w:smallCaps w:val="0"/>
                      <w:color w:val="auto"/>
                      <w:kern w:val="2"/>
                      <w:sz w:val="21"/>
                      <w:szCs w:val="21"/>
                      <w:highlight w:val="none"/>
                      <w:vertAlign w:val="baseline"/>
                      <w:lang w:val="en-US" w:eastAsia="zh-CN" w:bidi="ar-SA"/>
                    </w:rPr>
                  </w:pPr>
                  <w:r>
                    <w:rPr>
                      <w:rFonts w:hint="eastAsia" w:ascii="Times New Roman" w:hAnsi="Times New Roman" w:eastAsia="宋体" w:cs="宋体"/>
                      <w:smallCaps w:val="0"/>
                      <w:color w:val="auto"/>
                      <w:sz w:val="21"/>
                      <w:szCs w:val="21"/>
                      <w:highlight w:val="none"/>
                      <w:vertAlign w:val="baseline"/>
                      <w:lang w:val="en-US" w:eastAsia="zh-CN"/>
                    </w:rPr>
                    <w:t>定期交由市政环卫部门统一处理</w:t>
                  </w:r>
                </w:p>
              </w:tc>
            </w:tr>
            <w:tr w14:paraId="2CD0E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8" w:hRule="atLeast"/>
              </w:trPr>
              <w:tc>
                <w:tcPr>
                  <w:tcW w:w="1068" w:type="dxa"/>
                  <w:tcBorders>
                    <w:tl2br w:val="nil"/>
                    <w:tr2bl w:val="nil"/>
                  </w:tcBorders>
                  <w:noWrap w:val="0"/>
                  <w:vAlign w:val="center"/>
                </w:tcPr>
                <w:p w14:paraId="7E56DCAC">
                  <w:pPr>
                    <w:pStyle w:val="25"/>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cs="宋体"/>
                      <w:smallCaps w:val="0"/>
                      <w:color w:val="auto"/>
                      <w:sz w:val="21"/>
                      <w:szCs w:val="21"/>
                      <w:highlight w:val="none"/>
                      <w:vertAlign w:val="baseline"/>
                      <w:lang w:val="en-US" w:eastAsia="zh-CN"/>
                    </w:rPr>
                    <w:t>废边角料</w:t>
                  </w:r>
                </w:p>
              </w:tc>
              <w:tc>
                <w:tcPr>
                  <w:tcW w:w="915" w:type="dxa"/>
                  <w:tcBorders>
                    <w:tl2br w:val="nil"/>
                    <w:tr2bl w:val="nil"/>
                  </w:tcBorders>
                  <w:noWrap w:val="0"/>
                  <w:vAlign w:val="center"/>
                </w:tcPr>
                <w:p w14:paraId="5FD9DDAD">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锯切等工段</w:t>
                  </w:r>
                </w:p>
              </w:tc>
              <w:tc>
                <w:tcPr>
                  <w:tcW w:w="720" w:type="dxa"/>
                  <w:tcBorders>
                    <w:tl2br w:val="nil"/>
                    <w:tr2bl w:val="nil"/>
                  </w:tcBorders>
                  <w:noWrap w:val="0"/>
                  <w:vAlign w:val="center"/>
                </w:tcPr>
                <w:p w14:paraId="7A9D26A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固体</w:t>
                  </w:r>
                </w:p>
              </w:tc>
              <w:tc>
                <w:tcPr>
                  <w:tcW w:w="1080" w:type="dxa"/>
                  <w:tcBorders>
                    <w:tl2br w:val="nil"/>
                    <w:tr2bl w:val="nil"/>
                  </w:tcBorders>
                  <w:noWrap w:val="0"/>
                  <w:vAlign w:val="center"/>
                </w:tcPr>
                <w:p w14:paraId="44EA99BA">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eastAsia" w:cs="Times New Roman"/>
                      <w:smallCaps w:val="0"/>
                      <w:color w:val="auto"/>
                      <w:sz w:val="21"/>
                      <w:szCs w:val="21"/>
                      <w:highlight w:val="none"/>
                      <w:lang w:val="en-US" w:eastAsia="zh-CN"/>
                    </w:rPr>
                    <w:t>工业</w:t>
                  </w:r>
                  <w:r>
                    <w:rPr>
                      <w:rFonts w:hint="default" w:ascii="Times New Roman" w:hAnsi="Times New Roman" w:eastAsia="宋体" w:cs="Times New Roman"/>
                      <w:smallCaps w:val="0"/>
                      <w:color w:val="auto"/>
                      <w:sz w:val="21"/>
                      <w:szCs w:val="21"/>
                      <w:highlight w:val="none"/>
                      <w:lang w:val="en-US" w:eastAsia="zh-CN"/>
                    </w:rPr>
                    <w:t>固体废物</w:t>
                  </w:r>
                </w:p>
              </w:tc>
              <w:tc>
                <w:tcPr>
                  <w:tcW w:w="1365" w:type="dxa"/>
                  <w:tcBorders>
                    <w:tl2br w:val="nil"/>
                    <w:tr2bl w:val="nil"/>
                  </w:tcBorders>
                  <w:noWrap w:val="0"/>
                  <w:vAlign w:val="center"/>
                </w:tcPr>
                <w:p w14:paraId="30D31883">
                  <w:pPr>
                    <w:jc w:val="center"/>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w:t>
                  </w:r>
                  <w:r>
                    <w:rPr>
                      <w:rFonts w:hint="eastAsia" w:cs="Times New Roman"/>
                      <w:smallCaps w:val="0"/>
                      <w:color w:val="auto"/>
                      <w:sz w:val="21"/>
                      <w:szCs w:val="21"/>
                      <w:highlight w:val="none"/>
                      <w:lang w:val="en-US" w:eastAsia="zh-CN"/>
                    </w:rPr>
                    <w:t>17</w:t>
                  </w:r>
                </w:p>
                <w:p w14:paraId="567CAAE1">
                  <w:pPr>
                    <w:jc w:val="center"/>
                    <w:rPr>
                      <w:rFonts w:hint="default"/>
                      <w:color w:val="auto"/>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900-0</w:t>
                  </w:r>
                  <w:r>
                    <w:rPr>
                      <w:rFonts w:hint="eastAsia" w:cs="Times New Roman"/>
                      <w:smallCaps w:val="0"/>
                      <w:color w:val="auto"/>
                      <w:sz w:val="21"/>
                      <w:szCs w:val="21"/>
                      <w:highlight w:val="none"/>
                      <w:lang w:val="en-US" w:eastAsia="zh-CN"/>
                    </w:rPr>
                    <w:t>0</w:t>
                  </w:r>
                  <w:r>
                    <w:rPr>
                      <w:rFonts w:hint="default" w:ascii="Times New Roman" w:hAnsi="Times New Roman" w:eastAsia="宋体" w:cs="Times New Roman"/>
                      <w:smallCaps w:val="0"/>
                      <w:color w:val="auto"/>
                      <w:sz w:val="21"/>
                      <w:szCs w:val="21"/>
                      <w:highlight w:val="none"/>
                      <w:lang w:val="en-US" w:eastAsia="zh-CN"/>
                    </w:rPr>
                    <w:t>9-S</w:t>
                  </w:r>
                  <w:r>
                    <w:rPr>
                      <w:rFonts w:hint="eastAsia" w:cs="Times New Roman"/>
                      <w:smallCaps w:val="0"/>
                      <w:color w:val="auto"/>
                      <w:sz w:val="21"/>
                      <w:szCs w:val="21"/>
                      <w:highlight w:val="none"/>
                      <w:lang w:val="en-US" w:eastAsia="zh-CN"/>
                    </w:rPr>
                    <w:t>17</w:t>
                  </w:r>
                </w:p>
              </w:tc>
              <w:tc>
                <w:tcPr>
                  <w:tcW w:w="1095" w:type="dxa"/>
                  <w:tcBorders>
                    <w:tl2br w:val="nil"/>
                    <w:tr2bl w:val="nil"/>
                  </w:tcBorders>
                  <w:noWrap w:val="0"/>
                  <w:vAlign w:val="center"/>
                </w:tcPr>
                <w:p w14:paraId="2902AD52">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cs="宋体"/>
                      <w:smallCaps w:val="0"/>
                      <w:color w:val="auto"/>
                      <w:sz w:val="21"/>
                      <w:szCs w:val="21"/>
                      <w:highlight w:val="none"/>
                      <w:vertAlign w:val="baseline"/>
                      <w:lang w:val="en-US" w:eastAsia="zh-CN"/>
                    </w:rPr>
                    <w:t>48</w:t>
                  </w:r>
                  <w:r>
                    <w:rPr>
                      <w:rFonts w:hint="default" w:ascii="Times New Roman" w:hAnsi="Times New Roman" w:eastAsia="宋体" w:cs="宋体"/>
                      <w:smallCaps w:val="0"/>
                      <w:color w:val="auto"/>
                      <w:sz w:val="21"/>
                      <w:szCs w:val="21"/>
                      <w:highlight w:val="none"/>
                      <w:vertAlign w:val="baseline"/>
                      <w:lang w:val="en-US" w:eastAsia="zh-CN"/>
                    </w:rPr>
                    <w:t>t/a</w:t>
                  </w:r>
                </w:p>
              </w:tc>
              <w:tc>
                <w:tcPr>
                  <w:tcW w:w="1755" w:type="dxa"/>
                  <w:tcBorders>
                    <w:tl2br w:val="nil"/>
                    <w:tr2bl w:val="nil"/>
                  </w:tcBorders>
                  <w:noWrap w:val="0"/>
                  <w:vAlign w:val="center"/>
                </w:tcPr>
                <w:p w14:paraId="4D42CB74">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外售</w:t>
                  </w:r>
                  <w:r>
                    <w:rPr>
                      <w:rFonts w:hint="eastAsia" w:cs="宋体"/>
                      <w:smallCaps w:val="0"/>
                      <w:color w:val="auto"/>
                      <w:sz w:val="21"/>
                      <w:szCs w:val="21"/>
                      <w:highlight w:val="none"/>
                      <w:vertAlign w:val="baseline"/>
                      <w:lang w:val="en-US" w:eastAsia="zh-CN"/>
                    </w:rPr>
                    <w:t>作有机肥</w:t>
                  </w:r>
                </w:p>
              </w:tc>
            </w:tr>
            <w:tr w14:paraId="2D29F7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1068" w:type="dxa"/>
                  <w:tcBorders>
                    <w:tl2br w:val="nil"/>
                    <w:tr2bl w:val="nil"/>
                  </w:tcBorders>
                  <w:noWrap w:val="0"/>
                  <w:vAlign w:val="center"/>
                </w:tcPr>
                <w:p w14:paraId="4C031B92">
                  <w:pPr>
                    <w:pStyle w:val="25"/>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cs="宋体"/>
                      <w:smallCaps w:val="0"/>
                      <w:color w:val="auto"/>
                      <w:sz w:val="21"/>
                      <w:szCs w:val="21"/>
                      <w:highlight w:val="none"/>
                      <w:vertAlign w:val="baseline"/>
                      <w:lang w:val="en-US" w:eastAsia="zh-CN"/>
                    </w:rPr>
                    <w:t>锅炉灰渣</w:t>
                  </w:r>
                </w:p>
              </w:tc>
              <w:tc>
                <w:tcPr>
                  <w:tcW w:w="915" w:type="dxa"/>
                  <w:tcBorders>
                    <w:tl2br w:val="nil"/>
                    <w:tr2bl w:val="nil"/>
                  </w:tcBorders>
                  <w:noWrap w:val="0"/>
                  <w:vAlign w:val="center"/>
                </w:tcPr>
                <w:p w14:paraId="2D2EC732">
                  <w:pPr>
                    <w:pStyle w:val="25"/>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除尘系统</w:t>
                  </w:r>
                </w:p>
              </w:tc>
              <w:tc>
                <w:tcPr>
                  <w:tcW w:w="720" w:type="dxa"/>
                  <w:tcBorders>
                    <w:tl2br w:val="nil"/>
                    <w:tr2bl w:val="nil"/>
                  </w:tcBorders>
                  <w:noWrap w:val="0"/>
                  <w:vAlign w:val="center"/>
                </w:tcPr>
                <w:p w14:paraId="7F921E1A">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固体</w:t>
                  </w:r>
                </w:p>
              </w:tc>
              <w:tc>
                <w:tcPr>
                  <w:tcW w:w="1080" w:type="dxa"/>
                  <w:tcBorders>
                    <w:tl2br w:val="nil"/>
                    <w:tr2bl w:val="nil"/>
                  </w:tcBorders>
                  <w:noWrap w:val="0"/>
                  <w:vAlign w:val="center"/>
                </w:tcPr>
                <w:p w14:paraId="059B312C">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eastAsia" w:cs="Times New Roman"/>
                      <w:smallCaps w:val="0"/>
                      <w:color w:val="auto"/>
                      <w:sz w:val="21"/>
                      <w:szCs w:val="21"/>
                      <w:highlight w:val="none"/>
                      <w:lang w:val="en-US" w:eastAsia="zh-CN"/>
                    </w:rPr>
                    <w:t>工业</w:t>
                  </w:r>
                  <w:r>
                    <w:rPr>
                      <w:rFonts w:hint="default" w:ascii="Times New Roman" w:hAnsi="Times New Roman" w:eastAsia="宋体" w:cs="Times New Roman"/>
                      <w:smallCaps w:val="0"/>
                      <w:color w:val="auto"/>
                      <w:sz w:val="21"/>
                      <w:szCs w:val="21"/>
                      <w:highlight w:val="none"/>
                      <w:lang w:val="en-US" w:eastAsia="zh-CN"/>
                    </w:rPr>
                    <w:t>固体废物</w:t>
                  </w:r>
                </w:p>
              </w:tc>
              <w:tc>
                <w:tcPr>
                  <w:tcW w:w="1365" w:type="dxa"/>
                  <w:tcBorders>
                    <w:tl2br w:val="nil"/>
                    <w:tr2bl w:val="nil"/>
                  </w:tcBorders>
                  <w:noWrap w:val="0"/>
                  <w:vAlign w:val="center"/>
                </w:tcPr>
                <w:p w14:paraId="0504F440">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SW0</w:t>
                  </w:r>
                  <w:r>
                    <w:rPr>
                      <w:rFonts w:hint="eastAsia" w:cs="Times New Roman"/>
                      <w:smallCaps w:val="0"/>
                      <w:color w:val="auto"/>
                      <w:sz w:val="21"/>
                      <w:szCs w:val="21"/>
                      <w:highlight w:val="none"/>
                      <w:lang w:val="en-US" w:eastAsia="zh-CN"/>
                    </w:rPr>
                    <w:t>3</w:t>
                  </w:r>
                </w:p>
                <w:p w14:paraId="6A8562DF">
                  <w:pPr>
                    <w:jc w:val="center"/>
                    <w:rPr>
                      <w:rFonts w:hint="default"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900-0</w:t>
                  </w:r>
                  <w:r>
                    <w:rPr>
                      <w:rFonts w:hint="eastAsia" w:cs="Times New Roman"/>
                      <w:smallCaps w:val="0"/>
                      <w:color w:val="auto"/>
                      <w:sz w:val="21"/>
                      <w:szCs w:val="21"/>
                      <w:highlight w:val="none"/>
                      <w:lang w:val="en-US" w:eastAsia="zh-CN"/>
                    </w:rPr>
                    <w:t>99</w:t>
                  </w:r>
                  <w:r>
                    <w:rPr>
                      <w:rFonts w:hint="default" w:ascii="Times New Roman" w:hAnsi="Times New Roman" w:eastAsia="宋体" w:cs="Times New Roman"/>
                      <w:smallCaps w:val="0"/>
                      <w:color w:val="auto"/>
                      <w:sz w:val="21"/>
                      <w:szCs w:val="21"/>
                      <w:highlight w:val="none"/>
                      <w:lang w:val="en-US" w:eastAsia="zh-CN"/>
                    </w:rPr>
                    <w:t>-S</w:t>
                  </w:r>
                  <w:r>
                    <w:rPr>
                      <w:rFonts w:hint="eastAsia" w:cs="Times New Roman"/>
                      <w:smallCaps w:val="0"/>
                      <w:color w:val="auto"/>
                      <w:sz w:val="21"/>
                      <w:szCs w:val="21"/>
                      <w:highlight w:val="none"/>
                      <w:lang w:val="en-US" w:eastAsia="zh-CN"/>
                    </w:rPr>
                    <w:t>03</w:t>
                  </w:r>
                </w:p>
              </w:tc>
              <w:tc>
                <w:tcPr>
                  <w:tcW w:w="1095" w:type="dxa"/>
                  <w:tcBorders>
                    <w:tl2br w:val="nil"/>
                    <w:tr2bl w:val="nil"/>
                  </w:tcBorders>
                  <w:noWrap w:val="0"/>
                  <w:vAlign w:val="center"/>
                </w:tcPr>
                <w:p w14:paraId="5D7DD5D4">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106.98</w:t>
                  </w:r>
                  <w:r>
                    <w:rPr>
                      <w:rFonts w:hint="eastAsia" w:ascii="Times New Roman" w:hAnsi="Times New Roman" w:eastAsia="宋体" w:cs="Times New Roman"/>
                      <w:smallCaps w:val="0"/>
                      <w:color w:val="auto"/>
                      <w:sz w:val="21"/>
                      <w:szCs w:val="21"/>
                      <w:highlight w:val="none"/>
                      <w:lang w:val="en-US" w:eastAsia="zh-CN"/>
                    </w:rPr>
                    <w:t>t/a</w:t>
                  </w:r>
                </w:p>
              </w:tc>
              <w:tc>
                <w:tcPr>
                  <w:tcW w:w="1755" w:type="dxa"/>
                  <w:tcBorders>
                    <w:tl2br w:val="nil"/>
                    <w:tr2bl w:val="nil"/>
                  </w:tcBorders>
                  <w:noWrap w:val="0"/>
                  <w:vAlign w:val="center"/>
                </w:tcPr>
                <w:p w14:paraId="0FE11224">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外售</w:t>
                  </w:r>
                  <w:r>
                    <w:rPr>
                      <w:rFonts w:hint="eastAsia" w:cs="宋体"/>
                      <w:smallCaps w:val="0"/>
                      <w:color w:val="auto"/>
                      <w:sz w:val="21"/>
                      <w:szCs w:val="21"/>
                      <w:highlight w:val="none"/>
                      <w:vertAlign w:val="baseline"/>
                      <w:lang w:val="en-US" w:eastAsia="zh-CN"/>
                    </w:rPr>
                    <w:t>作有机肥</w:t>
                  </w:r>
                </w:p>
              </w:tc>
            </w:tr>
            <w:tr w14:paraId="2AA271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068" w:type="dxa"/>
                  <w:tcBorders>
                    <w:tl2br w:val="nil"/>
                    <w:tr2bl w:val="nil"/>
                  </w:tcBorders>
                  <w:noWrap w:val="0"/>
                  <w:vAlign w:val="center"/>
                </w:tcPr>
                <w:p w14:paraId="71C0DEB3">
                  <w:pPr>
                    <w:pStyle w:val="25"/>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除尘器收集粉尘</w:t>
                  </w:r>
                </w:p>
              </w:tc>
              <w:tc>
                <w:tcPr>
                  <w:tcW w:w="915" w:type="dxa"/>
                  <w:tcBorders>
                    <w:tl2br w:val="nil"/>
                    <w:tr2bl w:val="nil"/>
                  </w:tcBorders>
                  <w:noWrap w:val="0"/>
                  <w:vAlign w:val="center"/>
                </w:tcPr>
                <w:p w14:paraId="37E2745D">
                  <w:pPr>
                    <w:pStyle w:val="25"/>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除尘系统</w:t>
                  </w:r>
                </w:p>
              </w:tc>
              <w:tc>
                <w:tcPr>
                  <w:tcW w:w="720" w:type="dxa"/>
                  <w:tcBorders>
                    <w:tl2br w:val="nil"/>
                    <w:tr2bl w:val="nil"/>
                  </w:tcBorders>
                  <w:noWrap w:val="0"/>
                  <w:vAlign w:val="center"/>
                </w:tcPr>
                <w:p w14:paraId="17D80A3E">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固体</w:t>
                  </w:r>
                </w:p>
              </w:tc>
              <w:tc>
                <w:tcPr>
                  <w:tcW w:w="1080" w:type="dxa"/>
                  <w:tcBorders>
                    <w:tl2br w:val="nil"/>
                    <w:tr2bl w:val="nil"/>
                  </w:tcBorders>
                  <w:noWrap w:val="0"/>
                  <w:vAlign w:val="center"/>
                </w:tcPr>
                <w:p w14:paraId="56DE59C0">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eastAsia" w:cs="Times New Roman"/>
                      <w:smallCaps w:val="0"/>
                      <w:color w:val="auto"/>
                      <w:sz w:val="21"/>
                      <w:szCs w:val="21"/>
                      <w:highlight w:val="none"/>
                      <w:lang w:val="en-US" w:eastAsia="zh-CN"/>
                    </w:rPr>
                    <w:t>工业</w:t>
                  </w:r>
                  <w:r>
                    <w:rPr>
                      <w:rFonts w:hint="default" w:ascii="Times New Roman" w:hAnsi="Times New Roman" w:eastAsia="宋体" w:cs="Times New Roman"/>
                      <w:smallCaps w:val="0"/>
                      <w:color w:val="auto"/>
                      <w:sz w:val="21"/>
                      <w:szCs w:val="21"/>
                      <w:highlight w:val="none"/>
                      <w:lang w:val="en-US" w:eastAsia="zh-CN"/>
                    </w:rPr>
                    <w:t>固体废物</w:t>
                  </w:r>
                </w:p>
              </w:tc>
              <w:tc>
                <w:tcPr>
                  <w:tcW w:w="1365" w:type="dxa"/>
                  <w:tcBorders>
                    <w:tl2br w:val="nil"/>
                    <w:tr2bl w:val="nil"/>
                  </w:tcBorders>
                  <w:noWrap w:val="0"/>
                  <w:vAlign w:val="center"/>
                </w:tcPr>
                <w:p w14:paraId="2AA687EB">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SW59</w:t>
                  </w:r>
                </w:p>
                <w:p w14:paraId="2EC9FF09">
                  <w:pPr>
                    <w:jc w:val="center"/>
                    <w:rPr>
                      <w:rFonts w:hint="default"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900-0</w:t>
                  </w:r>
                  <w:r>
                    <w:rPr>
                      <w:rFonts w:hint="eastAsia" w:cs="Times New Roman"/>
                      <w:smallCaps w:val="0"/>
                      <w:color w:val="auto"/>
                      <w:sz w:val="21"/>
                      <w:szCs w:val="21"/>
                      <w:highlight w:val="none"/>
                      <w:lang w:val="en-US" w:eastAsia="zh-CN"/>
                    </w:rPr>
                    <w:t>9</w:t>
                  </w:r>
                  <w:r>
                    <w:rPr>
                      <w:rFonts w:hint="default" w:ascii="Times New Roman" w:hAnsi="Times New Roman" w:eastAsia="宋体" w:cs="Times New Roman"/>
                      <w:smallCaps w:val="0"/>
                      <w:color w:val="auto"/>
                      <w:sz w:val="21"/>
                      <w:szCs w:val="21"/>
                      <w:highlight w:val="none"/>
                      <w:lang w:val="en-US" w:eastAsia="zh-CN"/>
                    </w:rPr>
                    <w:t>9-S</w:t>
                  </w:r>
                  <w:r>
                    <w:rPr>
                      <w:rFonts w:hint="eastAsia" w:cs="Times New Roman"/>
                      <w:smallCaps w:val="0"/>
                      <w:color w:val="auto"/>
                      <w:sz w:val="21"/>
                      <w:szCs w:val="21"/>
                      <w:highlight w:val="none"/>
                      <w:lang w:val="en-US" w:eastAsia="zh-CN"/>
                    </w:rPr>
                    <w:t>59</w:t>
                  </w:r>
                </w:p>
              </w:tc>
              <w:tc>
                <w:tcPr>
                  <w:tcW w:w="1095" w:type="dxa"/>
                  <w:tcBorders>
                    <w:tl2br w:val="nil"/>
                    <w:tr2bl w:val="nil"/>
                  </w:tcBorders>
                  <w:noWrap w:val="0"/>
                  <w:vAlign w:val="center"/>
                </w:tcPr>
                <w:p w14:paraId="7A0C5E04">
                  <w:pPr>
                    <w:jc w:val="center"/>
                    <w:rPr>
                      <w:rFonts w:hint="default"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25.41</w:t>
                  </w:r>
                  <w:r>
                    <w:rPr>
                      <w:rFonts w:hint="eastAsia" w:ascii="Times New Roman" w:hAnsi="Times New Roman" w:eastAsia="宋体" w:cs="Times New Roman"/>
                      <w:smallCaps w:val="0"/>
                      <w:color w:val="auto"/>
                      <w:sz w:val="21"/>
                      <w:szCs w:val="21"/>
                      <w:highlight w:val="none"/>
                      <w:lang w:val="en-US" w:eastAsia="zh-CN"/>
                    </w:rPr>
                    <w:t>t/a</w:t>
                  </w:r>
                </w:p>
              </w:tc>
              <w:tc>
                <w:tcPr>
                  <w:tcW w:w="1755" w:type="dxa"/>
                  <w:tcBorders>
                    <w:tl2br w:val="nil"/>
                    <w:tr2bl w:val="nil"/>
                  </w:tcBorders>
                  <w:noWrap w:val="0"/>
                  <w:vAlign w:val="center"/>
                </w:tcPr>
                <w:p w14:paraId="6868F97C">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由厂家回收</w:t>
                  </w:r>
                </w:p>
              </w:tc>
            </w:tr>
            <w:tr w14:paraId="05C99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1068" w:type="dxa"/>
                  <w:tcBorders>
                    <w:tl2br w:val="nil"/>
                    <w:tr2bl w:val="nil"/>
                  </w:tcBorders>
                  <w:noWrap w:val="0"/>
                  <w:vAlign w:val="center"/>
                </w:tcPr>
                <w:p w14:paraId="3B8881C8">
                  <w:pPr>
                    <w:pStyle w:val="25"/>
                    <w:ind w:left="0" w:leftChars="0" w:firstLine="0" w:firstLineChars="0"/>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cs="宋体"/>
                      <w:smallCaps w:val="0"/>
                      <w:color w:val="auto"/>
                      <w:sz w:val="21"/>
                      <w:szCs w:val="21"/>
                      <w:highlight w:val="none"/>
                      <w:vertAlign w:val="baseline"/>
                      <w:lang w:val="en-US" w:eastAsia="zh-CN"/>
                    </w:rPr>
                    <w:t>废胶桶</w:t>
                  </w:r>
                </w:p>
              </w:tc>
              <w:tc>
                <w:tcPr>
                  <w:tcW w:w="915" w:type="dxa"/>
                  <w:tcBorders>
                    <w:tl2br w:val="nil"/>
                    <w:tr2bl w:val="nil"/>
                  </w:tcBorders>
                  <w:noWrap w:val="0"/>
                  <w:vAlign w:val="center"/>
                </w:tcPr>
                <w:p w14:paraId="56C15A1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涂胶</w:t>
                  </w:r>
                </w:p>
              </w:tc>
              <w:tc>
                <w:tcPr>
                  <w:tcW w:w="720" w:type="dxa"/>
                  <w:tcBorders>
                    <w:tl2br w:val="nil"/>
                    <w:tr2bl w:val="nil"/>
                  </w:tcBorders>
                  <w:noWrap w:val="0"/>
                  <w:vAlign w:val="center"/>
                </w:tcPr>
                <w:p w14:paraId="48B342D2">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固体</w:t>
                  </w:r>
                </w:p>
              </w:tc>
              <w:tc>
                <w:tcPr>
                  <w:tcW w:w="1080" w:type="dxa"/>
                  <w:tcBorders>
                    <w:tl2br w:val="nil"/>
                    <w:tr2bl w:val="nil"/>
                  </w:tcBorders>
                  <w:noWrap w:val="0"/>
                  <w:vAlign w:val="center"/>
                </w:tcPr>
                <w:p w14:paraId="27C8FA70">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eastAsia" w:cs="Times New Roman"/>
                      <w:smallCaps w:val="0"/>
                      <w:color w:val="auto"/>
                      <w:sz w:val="21"/>
                      <w:szCs w:val="21"/>
                      <w:highlight w:val="none"/>
                      <w:lang w:val="en-US" w:eastAsia="zh-CN"/>
                    </w:rPr>
                    <w:t>工业</w:t>
                  </w:r>
                  <w:r>
                    <w:rPr>
                      <w:rFonts w:hint="default" w:ascii="Times New Roman" w:hAnsi="Times New Roman" w:eastAsia="宋体" w:cs="Times New Roman"/>
                      <w:smallCaps w:val="0"/>
                      <w:color w:val="auto"/>
                      <w:sz w:val="21"/>
                      <w:szCs w:val="21"/>
                      <w:highlight w:val="none"/>
                      <w:lang w:val="en-US" w:eastAsia="zh-CN"/>
                    </w:rPr>
                    <w:t>固体废物</w:t>
                  </w:r>
                </w:p>
              </w:tc>
              <w:tc>
                <w:tcPr>
                  <w:tcW w:w="1365" w:type="dxa"/>
                  <w:tcBorders>
                    <w:tl2br w:val="nil"/>
                    <w:tr2bl w:val="nil"/>
                  </w:tcBorders>
                  <w:noWrap w:val="0"/>
                  <w:vAlign w:val="center"/>
                </w:tcPr>
                <w:p w14:paraId="1B87AAF4">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SW59</w:t>
                  </w:r>
                </w:p>
                <w:p w14:paraId="3226466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olor w:val="auto"/>
                      <w:highlight w:val="none"/>
                    </w:rPr>
                    <w:t>900-0</w:t>
                  </w:r>
                  <w:r>
                    <w:rPr>
                      <w:rFonts w:hint="eastAsia"/>
                      <w:color w:val="auto"/>
                      <w:highlight w:val="none"/>
                      <w:lang w:val="en-US" w:eastAsia="zh-CN"/>
                    </w:rPr>
                    <w:t>99</w:t>
                  </w:r>
                  <w:r>
                    <w:rPr>
                      <w:rFonts w:hint="eastAsia"/>
                      <w:color w:val="auto"/>
                      <w:highlight w:val="none"/>
                    </w:rPr>
                    <w:t>-S59</w:t>
                  </w:r>
                </w:p>
              </w:tc>
              <w:tc>
                <w:tcPr>
                  <w:tcW w:w="1095" w:type="dxa"/>
                  <w:tcBorders>
                    <w:tl2br w:val="nil"/>
                    <w:tr2bl w:val="nil"/>
                  </w:tcBorders>
                  <w:noWrap w:val="0"/>
                  <w:vAlign w:val="center"/>
                </w:tcPr>
                <w:p w14:paraId="3E5038CF">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1</w:t>
                  </w:r>
                  <w:r>
                    <w:rPr>
                      <w:rFonts w:hint="eastAsia" w:ascii="Times New Roman" w:hAnsi="Times New Roman" w:eastAsia="宋体" w:cs="Times New Roman"/>
                      <w:smallCaps w:val="0"/>
                      <w:color w:val="auto"/>
                      <w:sz w:val="21"/>
                      <w:szCs w:val="21"/>
                      <w:highlight w:val="none"/>
                      <w:lang w:val="en-US" w:eastAsia="zh-CN"/>
                    </w:rPr>
                    <w:t>.</w:t>
                  </w:r>
                  <w:r>
                    <w:rPr>
                      <w:rFonts w:hint="eastAsia" w:cs="Times New Roman"/>
                      <w:smallCaps w:val="0"/>
                      <w:color w:val="auto"/>
                      <w:sz w:val="21"/>
                      <w:szCs w:val="21"/>
                      <w:highlight w:val="none"/>
                      <w:lang w:val="en-US" w:eastAsia="zh-CN"/>
                    </w:rPr>
                    <w:t>5</w:t>
                  </w:r>
                  <w:r>
                    <w:rPr>
                      <w:rFonts w:hint="eastAsia" w:ascii="Times New Roman" w:hAnsi="Times New Roman" w:eastAsia="宋体" w:cs="Times New Roman"/>
                      <w:smallCaps w:val="0"/>
                      <w:color w:val="auto"/>
                      <w:sz w:val="21"/>
                      <w:szCs w:val="21"/>
                      <w:highlight w:val="none"/>
                      <w:lang w:val="en-US" w:eastAsia="zh-CN"/>
                    </w:rPr>
                    <w:t>t/a</w:t>
                  </w:r>
                </w:p>
              </w:tc>
              <w:tc>
                <w:tcPr>
                  <w:tcW w:w="1755" w:type="dxa"/>
                  <w:tcBorders>
                    <w:tl2br w:val="nil"/>
                    <w:tr2bl w:val="nil"/>
                  </w:tcBorders>
                  <w:noWrap w:val="0"/>
                  <w:vAlign w:val="center"/>
                </w:tcPr>
                <w:p w14:paraId="3506CC79">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厂家回收处理</w:t>
                  </w:r>
                </w:p>
              </w:tc>
            </w:tr>
            <w:tr w14:paraId="402B6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1068" w:type="dxa"/>
                  <w:tcBorders>
                    <w:tl2br w:val="nil"/>
                    <w:tr2bl w:val="nil"/>
                  </w:tcBorders>
                  <w:noWrap w:val="0"/>
                  <w:vAlign w:val="center"/>
                </w:tcPr>
                <w:p w14:paraId="51AB5E31">
                  <w:pPr>
                    <w:pStyle w:val="25"/>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cs="Times New Roman"/>
                      <w:smallCaps w:val="0"/>
                      <w:color w:val="auto"/>
                      <w:sz w:val="21"/>
                      <w:szCs w:val="21"/>
                      <w:highlight w:val="none"/>
                      <w:lang w:val="en-US" w:eastAsia="zh-CN"/>
                    </w:rPr>
                    <w:t>废胶渣</w:t>
                  </w:r>
                </w:p>
              </w:tc>
              <w:tc>
                <w:tcPr>
                  <w:tcW w:w="915" w:type="dxa"/>
                  <w:tcBorders>
                    <w:tl2br w:val="nil"/>
                    <w:tr2bl w:val="nil"/>
                  </w:tcBorders>
                  <w:noWrap w:val="0"/>
                  <w:vAlign w:val="center"/>
                </w:tcPr>
                <w:p w14:paraId="7F1A19F0">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涂胶</w:t>
                  </w:r>
                </w:p>
              </w:tc>
              <w:tc>
                <w:tcPr>
                  <w:tcW w:w="720" w:type="dxa"/>
                  <w:tcBorders>
                    <w:tl2br w:val="nil"/>
                    <w:tr2bl w:val="nil"/>
                  </w:tcBorders>
                  <w:noWrap w:val="0"/>
                  <w:vAlign w:val="center"/>
                </w:tcPr>
                <w:p w14:paraId="0A9A4519">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固体</w:t>
                  </w:r>
                </w:p>
              </w:tc>
              <w:tc>
                <w:tcPr>
                  <w:tcW w:w="1080" w:type="dxa"/>
                  <w:tcBorders>
                    <w:tl2br w:val="nil"/>
                    <w:tr2bl w:val="nil"/>
                  </w:tcBorders>
                  <w:noWrap w:val="0"/>
                  <w:vAlign w:val="center"/>
                </w:tcPr>
                <w:p w14:paraId="3B1B658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rPr>
                    <w:t>一般</w:t>
                  </w:r>
                  <w:r>
                    <w:rPr>
                      <w:rFonts w:hint="eastAsia" w:cs="Times New Roman"/>
                      <w:smallCaps w:val="0"/>
                      <w:color w:val="auto"/>
                      <w:sz w:val="21"/>
                      <w:szCs w:val="21"/>
                      <w:highlight w:val="none"/>
                      <w:lang w:val="en-US" w:eastAsia="zh-CN"/>
                    </w:rPr>
                    <w:t>工业</w:t>
                  </w:r>
                  <w:r>
                    <w:rPr>
                      <w:rFonts w:hint="default" w:ascii="Times New Roman" w:hAnsi="Times New Roman" w:eastAsia="宋体" w:cs="Times New Roman"/>
                      <w:smallCaps w:val="0"/>
                      <w:color w:val="auto"/>
                      <w:sz w:val="21"/>
                      <w:szCs w:val="21"/>
                      <w:highlight w:val="none"/>
                      <w:lang w:val="en-US" w:eastAsia="zh-CN"/>
                    </w:rPr>
                    <w:t>固体废物</w:t>
                  </w:r>
                </w:p>
              </w:tc>
              <w:tc>
                <w:tcPr>
                  <w:tcW w:w="1365" w:type="dxa"/>
                  <w:tcBorders>
                    <w:tl2br w:val="nil"/>
                    <w:tr2bl w:val="nil"/>
                  </w:tcBorders>
                  <w:noWrap w:val="0"/>
                  <w:vAlign w:val="center"/>
                </w:tcPr>
                <w:p w14:paraId="636CF6CA">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SW59</w:t>
                  </w:r>
                </w:p>
                <w:p w14:paraId="1B90C1F6">
                  <w:pPr>
                    <w:jc w:val="center"/>
                    <w:rPr>
                      <w:rFonts w:hint="eastAsia" w:ascii="Times New Roman" w:hAnsi="Times New Roman" w:eastAsia="宋体" w:cs="宋体"/>
                      <w:smallCaps w:val="0"/>
                      <w:color w:val="auto"/>
                      <w:sz w:val="21"/>
                      <w:szCs w:val="21"/>
                      <w:highlight w:val="none"/>
                      <w:vertAlign w:val="baseline"/>
                      <w:lang w:val="en-US" w:eastAsia="zh-CN"/>
                    </w:rPr>
                  </w:pPr>
                  <w:r>
                    <w:rPr>
                      <w:rFonts w:hint="default" w:ascii="Times New Roman" w:hAnsi="Times New Roman" w:eastAsia="宋体" w:cs="Times New Roman"/>
                      <w:smallCaps w:val="0"/>
                      <w:color w:val="auto"/>
                      <w:sz w:val="21"/>
                      <w:szCs w:val="21"/>
                      <w:highlight w:val="none"/>
                      <w:lang w:val="en-US" w:eastAsia="zh-CN"/>
                    </w:rPr>
                    <w:t>900-099-S59</w:t>
                  </w:r>
                </w:p>
              </w:tc>
              <w:tc>
                <w:tcPr>
                  <w:tcW w:w="1095" w:type="dxa"/>
                  <w:tcBorders>
                    <w:tl2br w:val="nil"/>
                    <w:tr2bl w:val="nil"/>
                  </w:tcBorders>
                  <w:noWrap w:val="0"/>
                  <w:vAlign w:val="center"/>
                </w:tcPr>
                <w:p w14:paraId="3F87203A">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Times New Roman"/>
                      <w:smallCaps w:val="0"/>
                      <w:color w:val="auto"/>
                      <w:sz w:val="21"/>
                      <w:szCs w:val="21"/>
                      <w:highlight w:val="none"/>
                      <w:lang w:val="en-US" w:eastAsia="zh-CN"/>
                    </w:rPr>
                    <w:t>0.</w:t>
                  </w:r>
                  <w:r>
                    <w:rPr>
                      <w:rFonts w:hint="eastAsia" w:cs="Times New Roman"/>
                      <w:smallCaps w:val="0"/>
                      <w:color w:val="auto"/>
                      <w:sz w:val="21"/>
                      <w:szCs w:val="21"/>
                      <w:highlight w:val="none"/>
                      <w:lang w:val="en-US" w:eastAsia="zh-CN"/>
                    </w:rPr>
                    <w:t>03</w:t>
                  </w:r>
                  <w:r>
                    <w:rPr>
                      <w:rFonts w:hint="eastAsia" w:ascii="Times New Roman" w:hAnsi="Times New Roman" w:eastAsia="宋体" w:cs="Times New Roman"/>
                      <w:smallCaps w:val="0"/>
                      <w:color w:val="auto"/>
                      <w:sz w:val="21"/>
                      <w:szCs w:val="21"/>
                      <w:highlight w:val="none"/>
                      <w:lang w:val="en-US" w:eastAsia="zh-CN"/>
                    </w:rPr>
                    <w:t>t/a</w:t>
                  </w:r>
                </w:p>
              </w:tc>
              <w:tc>
                <w:tcPr>
                  <w:tcW w:w="1755" w:type="dxa"/>
                  <w:tcBorders>
                    <w:tl2br w:val="nil"/>
                    <w:tr2bl w:val="nil"/>
                  </w:tcBorders>
                  <w:noWrap w:val="0"/>
                  <w:vAlign w:val="center"/>
                </w:tcPr>
                <w:p w14:paraId="68E789ED">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定期交由市政环卫部门统一处理</w:t>
                  </w:r>
                </w:p>
              </w:tc>
            </w:tr>
            <w:tr w14:paraId="2E949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068" w:type="dxa"/>
                  <w:tcBorders>
                    <w:tl2br w:val="nil"/>
                    <w:tr2bl w:val="nil"/>
                  </w:tcBorders>
                  <w:noWrap w:val="0"/>
                  <w:vAlign w:val="center"/>
                </w:tcPr>
                <w:p w14:paraId="6BF2199A">
                  <w:pPr>
                    <w:pStyle w:val="25"/>
                    <w:ind w:left="0" w:leftChars="0" w:firstLine="0" w:firstLineChars="0"/>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废导热油</w:t>
                  </w:r>
                </w:p>
              </w:tc>
              <w:tc>
                <w:tcPr>
                  <w:tcW w:w="915" w:type="dxa"/>
                  <w:tcBorders>
                    <w:tl2br w:val="nil"/>
                    <w:tr2bl w:val="nil"/>
                  </w:tcBorders>
                  <w:noWrap w:val="0"/>
                  <w:vAlign w:val="center"/>
                </w:tcPr>
                <w:p w14:paraId="0B9EA003">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加热</w:t>
                  </w:r>
                </w:p>
              </w:tc>
              <w:tc>
                <w:tcPr>
                  <w:tcW w:w="720" w:type="dxa"/>
                  <w:tcBorders>
                    <w:tl2br w:val="nil"/>
                    <w:tr2bl w:val="nil"/>
                  </w:tcBorders>
                  <w:noWrap w:val="0"/>
                  <w:vAlign w:val="center"/>
                </w:tcPr>
                <w:p w14:paraId="23AECAF7">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液体</w:t>
                  </w:r>
                </w:p>
              </w:tc>
              <w:tc>
                <w:tcPr>
                  <w:tcW w:w="1080" w:type="dxa"/>
                  <w:tcBorders>
                    <w:tl2br w:val="nil"/>
                    <w:tr2bl w:val="nil"/>
                  </w:tcBorders>
                  <w:noWrap w:val="0"/>
                  <w:vAlign w:val="center"/>
                </w:tcPr>
                <w:p w14:paraId="3741F0CA">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危险废物</w:t>
                  </w:r>
                </w:p>
              </w:tc>
              <w:tc>
                <w:tcPr>
                  <w:tcW w:w="1365" w:type="dxa"/>
                  <w:tcBorders>
                    <w:tl2br w:val="nil"/>
                    <w:tr2bl w:val="nil"/>
                  </w:tcBorders>
                  <w:noWrap w:val="0"/>
                  <w:vAlign w:val="center"/>
                </w:tcPr>
                <w:p w14:paraId="0135036E">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HW08</w:t>
                  </w:r>
                </w:p>
                <w:p w14:paraId="3EA11589">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900-249-08</w:t>
                  </w:r>
                </w:p>
              </w:tc>
              <w:tc>
                <w:tcPr>
                  <w:tcW w:w="1095" w:type="dxa"/>
                  <w:tcBorders>
                    <w:tl2br w:val="nil"/>
                    <w:tr2bl w:val="nil"/>
                  </w:tcBorders>
                  <w:noWrap w:val="0"/>
                  <w:vAlign w:val="center"/>
                </w:tcPr>
                <w:p w14:paraId="52A00A0B">
                  <w:pPr>
                    <w:jc w:val="center"/>
                    <w:rPr>
                      <w:rFonts w:hint="default"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6t/3a</w:t>
                  </w:r>
                </w:p>
              </w:tc>
              <w:tc>
                <w:tcPr>
                  <w:tcW w:w="1755" w:type="dxa"/>
                  <w:tcBorders>
                    <w:tl2br w:val="nil"/>
                    <w:tr2bl w:val="nil"/>
                  </w:tcBorders>
                  <w:noWrap w:val="0"/>
                  <w:vAlign w:val="center"/>
                </w:tcPr>
                <w:p w14:paraId="4CE059D9">
                  <w:pPr>
                    <w:jc w:val="center"/>
                    <w:rPr>
                      <w:rFonts w:hint="default" w:ascii="Times New Roman" w:hAnsi="Times New Roman" w:eastAsia="宋体" w:cs="宋体"/>
                      <w:smallCaps w:val="0"/>
                      <w:color w:val="auto"/>
                      <w:sz w:val="21"/>
                      <w:szCs w:val="21"/>
                      <w:highlight w:val="none"/>
                      <w:vertAlign w:val="baseline"/>
                      <w:lang w:val="en-US" w:eastAsia="zh-CN"/>
                    </w:rPr>
                  </w:pPr>
                  <w:r>
                    <w:rPr>
                      <w:rFonts w:hint="eastAsia" w:cs="宋体"/>
                      <w:smallCaps w:val="0"/>
                      <w:color w:val="auto"/>
                      <w:sz w:val="21"/>
                      <w:szCs w:val="21"/>
                      <w:highlight w:val="none"/>
                      <w:vertAlign w:val="baseline"/>
                      <w:lang w:val="en-US" w:eastAsia="zh-CN"/>
                    </w:rPr>
                    <w:t>更换后直接</w:t>
                  </w:r>
                  <w:r>
                    <w:rPr>
                      <w:rFonts w:hint="eastAsia" w:ascii="Times New Roman" w:hAnsi="Times New Roman" w:eastAsia="宋体" w:cs="宋体"/>
                      <w:smallCaps w:val="0"/>
                      <w:color w:val="auto"/>
                      <w:sz w:val="21"/>
                      <w:szCs w:val="21"/>
                      <w:highlight w:val="none"/>
                      <w:vertAlign w:val="baseline"/>
                      <w:lang w:val="en-US" w:eastAsia="zh-CN"/>
                    </w:rPr>
                    <w:t>由</w:t>
                  </w:r>
                  <w:r>
                    <w:rPr>
                      <w:rFonts w:hint="eastAsia" w:cs="宋体"/>
                      <w:smallCaps w:val="0"/>
                      <w:color w:val="auto"/>
                      <w:sz w:val="21"/>
                      <w:szCs w:val="21"/>
                      <w:highlight w:val="none"/>
                      <w:vertAlign w:val="baseline"/>
                      <w:lang w:val="en-US" w:eastAsia="zh-CN"/>
                    </w:rPr>
                    <w:t>有</w:t>
                  </w:r>
                  <w:r>
                    <w:rPr>
                      <w:rFonts w:hint="eastAsia" w:ascii="Times New Roman" w:hAnsi="Times New Roman" w:eastAsia="宋体" w:cs="宋体"/>
                      <w:smallCaps w:val="0"/>
                      <w:color w:val="auto"/>
                      <w:sz w:val="21"/>
                      <w:szCs w:val="21"/>
                      <w:highlight w:val="none"/>
                      <w:vertAlign w:val="baseline"/>
                      <w:lang w:val="en-US" w:eastAsia="zh-CN"/>
                    </w:rPr>
                    <w:t>资质单位处理</w:t>
                  </w:r>
                  <w:r>
                    <w:rPr>
                      <w:rFonts w:hint="eastAsia" w:cs="宋体"/>
                      <w:smallCaps w:val="0"/>
                      <w:color w:val="auto"/>
                      <w:sz w:val="21"/>
                      <w:szCs w:val="21"/>
                      <w:highlight w:val="none"/>
                      <w:vertAlign w:val="baseline"/>
                      <w:lang w:val="en-US" w:eastAsia="zh-CN"/>
                    </w:rPr>
                    <w:t>，厂区不暂存</w:t>
                  </w:r>
                </w:p>
              </w:tc>
            </w:tr>
            <w:tr w14:paraId="016A9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1068" w:type="dxa"/>
                  <w:tcBorders>
                    <w:tl2br w:val="nil"/>
                    <w:tr2bl w:val="nil"/>
                  </w:tcBorders>
                  <w:noWrap w:val="0"/>
                  <w:vAlign w:val="center"/>
                </w:tcPr>
                <w:p w14:paraId="2C092A64">
                  <w:pPr>
                    <w:pStyle w:val="25"/>
                    <w:ind w:left="0" w:leftChars="0" w:firstLine="0" w:firstLineChars="0"/>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废机油</w:t>
                  </w:r>
                </w:p>
              </w:tc>
              <w:tc>
                <w:tcPr>
                  <w:tcW w:w="915" w:type="dxa"/>
                  <w:tcBorders>
                    <w:tl2br w:val="nil"/>
                    <w:tr2bl w:val="nil"/>
                  </w:tcBorders>
                  <w:noWrap w:val="0"/>
                  <w:vAlign w:val="center"/>
                </w:tcPr>
                <w:p w14:paraId="0FDDBFB5">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设备维修</w:t>
                  </w:r>
                </w:p>
              </w:tc>
              <w:tc>
                <w:tcPr>
                  <w:tcW w:w="720" w:type="dxa"/>
                  <w:tcBorders>
                    <w:tl2br w:val="nil"/>
                    <w:tr2bl w:val="nil"/>
                  </w:tcBorders>
                  <w:noWrap w:val="0"/>
                  <w:vAlign w:val="center"/>
                </w:tcPr>
                <w:p w14:paraId="242ACA4E">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液体</w:t>
                  </w:r>
                </w:p>
              </w:tc>
              <w:tc>
                <w:tcPr>
                  <w:tcW w:w="1080" w:type="dxa"/>
                  <w:tcBorders>
                    <w:tl2br w:val="nil"/>
                    <w:tr2bl w:val="nil"/>
                  </w:tcBorders>
                  <w:noWrap w:val="0"/>
                  <w:vAlign w:val="center"/>
                </w:tcPr>
                <w:p w14:paraId="55940F2A">
                  <w:pPr>
                    <w:jc w:val="center"/>
                    <w:rPr>
                      <w:rFonts w:hint="default" w:ascii="Times New Roman" w:hAnsi="Times New Roman" w:eastAsia="宋体" w:cs="Times New Roman"/>
                      <w:smallCaps w:val="0"/>
                      <w:color w:val="auto"/>
                      <w:sz w:val="21"/>
                      <w:szCs w:val="21"/>
                      <w:highlight w:val="none"/>
                    </w:rPr>
                  </w:pPr>
                  <w:r>
                    <w:rPr>
                      <w:rFonts w:hint="eastAsia" w:ascii="Times New Roman" w:hAnsi="Times New Roman" w:eastAsia="宋体" w:cs="Times New Roman"/>
                      <w:smallCaps w:val="0"/>
                      <w:color w:val="auto"/>
                      <w:sz w:val="21"/>
                      <w:szCs w:val="21"/>
                      <w:highlight w:val="none"/>
                      <w:lang w:val="en-US" w:eastAsia="zh-CN"/>
                    </w:rPr>
                    <w:t>危险废物</w:t>
                  </w:r>
                </w:p>
              </w:tc>
              <w:tc>
                <w:tcPr>
                  <w:tcW w:w="1365" w:type="dxa"/>
                  <w:tcBorders>
                    <w:tl2br w:val="nil"/>
                    <w:tr2bl w:val="nil"/>
                  </w:tcBorders>
                  <w:noWrap w:val="0"/>
                  <w:vAlign w:val="center"/>
                </w:tcPr>
                <w:p w14:paraId="10604849">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HW08</w:t>
                  </w:r>
                </w:p>
                <w:p w14:paraId="00EBBD59">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900-214-08</w:t>
                  </w:r>
                </w:p>
              </w:tc>
              <w:tc>
                <w:tcPr>
                  <w:tcW w:w="1095" w:type="dxa"/>
                  <w:tcBorders>
                    <w:tl2br w:val="nil"/>
                    <w:tr2bl w:val="nil"/>
                  </w:tcBorders>
                  <w:noWrap w:val="0"/>
                  <w:vAlign w:val="center"/>
                </w:tcPr>
                <w:p w14:paraId="3B6A9846">
                  <w:pPr>
                    <w:jc w:val="center"/>
                    <w:rPr>
                      <w:rFonts w:hint="default"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0.1t/a</w:t>
                  </w:r>
                </w:p>
              </w:tc>
              <w:tc>
                <w:tcPr>
                  <w:tcW w:w="1755" w:type="dxa"/>
                  <w:tcBorders>
                    <w:tl2br w:val="nil"/>
                    <w:tr2bl w:val="nil"/>
                  </w:tcBorders>
                  <w:noWrap w:val="0"/>
                  <w:vAlign w:val="center"/>
                </w:tcPr>
                <w:p w14:paraId="7AC721C4">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集中收集至</w:t>
                  </w:r>
                  <w:r>
                    <w:rPr>
                      <w:rFonts w:hint="eastAsia" w:cs="宋体"/>
                      <w:smallCaps w:val="0"/>
                      <w:color w:val="auto"/>
                      <w:sz w:val="21"/>
                      <w:szCs w:val="21"/>
                      <w:highlight w:val="none"/>
                      <w:vertAlign w:val="baseline"/>
                      <w:lang w:val="en-US" w:eastAsia="zh-CN"/>
                    </w:rPr>
                    <w:t>危险废物贮存库</w:t>
                  </w:r>
                  <w:r>
                    <w:rPr>
                      <w:rFonts w:hint="eastAsia" w:ascii="Times New Roman" w:hAnsi="Times New Roman" w:eastAsia="宋体" w:cs="宋体"/>
                      <w:smallCaps w:val="0"/>
                      <w:color w:val="auto"/>
                      <w:sz w:val="21"/>
                      <w:szCs w:val="21"/>
                      <w:highlight w:val="none"/>
                      <w:vertAlign w:val="baseline"/>
                      <w:lang w:val="en-US" w:eastAsia="zh-CN"/>
                    </w:rPr>
                    <w:t>暂存，定期交由</w:t>
                  </w:r>
                  <w:r>
                    <w:rPr>
                      <w:rFonts w:hint="eastAsia" w:cs="宋体"/>
                      <w:smallCaps w:val="0"/>
                      <w:color w:val="auto"/>
                      <w:sz w:val="21"/>
                      <w:szCs w:val="21"/>
                      <w:highlight w:val="none"/>
                      <w:vertAlign w:val="baseline"/>
                      <w:lang w:val="en-US" w:eastAsia="zh-CN"/>
                    </w:rPr>
                    <w:t>有</w:t>
                  </w:r>
                  <w:r>
                    <w:rPr>
                      <w:rFonts w:hint="eastAsia" w:ascii="Times New Roman" w:hAnsi="Times New Roman" w:eastAsia="宋体" w:cs="宋体"/>
                      <w:smallCaps w:val="0"/>
                      <w:color w:val="auto"/>
                      <w:sz w:val="21"/>
                      <w:szCs w:val="21"/>
                      <w:highlight w:val="none"/>
                      <w:vertAlign w:val="baseline"/>
                      <w:lang w:val="en-US" w:eastAsia="zh-CN"/>
                    </w:rPr>
                    <w:t>资质单位处理</w:t>
                  </w:r>
                </w:p>
              </w:tc>
            </w:tr>
            <w:tr w14:paraId="315650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1068" w:type="dxa"/>
                  <w:tcBorders>
                    <w:tl2br w:val="nil"/>
                    <w:tr2bl w:val="nil"/>
                  </w:tcBorders>
                  <w:noWrap w:val="0"/>
                  <w:vAlign w:val="center"/>
                </w:tcPr>
                <w:p w14:paraId="54D96F47">
                  <w:pPr>
                    <w:pStyle w:val="25"/>
                    <w:ind w:left="0" w:leftChars="0" w:firstLine="0" w:firstLineChars="0"/>
                    <w:jc w:val="center"/>
                    <w:rPr>
                      <w:rFonts w:hint="eastAsia" w:ascii="Times New Roman" w:hAnsi="Times New Roman" w:cs="Times New Roman"/>
                      <w:smallCaps w:val="0"/>
                      <w:color w:val="auto"/>
                      <w:sz w:val="21"/>
                      <w:szCs w:val="21"/>
                      <w:highlight w:val="none"/>
                      <w:lang w:val="en-US" w:eastAsia="zh-CN"/>
                    </w:rPr>
                  </w:pPr>
                  <w:r>
                    <w:rPr>
                      <w:rFonts w:hint="eastAsia" w:ascii="Times New Roman" w:hAnsi="Times New Roman" w:cs="Times New Roman"/>
                      <w:smallCaps w:val="0"/>
                      <w:color w:val="auto"/>
                      <w:sz w:val="21"/>
                      <w:szCs w:val="21"/>
                      <w:highlight w:val="none"/>
                      <w:lang w:val="en-US" w:eastAsia="zh-CN"/>
                    </w:rPr>
                    <w:t>废油桶</w:t>
                  </w:r>
                </w:p>
              </w:tc>
              <w:tc>
                <w:tcPr>
                  <w:tcW w:w="915" w:type="dxa"/>
                  <w:tcBorders>
                    <w:tl2br w:val="nil"/>
                    <w:tr2bl w:val="nil"/>
                  </w:tcBorders>
                  <w:noWrap w:val="0"/>
                  <w:vAlign w:val="center"/>
                </w:tcPr>
                <w:p w14:paraId="402FF054">
                  <w:pPr>
                    <w:jc w:val="center"/>
                    <w:rPr>
                      <w:rFonts w:hint="eastAsia"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设备维修</w:t>
                  </w:r>
                </w:p>
              </w:tc>
              <w:tc>
                <w:tcPr>
                  <w:tcW w:w="720" w:type="dxa"/>
                  <w:tcBorders>
                    <w:tl2br w:val="nil"/>
                    <w:tr2bl w:val="nil"/>
                  </w:tcBorders>
                  <w:noWrap w:val="0"/>
                  <w:vAlign w:val="center"/>
                </w:tcPr>
                <w:p w14:paraId="62BE0837">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固体、液体</w:t>
                  </w:r>
                </w:p>
              </w:tc>
              <w:tc>
                <w:tcPr>
                  <w:tcW w:w="1080" w:type="dxa"/>
                  <w:tcBorders>
                    <w:tl2br w:val="nil"/>
                    <w:tr2bl w:val="nil"/>
                  </w:tcBorders>
                  <w:noWrap w:val="0"/>
                  <w:vAlign w:val="center"/>
                </w:tcPr>
                <w:p w14:paraId="1C5F3BCD">
                  <w:pPr>
                    <w:jc w:val="center"/>
                    <w:rPr>
                      <w:rFonts w:hint="default" w:ascii="Times New Roman" w:hAnsi="Times New Roman" w:eastAsia="宋体" w:cs="Times New Roman"/>
                      <w:smallCaps w:val="0"/>
                      <w:color w:val="auto"/>
                      <w:sz w:val="21"/>
                      <w:szCs w:val="21"/>
                      <w:highlight w:val="none"/>
                    </w:rPr>
                  </w:pPr>
                  <w:r>
                    <w:rPr>
                      <w:rFonts w:hint="eastAsia" w:ascii="Times New Roman" w:hAnsi="Times New Roman" w:eastAsia="宋体" w:cs="Times New Roman"/>
                      <w:smallCaps w:val="0"/>
                      <w:color w:val="auto"/>
                      <w:sz w:val="21"/>
                      <w:szCs w:val="21"/>
                      <w:highlight w:val="none"/>
                      <w:lang w:val="en-US" w:eastAsia="zh-CN"/>
                    </w:rPr>
                    <w:t>危险废物</w:t>
                  </w:r>
                </w:p>
              </w:tc>
              <w:tc>
                <w:tcPr>
                  <w:tcW w:w="1365" w:type="dxa"/>
                  <w:tcBorders>
                    <w:tl2br w:val="nil"/>
                    <w:tr2bl w:val="nil"/>
                  </w:tcBorders>
                  <w:noWrap w:val="0"/>
                  <w:vAlign w:val="center"/>
                </w:tcPr>
                <w:p w14:paraId="16D3772E">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HW08</w:t>
                  </w:r>
                </w:p>
                <w:p w14:paraId="5D8EF2B0">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900-2</w:t>
                  </w:r>
                  <w:r>
                    <w:rPr>
                      <w:rFonts w:hint="eastAsia" w:ascii="Times New Roman" w:hAnsi="Times New Roman" w:eastAsia="宋体" w:cs="Times New Roman"/>
                      <w:smallCaps w:val="0"/>
                      <w:color w:val="auto"/>
                      <w:sz w:val="21"/>
                      <w:szCs w:val="21"/>
                      <w:highlight w:val="none"/>
                      <w:lang w:val="en-US" w:eastAsia="zh-CN"/>
                    </w:rPr>
                    <w:t>49</w:t>
                  </w:r>
                  <w:r>
                    <w:rPr>
                      <w:rFonts w:hint="default" w:ascii="Times New Roman" w:hAnsi="Times New Roman" w:eastAsia="宋体" w:cs="Times New Roman"/>
                      <w:smallCaps w:val="0"/>
                      <w:color w:val="auto"/>
                      <w:sz w:val="21"/>
                      <w:szCs w:val="21"/>
                      <w:highlight w:val="none"/>
                      <w:lang w:val="en-US" w:eastAsia="zh-CN"/>
                    </w:rPr>
                    <w:t>-08</w:t>
                  </w:r>
                </w:p>
              </w:tc>
              <w:tc>
                <w:tcPr>
                  <w:tcW w:w="1095" w:type="dxa"/>
                  <w:tcBorders>
                    <w:tl2br w:val="nil"/>
                    <w:tr2bl w:val="nil"/>
                  </w:tcBorders>
                  <w:noWrap w:val="0"/>
                  <w:vAlign w:val="center"/>
                </w:tcPr>
                <w:p w14:paraId="4673CE37">
                  <w:pPr>
                    <w:jc w:val="center"/>
                    <w:rPr>
                      <w:rFonts w:hint="default"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0.2t/a</w:t>
                  </w:r>
                </w:p>
              </w:tc>
              <w:tc>
                <w:tcPr>
                  <w:tcW w:w="1755" w:type="dxa"/>
                  <w:tcBorders>
                    <w:tl2br w:val="nil"/>
                    <w:tr2bl w:val="nil"/>
                  </w:tcBorders>
                  <w:noWrap w:val="0"/>
                  <w:vAlign w:val="center"/>
                </w:tcPr>
                <w:p w14:paraId="3588DAAF">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集中收集至</w:t>
                  </w:r>
                  <w:r>
                    <w:rPr>
                      <w:rFonts w:hint="eastAsia" w:cs="宋体"/>
                      <w:smallCaps w:val="0"/>
                      <w:color w:val="auto"/>
                      <w:sz w:val="21"/>
                      <w:szCs w:val="21"/>
                      <w:highlight w:val="none"/>
                      <w:vertAlign w:val="baseline"/>
                      <w:lang w:val="en-US" w:eastAsia="zh-CN"/>
                    </w:rPr>
                    <w:t>危险废物贮存库</w:t>
                  </w:r>
                  <w:r>
                    <w:rPr>
                      <w:rFonts w:hint="eastAsia" w:ascii="Times New Roman" w:hAnsi="Times New Roman" w:eastAsia="宋体" w:cs="宋体"/>
                      <w:smallCaps w:val="0"/>
                      <w:color w:val="auto"/>
                      <w:sz w:val="21"/>
                      <w:szCs w:val="21"/>
                      <w:highlight w:val="none"/>
                      <w:vertAlign w:val="baseline"/>
                      <w:lang w:val="en-US" w:eastAsia="zh-CN"/>
                    </w:rPr>
                    <w:t>暂存，定期交由</w:t>
                  </w:r>
                  <w:r>
                    <w:rPr>
                      <w:rFonts w:hint="eastAsia" w:cs="宋体"/>
                      <w:smallCaps w:val="0"/>
                      <w:color w:val="auto"/>
                      <w:sz w:val="21"/>
                      <w:szCs w:val="21"/>
                      <w:highlight w:val="none"/>
                      <w:vertAlign w:val="baseline"/>
                      <w:lang w:val="en-US" w:eastAsia="zh-CN"/>
                    </w:rPr>
                    <w:t>有</w:t>
                  </w:r>
                  <w:r>
                    <w:rPr>
                      <w:rFonts w:hint="eastAsia" w:ascii="Times New Roman" w:hAnsi="Times New Roman" w:eastAsia="宋体" w:cs="宋体"/>
                      <w:smallCaps w:val="0"/>
                      <w:color w:val="auto"/>
                      <w:sz w:val="21"/>
                      <w:szCs w:val="21"/>
                      <w:highlight w:val="none"/>
                      <w:vertAlign w:val="baseline"/>
                      <w:lang w:val="en-US" w:eastAsia="zh-CN"/>
                    </w:rPr>
                    <w:t>资质单位处理</w:t>
                  </w:r>
                </w:p>
              </w:tc>
            </w:tr>
            <w:tr w14:paraId="4D061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1068" w:type="dxa"/>
                  <w:tcBorders>
                    <w:tl2br w:val="nil"/>
                    <w:tr2bl w:val="nil"/>
                  </w:tcBorders>
                  <w:noWrap w:val="0"/>
                  <w:vAlign w:val="center"/>
                </w:tcPr>
                <w:p w14:paraId="165359C1">
                  <w:pPr>
                    <w:pStyle w:val="25"/>
                    <w:ind w:left="0" w:leftChars="0" w:firstLine="0" w:firstLineChars="0"/>
                    <w:jc w:val="center"/>
                    <w:rPr>
                      <w:rFonts w:hint="default" w:ascii="Times New Roman" w:hAnsi="Times New Roman" w:cs="Times New Roman"/>
                      <w:smallCaps w:val="0"/>
                      <w:color w:val="auto"/>
                      <w:sz w:val="21"/>
                      <w:szCs w:val="21"/>
                      <w:highlight w:val="none"/>
                      <w:lang w:val="en-US" w:eastAsia="zh-CN"/>
                    </w:rPr>
                  </w:pPr>
                  <w:r>
                    <w:rPr>
                      <w:rFonts w:hint="eastAsia" w:ascii="Times New Roman" w:hAnsi="Times New Roman" w:cs="Times New Roman"/>
                      <w:smallCaps w:val="0"/>
                      <w:color w:val="auto"/>
                      <w:sz w:val="21"/>
                      <w:szCs w:val="21"/>
                      <w:highlight w:val="none"/>
                      <w:lang w:val="en-US" w:eastAsia="zh-CN"/>
                    </w:rPr>
                    <w:t>废弃的含油抹布及手套</w:t>
                  </w:r>
                </w:p>
              </w:tc>
              <w:tc>
                <w:tcPr>
                  <w:tcW w:w="915" w:type="dxa"/>
                  <w:tcBorders>
                    <w:tl2br w:val="nil"/>
                    <w:tr2bl w:val="nil"/>
                  </w:tcBorders>
                  <w:noWrap w:val="0"/>
                  <w:vAlign w:val="center"/>
                </w:tcPr>
                <w:p w14:paraId="0BD5BB64">
                  <w:pPr>
                    <w:jc w:val="center"/>
                    <w:rPr>
                      <w:rFonts w:hint="eastAsia"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设备维修</w:t>
                  </w:r>
                </w:p>
              </w:tc>
              <w:tc>
                <w:tcPr>
                  <w:tcW w:w="720" w:type="dxa"/>
                  <w:tcBorders>
                    <w:tl2br w:val="nil"/>
                    <w:tr2bl w:val="nil"/>
                  </w:tcBorders>
                  <w:noWrap w:val="0"/>
                  <w:vAlign w:val="center"/>
                </w:tcPr>
                <w:p w14:paraId="4331F716">
                  <w:pPr>
                    <w:jc w:val="center"/>
                    <w:rPr>
                      <w:rFonts w:hint="eastAsia"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固体、液体</w:t>
                  </w:r>
                </w:p>
              </w:tc>
              <w:tc>
                <w:tcPr>
                  <w:tcW w:w="1080" w:type="dxa"/>
                  <w:tcBorders>
                    <w:tl2br w:val="nil"/>
                    <w:tr2bl w:val="nil"/>
                  </w:tcBorders>
                  <w:noWrap w:val="0"/>
                  <w:vAlign w:val="center"/>
                </w:tcPr>
                <w:p w14:paraId="1E0C98D6">
                  <w:pPr>
                    <w:jc w:val="center"/>
                    <w:rPr>
                      <w:rFonts w:hint="default" w:ascii="Times New Roman" w:hAnsi="Times New Roman" w:eastAsia="宋体" w:cs="Times New Roman"/>
                      <w:smallCaps w:val="0"/>
                      <w:color w:val="auto"/>
                      <w:sz w:val="21"/>
                      <w:szCs w:val="21"/>
                      <w:highlight w:val="none"/>
                    </w:rPr>
                  </w:pPr>
                  <w:r>
                    <w:rPr>
                      <w:rFonts w:hint="eastAsia" w:ascii="Times New Roman" w:hAnsi="Times New Roman" w:eastAsia="宋体" w:cs="Times New Roman"/>
                      <w:smallCaps w:val="0"/>
                      <w:color w:val="auto"/>
                      <w:sz w:val="21"/>
                      <w:szCs w:val="21"/>
                      <w:highlight w:val="none"/>
                      <w:lang w:val="en-US" w:eastAsia="zh-CN"/>
                    </w:rPr>
                    <w:t>危险废物</w:t>
                  </w:r>
                </w:p>
              </w:tc>
              <w:tc>
                <w:tcPr>
                  <w:tcW w:w="1365" w:type="dxa"/>
                  <w:tcBorders>
                    <w:tl2br w:val="nil"/>
                    <w:tr2bl w:val="nil"/>
                  </w:tcBorders>
                  <w:noWrap w:val="0"/>
                  <w:vAlign w:val="center"/>
                </w:tcPr>
                <w:p w14:paraId="06A576D9">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HW49</w:t>
                  </w:r>
                </w:p>
                <w:p w14:paraId="1C72BC67">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900-041-49</w:t>
                  </w:r>
                </w:p>
              </w:tc>
              <w:tc>
                <w:tcPr>
                  <w:tcW w:w="1095" w:type="dxa"/>
                  <w:tcBorders>
                    <w:tl2br w:val="nil"/>
                    <w:tr2bl w:val="nil"/>
                  </w:tcBorders>
                  <w:noWrap w:val="0"/>
                  <w:vAlign w:val="center"/>
                </w:tcPr>
                <w:p w14:paraId="6A0D24E5">
                  <w:pPr>
                    <w:jc w:val="center"/>
                    <w:rPr>
                      <w:rFonts w:hint="default"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0.05t/a</w:t>
                  </w:r>
                </w:p>
              </w:tc>
              <w:tc>
                <w:tcPr>
                  <w:tcW w:w="1755" w:type="dxa"/>
                  <w:tcBorders>
                    <w:tl2br w:val="nil"/>
                    <w:tr2bl w:val="nil"/>
                  </w:tcBorders>
                  <w:noWrap w:val="0"/>
                  <w:vAlign w:val="center"/>
                </w:tcPr>
                <w:p w14:paraId="53FF703E">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集中收集至</w:t>
                  </w:r>
                  <w:r>
                    <w:rPr>
                      <w:rFonts w:hint="eastAsia" w:cs="宋体"/>
                      <w:smallCaps w:val="0"/>
                      <w:color w:val="auto"/>
                      <w:sz w:val="21"/>
                      <w:szCs w:val="21"/>
                      <w:highlight w:val="none"/>
                      <w:vertAlign w:val="baseline"/>
                      <w:lang w:val="en-US" w:eastAsia="zh-CN"/>
                    </w:rPr>
                    <w:t>危险废物贮存库</w:t>
                  </w:r>
                  <w:r>
                    <w:rPr>
                      <w:rFonts w:hint="eastAsia" w:ascii="Times New Roman" w:hAnsi="Times New Roman" w:eastAsia="宋体" w:cs="宋体"/>
                      <w:smallCaps w:val="0"/>
                      <w:color w:val="auto"/>
                      <w:sz w:val="21"/>
                      <w:szCs w:val="21"/>
                      <w:highlight w:val="none"/>
                      <w:vertAlign w:val="baseline"/>
                      <w:lang w:val="en-US" w:eastAsia="zh-CN"/>
                    </w:rPr>
                    <w:t>暂存，定期交由</w:t>
                  </w:r>
                  <w:r>
                    <w:rPr>
                      <w:rFonts w:hint="eastAsia" w:cs="宋体"/>
                      <w:smallCaps w:val="0"/>
                      <w:color w:val="auto"/>
                      <w:sz w:val="21"/>
                      <w:szCs w:val="21"/>
                      <w:highlight w:val="none"/>
                      <w:vertAlign w:val="baseline"/>
                      <w:lang w:val="en-US" w:eastAsia="zh-CN"/>
                    </w:rPr>
                    <w:t>有</w:t>
                  </w:r>
                  <w:r>
                    <w:rPr>
                      <w:rFonts w:hint="eastAsia" w:ascii="Times New Roman" w:hAnsi="Times New Roman" w:eastAsia="宋体" w:cs="宋体"/>
                      <w:smallCaps w:val="0"/>
                      <w:color w:val="auto"/>
                      <w:sz w:val="21"/>
                      <w:szCs w:val="21"/>
                      <w:highlight w:val="none"/>
                      <w:vertAlign w:val="baseline"/>
                      <w:lang w:val="en-US" w:eastAsia="zh-CN"/>
                    </w:rPr>
                    <w:t>资质单位处理</w:t>
                  </w:r>
                </w:p>
              </w:tc>
            </w:tr>
            <w:tr w14:paraId="7390C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1068" w:type="dxa"/>
                  <w:tcBorders>
                    <w:tl2br w:val="nil"/>
                    <w:tr2bl w:val="nil"/>
                  </w:tcBorders>
                  <w:noWrap w:val="0"/>
                  <w:vAlign w:val="center"/>
                </w:tcPr>
                <w:p w14:paraId="44C09DCE">
                  <w:pPr>
                    <w:pStyle w:val="25"/>
                    <w:ind w:left="0" w:leftChars="0" w:firstLine="0" w:firstLineChars="0"/>
                    <w:jc w:val="center"/>
                    <w:rPr>
                      <w:rFonts w:hint="default" w:ascii="Times New Roman" w:hAnsi="Times New Roman" w:cs="Times New Roman"/>
                      <w:smallCaps w:val="0"/>
                      <w:color w:val="auto"/>
                      <w:sz w:val="21"/>
                      <w:szCs w:val="21"/>
                      <w:highlight w:val="none"/>
                      <w:lang w:val="en-US" w:eastAsia="zh-CN"/>
                    </w:rPr>
                  </w:pPr>
                  <w:r>
                    <w:rPr>
                      <w:rFonts w:hint="eastAsia" w:ascii="Times New Roman" w:hAnsi="Times New Roman" w:cs="Times New Roman"/>
                      <w:smallCaps w:val="0"/>
                      <w:color w:val="auto"/>
                      <w:sz w:val="21"/>
                      <w:szCs w:val="21"/>
                      <w:highlight w:val="none"/>
                      <w:lang w:val="en-US" w:eastAsia="zh-CN"/>
                    </w:rPr>
                    <w:t>废活性炭</w:t>
                  </w:r>
                </w:p>
              </w:tc>
              <w:tc>
                <w:tcPr>
                  <w:tcW w:w="915" w:type="dxa"/>
                  <w:tcBorders>
                    <w:tl2br w:val="nil"/>
                    <w:tr2bl w:val="nil"/>
                  </w:tcBorders>
                  <w:noWrap w:val="0"/>
                  <w:vAlign w:val="center"/>
                </w:tcPr>
                <w:p w14:paraId="3E2DC779">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吸附</w:t>
                  </w:r>
                </w:p>
              </w:tc>
              <w:tc>
                <w:tcPr>
                  <w:tcW w:w="720" w:type="dxa"/>
                  <w:tcBorders>
                    <w:tl2br w:val="nil"/>
                    <w:tr2bl w:val="nil"/>
                  </w:tcBorders>
                  <w:noWrap w:val="0"/>
                  <w:vAlign w:val="center"/>
                </w:tcPr>
                <w:p w14:paraId="61B72E05">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固体</w:t>
                  </w:r>
                </w:p>
              </w:tc>
              <w:tc>
                <w:tcPr>
                  <w:tcW w:w="1080" w:type="dxa"/>
                  <w:tcBorders>
                    <w:tl2br w:val="nil"/>
                    <w:tr2bl w:val="nil"/>
                  </w:tcBorders>
                  <w:noWrap w:val="0"/>
                  <w:vAlign w:val="center"/>
                </w:tcPr>
                <w:p w14:paraId="04B0B5B0">
                  <w:pPr>
                    <w:jc w:val="center"/>
                    <w:rPr>
                      <w:rFonts w:hint="default" w:ascii="Times New Roman" w:hAnsi="Times New Roman" w:eastAsia="宋体" w:cs="Times New Roman"/>
                      <w:smallCaps w:val="0"/>
                      <w:color w:val="auto"/>
                      <w:sz w:val="21"/>
                      <w:szCs w:val="21"/>
                      <w:highlight w:val="none"/>
                    </w:rPr>
                  </w:pPr>
                  <w:r>
                    <w:rPr>
                      <w:rFonts w:hint="eastAsia" w:ascii="Times New Roman" w:hAnsi="Times New Roman" w:eastAsia="宋体" w:cs="Times New Roman"/>
                      <w:smallCaps w:val="0"/>
                      <w:color w:val="auto"/>
                      <w:sz w:val="21"/>
                      <w:szCs w:val="21"/>
                      <w:highlight w:val="none"/>
                      <w:lang w:val="en-US" w:eastAsia="zh-CN"/>
                    </w:rPr>
                    <w:t>危险废物</w:t>
                  </w:r>
                </w:p>
              </w:tc>
              <w:tc>
                <w:tcPr>
                  <w:tcW w:w="1365" w:type="dxa"/>
                  <w:tcBorders>
                    <w:tl2br w:val="nil"/>
                    <w:tr2bl w:val="nil"/>
                  </w:tcBorders>
                  <w:noWrap w:val="0"/>
                  <w:vAlign w:val="center"/>
                </w:tcPr>
                <w:p w14:paraId="3557C68C">
                  <w:pPr>
                    <w:jc w:val="center"/>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HW49 900-039-49</w:t>
                  </w:r>
                </w:p>
              </w:tc>
              <w:tc>
                <w:tcPr>
                  <w:tcW w:w="1095" w:type="dxa"/>
                  <w:tcBorders>
                    <w:tl2br w:val="nil"/>
                    <w:tr2bl w:val="nil"/>
                  </w:tcBorders>
                  <w:noWrap w:val="0"/>
                  <w:vAlign w:val="center"/>
                </w:tcPr>
                <w:p w14:paraId="38520EAE">
                  <w:pPr>
                    <w:jc w:val="center"/>
                    <w:rPr>
                      <w:rFonts w:hint="default"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0.3t/a</w:t>
                  </w:r>
                </w:p>
              </w:tc>
              <w:tc>
                <w:tcPr>
                  <w:tcW w:w="1755" w:type="dxa"/>
                  <w:tcBorders>
                    <w:tl2br w:val="nil"/>
                    <w:tr2bl w:val="nil"/>
                  </w:tcBorders>
                  <w:noWrap w:val="0"/>
                  <w:vAlign w:val="center"/>
                </w:tcPr>
                <w:p w14:paraId="5A5A4C68">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eastAsia="宋体" w:cs="宋体"/>
                      <w:smallCaps w:val="0"/>
                      <w:color w:val="auto"/>
                      <w:sz w:val="21"/>
                      <w:szCs w:val="21"/>
                      <w:highlight w:val="none"/>
                      <w:vertAlign w:val="baseline"/>
                      <w:lang w:val="en-US" w:eastAsia="zh-CN"/>
                    </w:rPr>
                    <w:t>集中收集至</w:t>
                  </w:r>
                  <w:r>
                    <w:rPr>
                      <w:rFonts w:hint="eastAsia" w:cs="宋体"/>
                      <w:smallCaps w:val="0"/>
                      <w:color w:val="auto"/>
                      <w:sz w:val="21"/>
                      <w:szCs w:val="21"/>
                      <w:highlight w:val="none"/>
                      <w:vertAlign w:val="baseline"/>
                      <w:lang w:val="en-US" w:eastAsia="zh-CN"/>
                    </w:rPr>
                    <w:t>危险废物贮存库</w:t>
                  </w:r>
                  <w:r>
                    <w:rPr>
                      <w:rFonts w:hint="eastAsia" w:ascii="Times New Roman" w:hAnsi="Times New Roman" w:eastAsia="宋体" w:cs="宋体"/>
                      <w:smallCaps w:val="0"/>
                      <w:color w:val="auto"/>
                      <w:sz w:val="21"/>
                      <w:szCs w:val="21"/>
                      <w:highlight w:val="none"/>
                      <w:vertAlign w:val="baseline"/>
                      <w:lang w:val="en-US" w:eastAsia="zh-CN"/>
                    </w:rPr>
                    <w:t>暂存，定期交由</w:t>
                  </w:r>
                  <w:r>
                    <w:rPr>
                      <w:rFonts w:hint="eastAsia" w:cs="宋体"/>
                      <w:smallCaps w:val="0"/>
                      <w:color w:val="auto"/>
                      <w:sz w:val="21"/>
                      <w:szCs w:val="21"/>
                      <w:highlight w:val="none"/>
                      <w:vertAlign w:val="baseline"/>
                      <w:lang w:val="en-US" w:eastAsia="zh-CN"/>
                    </w:rPr>
                    <w:t>有</w:t>
                  </w:r>
                  <w:r>
                    <w:rPr>
                      <w:rFonts w:hint="eastAsia" w:ascii="Times New Roman" w:hAnsi="Times New Roman" w:eastAsia="宋体" w:cs="宋体"/>
                      <w:smallCaps w:val="0"/>
                      <w:color w:val="auto"/>
                      <w:sz w:val="21"/>
                      <w:szCs w:val="21"/>
                      <w:highlight w:val="none"/>
                      <w:vertAlign w:val="baseline"/>
                      <w:lang w:val="en-US" w:eastAsia="zh-CN"/>
                    </w:rPr>
                    <w:t>资质单位处理</w:t>
                  </w:r>
                </w:p>
              </w:tc>
            </w:tr>
          </w:tbl>
          <w:p w14:paraId="6EF6DAE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eastAsia" w:cs="Times New Roman"/>
                <w:color w:val="auto"/>
                <w:sz w:val="24"/>
                <w:highlight w:val="none"/>
                <w:lang w:eastAsia="zh-CN"/>
              </w:rPr>
              <w:t>（</w:t>
            </w:r>
            <w:r>
              <w:rPr>
                <w:rFonts w:hint="eastAsia" w:cs="Times New Roman"/>
                <w:color w:val="auto"/>
                <w:sz w:val="24"/>
                <w:highlight w:val="none"/>
                <w:lang w:val="en-US" w:eastAsia="zh-CN"/>
              </w:rPr>
              <w:t>4</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固体废物环境管理要求</w:t>
            </w:r>
          </w:p>
          <w:p w14:paraId="78ED7F8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775FA6E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②禁止向生活垃圾收集设施中投放工业固体废物。</w:t>
            </w:r>
          </w:p>
          <w:p w14:paraId="1E03649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2A9A374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根据《危险废物贮存污染控制标准》（GB18597-2023）要求：危险废物贮存库应根据危险废物的形态、物理化学性质、包装形式和污染物迁移途径，采取必要的防风、防晒、防雨、防漏、防渗、防腐以及其他环境污染防治措施，不应露天堆放危险废物。应具有固定的区域边界，并应采取与其他区域进行隔离的措施。应采取防风、防雨、防晒和防止危险废物流失、扬散等措施。贮存的危险废物应置于容器或包装物中，不应直接散堆。应根据危险废物的形态、物理化学性质、包装形式等，采取防渗、防漏等污染防治措施或采用具有相应功能的装置。应及时清运贮存的危险废物，实时贮存量不应超过3吨。</w:t>
            </w:r>
          </w:p>
          <w:p w14:paraId="5CC45C5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Times New Roman" w:hAnsi="Times New Roman" w:eastAsia="宋体" w:cs="Times New Roman"/>
                <w:color w:val="auto"/>
                <w:sz w:val="24"/>
                <w:highlight w:val="none"/>
                <w:lang w:eastAsia="zh-CN"/>
              </w:rPr>
            </w:pPr>
            <w:r>
              <w:rPr>
                <w:rFonts w:hint="eastAsia" w:cs="Times New Roman"/>
                <w:color w:val="auto"/>
                <w:sz w:val="24"/>
                <w:highlight w:val="none"/>
                <w:lang w:eastAsia="zh-CN"/>
              </w:rPr>
              <w:t>（</w:t>
            </w:r>
            <w:r>
              <w:rPr>
                <w:rFonts w:hint="eastAsia" w:cs="Times New Roman"/>
                <w:color w:val="auto"/>
                <w:sz w:val="24"/>
                <w:highlight w:val="none"/>
                <w:lang w:val="en-US" w:eastAsia="zh-CN"/>
              </w:rPr>
              <w:t>5</w:t>
            </w:r>
            <w:r>
              <w:rPr>
                <w:rFonts w:hint="eastAsia" w:cs="Times New Roman"/>
                <w:color w:val="auto"/>
                <w:sz w:val="24"/>
                <w:highlight w:val="none"/>
                <w:lang w:eastAsia="zh-CN"/>
              </w:rPr>
              <w:t>）环境影响分析</w:t>
            </w:r>
          </w:p>
          <w:p w14:paraId="7E778E4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生活垃圾集中收集，暂存于收纳桶，由环卫部门定期清运处理；</w:t>
            </w:r>
            <w:r>
              <w:rPr>
                <w:rFonts w:hint="default" w:ascii="Times New Roman" w:hAnsi="Times New Roman" w:cs="Times New Roman"/>
                <w:color w:val="auto"/>
                <w:sz w:val="24"/>
                <w:highlight w:val="none"/>
              </w:rPr>
              <w:t>一般工业固体废物（废包装袋、废边角料、</w:t>
            </w:r>
            <w:r>
              <w:rPr>
                <w:rFonts w:hint="default" w:ascii="Times New Roman" w:hAnsi="Times New Roman" w:cs="Times New Roman"/>
                <w:color w:val="auto"/>
                <w:sz w:val="24"/>
                <w:highlight w:val="none"/>
                <w:lang w:val="en-US" w:eastAsia="zh-CN"/>
              </w:rPr>
              <w:t>锅炉灰渣、</w:t>
            </w:r>
            <w:r>
              <w:rPr>
                <w:rFonts w:hint="default" w:ascii="Times New Roman" w:hAnsi="Times New Roman" w:cs="Times New Roman"/>
                <w:color w:val="auto"/>
                <w:sz w:val="24"/>
                <w:highlight w:val="none"/>
              </w:rPr>
              <w:t>除尘器收集粉尘</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废胶桶、废胶渣</w:t>
            </w:r>
            <w:r>
              <w:rPr>
                <w:rFonts w:hint="default" w:ascii="Times New Roman" w:hAnsi="Times New Roman" w:cs="Times New Roman"/>
                <w:color w:val="auto"/>
                <w:sz w:val="24"/>
                <w:highlight w:val="none"/>
              </w:rPr>
              <w:t>）集中收集后暂存于</w:t>
            </w:r>
            <w:r>
              <w:rPr>
                <w:rFonts w:hint="default" w:ascii="Times New Roman" w:hAnsi="Times New Roman" w:cs="Times New Roman"/>
                <w:color w:val="auto"/>
                <w:sz w:val="24"/>
                <w:highlight w:val="none"/>
                <w:lang w:val="en-US" w:eastAsia="zh-CN"/>
              </w:rPr>
              <w:t>收纳桶</w:t>
            </w:r>
            <w:r>
              <w:rPr>
                <w:rFonts w:hint="default" w:ascii="Times New Roman" w:hAnsi="Times New Roman" w:cs="Times New Roman"/>
                <w:color w:val="auto"/>
                <w:sz w:val="24"/>
                <w:highlight w:val="none"/>
              </w:rPr>
              <w:t>，定期</w:t>
            </w:r>
            <w:r>
              <w:rPr>
                <w:rFonts w:hint="default" w:ascii="Times New Roman" w:hAnsi="Times New Roman" w:cs="Times New Roman"/>
                <w:color w:val="auto"/>
                <w:sz w:val="24"/>
                <w:highlight w:val="none"/>
                <w:lang w:val="en-US" w:eastAsia="zh-CN"/>
              </w:rPr>
              <w:t>厂家回收或</w:t>
            </w:r>
            <w:r>
              <w:rPr>
                <w:rFonts w:hint="default" w:ascii="Times New Roman" w:hAnsi="Times New Roman" w:cs="Times New Roman"/>
                <w:color w:val="auto"/>
                <w:sz w:val="24"/>
                <w:highlight w:val="none"/>
              </w:rPr>
              <w:t>外售综合利用</w:t>
            </w:r>
            <w:r>
              <w:rPr>
                <w:rFonts w:hint="eastAsia" w:cs="Times New Roman"/>
                <w:color w:val="auto"/>
                <w:sz w:val="24"/>
                <w:highlight w:val="none"/>
                <w:lang w:eastAsia="zh-CN"/>
              </w:rPr>
              <w:t>，</w:t>
            </w:r>
            <w:r>
              <w:rPr>
                <w:rFonts w:hint="eastAsia" w:cs="Times New Roman"/>
                <w:color w:val="auto"/>
                <w:sz w:val="24"/>
                <w:highlight w:val="none"/>
                <w:lang w:val="en-US" w:eastAsia="zh-CN"/>
              </w:rPr>
              <w:t>其中</w:t>
            </w:r>
            <w:r>
              <w:rPr>
                <w:rFonts w:hint="default" w:ascii="Times New Roman" w:hAnsi="Times New Roman" w:cs="Times New Roman"/>
                <w:color w:val="auto"/>
                <w:sz w:val="24"/>
                <w:highlight w:val="none"/>
                <w:lang w:val="en-US" w:eastAsia="zh-CN"/>
              </w:rPr>
              <w:t>废布袋属于一般固废，厂家更换后带走回收。</w:t>
            </w:r>
          </w:p>
          <w:p w14:paraId="6C73628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危险废物（</w:t>
            </w:r>
            <w:r>
              <w:rPr>
                <w:rFonts w:hint="default" w:ascii="Times New Roman" w:hAnsi="Times New Roman" w:cs="Times New Roman"/>
                <w:color w:val="auto"/>
                <w:sz w:val="24"/>
                <w:highlight w:val="none"/>
                <w:lang w:val="en-US" w:eastAsia="zh-CN"/>
              </w:rPr>
              <w:t>废导热油</w:t>
            </w:r>
            <w:r>
              <w:rPr>
                <w:rFonts w:hint="default" w:ascii="Times New Roman" w:hAnsi="Times New Roman" w:cs="Times New Roman"/>
                <w:color w:val="auto"/>
                <w:sz w:val="24"/>
                <w:highlight w:val="none"/>
                <w:lang w:eastAsia="zh-CN"/>
              </w:rPr>
              <w:t>、废</w:t>
            </w:r>
            <w:r>
              <w:rPr>
                <w:rFonts w:hint="default" w:ascii="Times New Roman" w:hAnsi="Times New Roman" w:cs="Times New Roman"/>
                <w:color w:val="auto"/>
                <w:sz w:val="24"/>
                <w:highlight w:val="none"/>
                <w:lang w:val="en-US" w:eastAsia="zh-CN"/>
              </w:rPr>
              <w:t>机油、废油桶、废弃的含油抹布及手套</w:t>
            </w:r>
            <w:r>
              <w:rPr>
                <w:rFonts w:hint="default" w:ascii="Times New Roman" w:hAnsi="Times New Roman" w:cs="Times New Roman"/>
                <w:color w:val="auto"/>
                <w:sz w:val="24"/>
                <w:highlight w:val="none"/>
                <w:lang w:eastAsia="zh-CN"/>
              </w:rPr>
              <w:t>、废活性炭</w:t>
            </w:r>
            <w:r>
              <w:rPr>
                <w:rFonts w:hint="default" w:ascii="Times New Roman" w:hAnsi="Times New Roman" w:cs="Times New Roman"/>
                <w:color w:val="auto"/>
                <w:sz w:val="24"/>
                <w:highlight w:val="none"/>
              </w:rPr>
              <w:t>）集中收集存于密封桶中，由危险废物贮存库暂存后，委托有资质单位处理。</w:t>
            </w:r>
            <w:r>
              <w:rPr>
                <w:rFonts w:hint="default" w:ascii="Times New Roman" w:hAnsi="Times New Roman" w:cs="Times New Roman"/>
                <w:color w:val="auto"/>
                <w:sz w:val="24"/>
                <w:highlight w:val="none"/>
                <w:lang w:val="en-US" w:eastAsia="zh-CN"/>
              </w:rPr>
              <w:t>其中，废导热油更换后直接由有资质单位处理，厂区不暂存</w:t>
            </w:r>
            <w:r>
              <w:rPr>
                <w:rFonts w:hint="default" w:ascii="Times New Roman" w:hAnsi="Times New Roman" w:cs="Times New Roman"/>
                <w:color w:val="auto"/>
                <w:sz w:val="24"/>
                <w:highlight w:val="none"/>
              </w:rPr>
              <w:t>。</w:t>
            </w:r>
          </w:p>
          <w:p w14:paraId="04A5A65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综上所述，采取评价要求的各项防治措施后，以上固废均可得到综合利用或安全处置，对周围环境影响较小。评价认为工程固废污染防治措施可行。</w:t>
            </w:r>
          </w:p>
          <w:p w14:paraId="3507890E">
            <w:pPr>
              <w:keepNext w:val="0"/>
              <w:keepLines w:val="0"/>
              <w:pageBreakBefore w:val="0"/>
              <w:widowControl w:val="0"/>
              <w:kinsoku/>
              <w:wordWrap/>
              <w:overflowPunct/>
              <w:topLinePunct w:val="0"/>
              <w:autoSpaceDE w:val="0"/>
              <w:autoSpaceDN w:val="0"/>
              <w:bidi w:val="0"/>
              <w:spacing w:line="500" w:lineRule="exact"/>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五、地下水及土壤环境污染防治措施</w:t>
            </w:r>
          </w:p>
          <w:p w14:paraId="423CF167">
            <w:pPr>
              <w:keepNext w:val="0"/>
              <w:keepLines w:val="0"/>
              <w:pageBreakBefore w:val="0"/>
              <w:widowControl w:val="0"/>
              <w:kinsoku/>
              <w:wordWrap/>
              <w:overflowPunct/>
              <w:topLinePunct w:val="0"/>
              <w:autoSpaceDE w:val="0"/>
              <w:autoSpaceDN w:val="0"/>
              <w:bidi w:val="0"/>
              <w:spacing w:line="500" w:lineRule="exact"/>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本项目主要为</w:t>
            </w:r>
            <w:r>
              <w:rPr>
                <w:rFonts w:hint="eastAsia" w:cs="Times New Roman"/>
                <w:b w:val="0"/>
                <w:bCs/>
                <w:color w:val="auto"/>
                <w:sz w:val="24"/>
                <w:highlight w:val="none"/>
                <w:lang w:val="en-US" w:eastAsia="zh-CN"/>
              </w:rPr>
              <w:t>木材加工</w:t>
            </w:r>
            <w:r>
              <w:rPr>
                <w:rFonts w:hint="default" w:ascii="Times New Roman" w:hAnsi="Times New Roman" w:cs="Times New Roman"/>
                <w:b w:val="0"/>
                <w:bCs/>
                <w:color w:val="auto"/>
                <w:sz w:val="24"/>
                <w:highlight w:val="none"/>
                <w:lang w:val="en-US" w:eastAsia="zh-CN"/>
              </w:rPr>
              <w:t>建设项目，</w:t>
            </w:r>
            <w:r>
              <w:rPr>
                <w:rFonts w:hint="eastAsia" w:cs="Times New Roman"/>
                <w:b w:val="0"/>
                <w:bCs/>
                <w:color w:val="auto"/>
                <w:sz w:val="24"/>
                <w:highlight w:val="none"/>
                <w:lang w:val="en-US" w:eastAsia="zh-CN"/>
              </w:rPr>
              <w:t>主要为危险废物贮存库、导热油储罐区域，</w:t>
            </w:r>
            <w:r>
              <w:rPr>
                <w:rFonts w:hint="default" w:ascii="Times New Roman" w:hAnsi="Times New Roman" w:cs="Times New Roman"/>
                <w:b w:val="0"/>
                <w:bCs/>
                <w:color w:val="auto"/>
                <w:sz w:val="24"/>
                <w:highlight w:val="none"/>
              </w:rPr>
              <w:t>通过分区防渗</w:t>
            </w:r>
            <w:r>
              <w:rPr>
                <w:rFonts w:hint="eastAsia" w:cs="Times New Roman"/>
                <w:b w:val="0"/>
                <w:bCs/>
                <w:color w:val="auto"/>
                <w:sz w:val="24"/>
                <w:highlight w:val="none"/>
                <w:lang w:val="en-US" w:eastAsia="zh-CN"/>
              </w:rPr>
              <w:t>措施</w:t>
            </w:r>
            <w:r>
              <w:rPr>
                <w:rFonts w:hint="default" w:ascii="Times New Roman" w:hAnsi="Times New Roman" w:cs="Times New Roman"/>
                <w:b w:val="0"/>
                <w:bCs/>
                <w:color w:val="auto"/>
                <w:sz w:val="24"/>
                <w:highlight w:val="none"/>
              </w:rPr>
              <w:t>处理后</w:t>
            </w:r>
            <w:r>
              <w:rPr>
                <w:rFonts w:hint="default" w:ascii="Times New Roman" w:hAnsi="Times New Roman" w:cs="Times New Roman"/>
                <w:b w:val="0"/>
                <w:bCs/>
                <w:color w:val="auto"/>
                <w:sz w:val="24"/>
                <w:highlight w:val="none"/>
                <w:lang w:val="en-US" w:eastAsia="zh-CN"/>
              </w:rPr>
              <w:t>，无地下水、土壤污染途径。</w:t>
            </w:r>
          </w:p>
          <w:p w14:paraId="0D989B7B">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 xml:space="preserve">18  </w:t>
            </w:r>
            <w:r>
              <w:rPr>
                <w:rFonts w:hint="eastAsia" w:ascii="Times New Roman" w:hAnsi="Times New Roman" w:eastAsia="宋体" w:cs="Times New Roman"/>
                <w:b/>
                <w:bCs/>
                <w:color w:val="auto"/>
                <w:sz w:val="24"/>
                <w:szCs w:val="24"/>
                <w:highlight w:val="none"/>
                <w:lang w:val="en-US" w:eastAsia="zh-CN"/>
              </w:rPr>
              <w:t>建设项目污染区划分及防渗等级一览表</w:t>
            </w:r>
          </w:p>
          <w:tbl>
            <w:tblPr>
              <w:tblStyle w:val="32"/>
              <w:tblW w:w="795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9"/>
              <w:gridCol w:w="2985"/>
              <w:gridCol w:w="2985"/>
            </w:tblGrid>
            <w:tr w14:paraId="4A68A6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989" w:type="dxa"/>
                  <w:tcBorders>
                    <w:tl2br w:val="nil"/>
                    <w:tr2bl w:val="nil"/>
                  </w:tcBorders>
                  <w:noWrap w:val="0"/>
                  <w:vAlign w:val="center"/>
                </w:tcPr>
                <w:p w14:paraId="0313BD02">
                  <w:pPr>
                    <w:pStyle w:val="25"/>
                    <w:ind w:left="0" w:leftChars="0" w:firstLine="0" w:firstLineChars="0"/>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ascii="Times New Roman" w:hAnsi="Times New Roman" w:cs="宋体"/>
                      <w:smallCaps w:val="0"/>
                      <w:color w:val="auto"/>
                      <w:sz w:val="21"/>
                      <w:szCs w:val="21"/>
                      <w:highlight w:val="none"/>
                      <w:vertAlign w:val="baseline"/>
                      <w:lang w:val="en-US" w:eastAsia="zh-CN"/>
                    </w:rPr>
                    <w:t>防渗级别</w:t>
                  </w:r>
                </w:p>
              </w:tc>
              <w:tc>
                <w:tcPr>
                  <w:tcW w:w="2985" w:type="dxa"/>
                  <w:tcBorders>
                    <w:tl2br w:val="nil"/>
                    <w:tr2bl w:val="nil"/>
                  </w:tcBorders>
                  <w:noWrap w:val="0"/>
                  <w:vAlign w:val="center"/>
                </w:tcPr>
                <w:p w14:paraId="57FBEC2D">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宋体"/>
                      <w:smallCaps w:val="0"/>
                      <w:color w:val="auto"/>
                      <w:sz w:val="21"/>
                      <w:szCs w:val="21"/>
                      <w:highlight w:val="none"/>
                      <w:vertAlign w:val="baseline"/>
                      <w:lang w:val="en-US" w:eastAsia="zh-CN"/>
                    </w:rPr>
                    <w:t>防渗区域或部位</w:t>
                  </w:r>
                </w:p>
              </w:tc>
              <w:tc>
                <w:tcPr>
                  <w:tcW w:w="2985" w:type="dxa"/>
                  <w:tcBorders>
                    <w:tl2br w:val="nil"/>
                    <w:tr2bl w:val="nil"/>
                  </w:tcBorders>
                  <w:noWrap w:val="0"/>
                  <w:vAlign w:val="center"/>
                </w:tcPr>
                <w:p w14:paraId="1B6D1AAA">
                  <w:pPr>
                    <w:jc w:val="center"/>
                    <w:rPr>
                      <w:rFonts w:hint="eastAsia" w:ascii="Times New Roman" w:hAnsi="Times New Roman" w:eastAsia="宋体" w:cs="宋体"/>
                      <w:smallCaps w:val="0"/>
                      <w:color w:val="auto"/>
                      <w:sz w:val="21"/>
                      <w:szCs w:val="21"/>
                      <w:highlight w:val="none"/>
                      <w:vertAlign w:val="baseline"/>
                      <w:lang w:val="en-US" w:eastAsia="zh-CN"/>
                    </w:rPr>
                  </w:pPr>
                  <w:r>
                    <w:rPr>
                      <w:rFonts w:hint="eastAsia" w:cs="Times New Roman"/>
                      <w:smallCaps w:val="0"/>
                      <w:color w:val="auto"/>
                      <w:sz w:val="21"/>
                      <w:szCs w:val="21"/>
                      <w:highlight w:val="none"/>
                      <w:lang w:val="en-US" w:eastAsia="zh-CN"/>
                    </w:rPr>
                    <w:t>防渗技术要求</w:t>
                  </w:r>
                </w:p>
              </w:tc>
            </w:tr>
            <w:tr w14:paraId="175E3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1989" w:type="dxa"/>
                  <w:tcBorders>
                    <w:tl2br w:val="nil"/>
                    <w:tr2bl w:val="nil"/>
                  </w:tcBorders>
                  <w:shd w:val="clear" w:color="auto" w:fill="auto"/>
                  <w:noWrap w:val="0"/>
                  <w:vAlign w:val="center"/>
                </w:tcPr>
                <w:p w14:paraId="700A7C64">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eastAsia" w:cs="Times New Roman"/>
                      <w:smallCaps w:val="0"/>
                      <w:color w:val="auto"/>
                      <w:sz w:val="21"/>
                      <w:szCs w:val="21"/>
                      <w:highlight w:val="none"/>
                      <w:lang w:val="en-US" w:eastAsia="zh-CN"/>
                    </w:rPr>
                    <w:t>一般防渗区</w:t>
                  </w:r>
                </w:p>
              </w:tc>
              <w:tc>
                <w:tcPr>
                  <w:tcW w:w="2985" w:type="dxa"/>
                  <w:tcBorders>
                    <w:tl2br w:val="nil"/>
                    <w:tr2bl w:val="nil"/>
                  </w:tcBorders>
                  <w:shd w:val="clear" w:color="auto" w:fill="auto"/>
                  <w:noWrap w:val="0"/>
                  <w:vAlign w:val="center"/>
                </w:tcPr>
                <w:p w14:paraId="45CFD8D2">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生产</w:t>
                  </w:r>
                  <w:r>
                    <w:rPr>
                      <w:rFonts w:hint="eastAsia" w:cs="Times New Roman"/>
                      <w:smallCaps w:val="0"/>
                      <w:color w:val="auto"/>
                      <w:kern w:val="2"/>
                      <w:sz w:val="21"/>
                      <w:szCs w:val="21"/>
                      <w:highlight w:val="none"/>
                      <w:lang w:val="en-US" w:eastAsia="zh-CN" w:bidi="ar-SA"/>
                    </w:rPr>
                    <w:t>厂房等</w:t>
                  </w:r>
                </w:p>
              </w:tc>
              <w:tc>
                <w:tcPr>
                  <w:tcW w:w="2985" w:type="dxa"/>
                  <w:tcBorders>
                    <w:tl2br w:val="nil"/>
                    <w:tr2bl w:val="nil"/>
                  </w:tcBorders>
                  <w:shd w:val="clear" w:color="auto" w:fill="auto"/>
                  <w:noWrap w:val="0"/>
                  <w:vAlign w:val="center"/>
                </w:tcPr>
                <w:p w14:paraId="04896DF5">
                  <w:pPr>
                    <w:jc w:val="center"/>
                    <w:rPr>
                      <w:rFonts w:hint="default" w:ascii="Times New Roman" w:hAnsi="Times New Roman" w:eastAsia="宋体" w:cs="宋体"/>
                      <w:smallCaps w:val="0"/>
                      <w:color w:val="auto"/>
                      <w:kern w:val="2"/>
                      <w:sz w:val="21"/>
                      <w:szCs w:val="21"/>
                      <w:highlight w:val="none"/>
                      <w:vertAlign w:val="baseline"/>
                      <w:lang w:val="en-US" w:eastAsia="zh-CN" w:bidi="ar-SA"/>
                    </w:rPr>
                  </w:pPr>
                  <w:r>
                    <w:rPr>
                      <w:rFonts w:hint="default" w:ascii="Times New Roman" w:hAnsi="Times New Roman" w:eastAsia="宋体" w:cs="宋体"/>
                      <w:smallCaps w:val="0"/>
                      <w:color w:val="auto"/>
                      <w:kern w:val="2"/>
                      <w:sz w:val="21"/>
                      <w:szCs w:val="21"/>
                      <w:highlight w:val="none"/>
                      <w:vertAlign w:val="baseline"/>
                      <w:lang w:val="en-US" w:eastAsia="zh-CN" w:bidi="ar-SA"/>
                    </w:rPr>
                    <w:t>等效黏土防渗层厚≥1.5m，渗透系数≤1.0×10</w:t>
                  </w:r>
                  <w:r>
                    <w:rPr>
                      <w:rFonts w:hint="default" w:ascii="Times New Roman" w:hAnsi="Times New Roman" w:eastAsia="宋体" w:cs="宋体"/>
                      <w:smallCaps w:val="0"/>
                      <w:color w:val="auto"/>
                      <w:kern w:val="2"/>
                      <w:sz w:val="21"/>
                      <w:szCs w:val="21"/>
                      <w:highlight w:val="none"/>
                      <w:vertAlign w:val="superscript"/>
                      <w:lang w:val="en-US" w:eastAsia="zh-CN" w:bidi="ar-SA"/>
                    </w:rPr>
                    <w:t>-7</w:t>
                  </w:r>
                  <w:r>
                    <w:rPr>
                      <w:rFonts w:hint="default" w:ascii="Times New Roman" w:hAnsi="Times New Roman" w:eastAsia="宋体" w:cs="宋体"/>
                      <w:smallCaps w:val="0"/>
                      <w:color w:val="auto"/>
                      <w:kern w:val="2"/>
                      <w:sz w:val="21"/>
                      <w:szCs w:val="21"/>
                      <w:highlight w:val="none"/>
                      <w:vertAlign w:val="baseline"/>
                      <w:lang w:val="en-US" w:eastAsia="zh-CN" w:bidi="ar-SA"/>
                    </w:rPr>
                    <w:t>cm/s</w:t>
                  </w:r>
                </w:p>
              </w:tc>
            </w:tr>
            <w:tr w14:paraId="4AADB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989" w:type="dxa"/>
                  <w:tcBorders>
                    <w:tl2br w:val="nil"/>
                    <w:tr2bl w:val="nil"/>
                  </w:tcBorders>
                  <w:shd w:val="clear" w:color="auto" w:fill="auto"/>
                  <w:noWrap w:val="0"/>
                  <w:vAlign w:val="center"/>
                </w:tcPr>
                <w:p w14:paraId="6131C792">
                  <w:pPr>
                    <w:jc w:val="center"/>
                    <w:rPr>
                      <w:rFonts w:hint="eastAsia"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简单防渗区</w:t>
                  </w:r>
                </w:p>
              </w:tc>
              <w:tc>
                <w:tcPr>
                  <w:tcW w:w="2985" w:type="dxa"/>
                  <w:tcBorders>
                    <w:tl2br w:val="nil"/>
                    <w:tr2bl w:val="nil"/>
                  </w:tcBorders>
                  <w:shd w:val="clear" w:color="auto" w:fill="auto"/>
                  <w:noWrap w:val="0"/>
                  <w:vAlign w:val="center"/>
                </w:tcPr>
                <w:p w14:paraId="48C58AF1">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办公区</w:t>
                  </w:r>
                  <w:r>
                    <w:rPr>
                      <w:rFonts w:hint="eastAsia" w:cs="Times New Roman"/>
                      <w:smallCaps w:val="0"/>
                      <w:color w:val="auto"/>
                      <w:kern w:val="2"/>
                      <w:sz w:val="21"/>
                      <w:szCs w:val="21"/>
                      <w:highlight w:val="none"/>
                      <w:lang w:val="en-US" w:eastAsia="zh-CN" w:bidi="ar-SA"/>
                    </w:rPr>
                    <w:t>、道路</w:t>
                  </w:r>
                  <w:r>
                    <w:rPr>
                      <w:rFonts w:hint="default" w:ascii="Times New Roman" w:hAnsi="Times New Roman" w:eastAsia="宋体" w:cs="Times New Roman"/>
                      <w:smallCaps w:val="0"/>
                      <w:color w:val="auto"/>
                      <w:kern w:val="2"/>
                      <w:sz w:val="21"/>
                      <w:szCs w:val="21"/>
                      <w:highlight w:val="none"/>
                      <w:lang w:val="en-US" w:eastAsia="zh-CN" w:bidi="ar-SA"/>
                    </w:rPr>
                    <w:t>等其他区域</w:t>
                  </w:r>
                </w:p>
              </w:tc>
              <w:tc>
                <w:tcPr>
                  <w:tcW w:w="2985" w:type="dxa"/>
                  <w:tcBorders>
                    <w:tl2br w:val="nil"/>
                    <w:tr2bl w:val="nil"/>
                  </w:tcBorders>
                  <w:shd w:val="clear" w:color="auto" w:fill="auto"/>
                  <w:noWrap w:val="0"/>
                  <w:vAlign w:val="center"/>
                </w:tcPr>
                <w:p w14:paraId="434276B6">
                  <w:pPr>
                    <w:jc w:val="center"/>
                    <w:rPr>
                      <w:rFonts w:hint="default" w:ascii="Times New Roman" w:hAnsi="Times New Roman" w:eastAsia="宋体" w:cs="宋体"/>
                      <w:smallCaps w:val="0"/>
                      <w:color w:val="auto"/>
                      <w:kern w:val="2"/>
                      <w:sz w:val="21"/>
                      <w:szCs w:val="21"/>
                      <w:highlight w:val="none"/>
                      <w:vertAlign w:val="baseli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地面硬化处理</w:t>
                  </w:r>
                </w:p>
              </w:tc>
            </w:tr>
            <w:tr w14:paraId="4BBC4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989" w:type="dxa"/>
                  <w:tcBorders>
                    <w:tl2br w:val="nil"/>
                    <w:tr2bl w:val="nil"/>
                  </w:tcBorders>
                  <w:shd w:val="clear" w:color="auto" w:fill="auto"/>
                  <w:noWrap w:val="0"/>
                  <w:vAlign w:val="center"/>
                </w:tcPr>
                <w:p w14:paraId="016ECAEF">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重点防渗区</w:t>
                  </w:r>
                </w:p>
              </w:tc>
              <w:tc>
                <w:tcPr>
                  <w:tcW w:w="2985" w:type="dxa"/>
                  <w:tcBorders>
                    <w:tl2br w:val="nil"/>
                    <w:tr2bl w:val="nil"/>
                  </w:tcBorders>
                  <w:shd w:val="clear" w:color="auto" w:fill="auto"/>
                  <w:noWrap w:val="0"/>
                  <w:vAlign w:val="center"/>
                </w:tcPr>
                <w:p w14:paraId="1BA92908">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宋体" w:hAnsi="宋体"/>
                      <w:sz w:val="21"/>
                      <w:szCs w:val="24"/>
                      <w:lang w:val="en-US" w:eastAsia="zh-CN"/>
                    </w:rPr>
                    <w:t>危险废物贮存库</w:t>
                  </w:r>
                  <w:r>
                    <w:rPr>
                      <w:rFonts w:hint="eastAsia" w:ascii="宋体" w:hAnsi="宋体" w:eastAsia="宋体"/>
                      <w:sz w:val="21"/>
                      <w:szCs w:val="24"/>
                      <w:highlight w:val="none"/>
                    </w:rPr>
                    <w:t>、</w:t>
                  </w:r>
                  <w:r>
                    <w:rPr>
                      <w:rFonts w:hint="eastAsia" w:ascii="宋体" w:hAnsi="宋体"/>
                      <w:sz w:val="21"/>
                      <w:szCs w:val="24"/>
                      <w:highlight w:val="none"/>
                      <w:lang w:val="en-US" w:eastAsia="zh-CN"/>
                    </w:rPr>
                    <w:t>导热油储罐区域</w:t>
                  </w:r>
                </w:p>
              </w:tc>
              <w:tc>
                <w:tcPr>
                  <w:tcW w:w="2985" w:type="dxa"/>
                  <w:tcBorders>
                    <w:tl2br w:val="nil"/>
                    <w:tr2bl w:val="nil"/>
                  </w:tcBorders>
                  <w:shd w:val="clear" w:color="auto" w:fill="auto"/>
                  <w:noWrap w:val="0"/>
                  <w:vAlign w:val="center"/>
                </w:tcPr>
                <w:p w14:paraId="3CDF2FE6">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至少2mm 厚高密度聚乙烯膜等人工防渗材料(渗透系数不大于10</w:t>
                  </w:r>
                  <w:r>
                    <w:rPr>
                      <w:rFonts w:hint="default" w:ascii="Times New Roman" w:hAnsi="Times New Roman" w:eastAsia="宋体" w:cs="Times New Roman"/>
                      <w:smallCaps w:val="0"/>
                      <w:color w:val="auto"/>
                      <w:kern w:val="2"/>
                      <w:sz w:val="21"/>
                      <w:szCs w:val="21"/>
                      <w:highlight w:val="none"/>
                      <w:vertAlign w:val="superscript"/>
                      <w:lang w:val="en-US" w:eastAsia="zh-CN" w:bidi="ar-SA"/>
                    </w:rPr>
                    <w:t>-10</w:t>
                  </w:r>
                  <w:r>
                    <w:rPr>
                      <w:rFonts w:hint="default" w:ascii="Times New Roman" w:hAnsi="Times New Roman" w:eastAsia="宋体" w:cs="Times New Roman"/>
                      <w:smallCaps w:val="0"/>
                      <w:color w:val="auto"/>
                      <w:kern w:val="2"/>
                      <w:sz w:val="21"/>
                      <w:szCs w:val="21"/>
                      <w:highlight w:val="none"/>
                      <w:lang w:val="en-US" w:eastAsia="zh-CN" w:bidi="ar-SA"/>
                    </w:rPr>
                    <w:t>cm/s)</w:t>
                  </w:r>
                </w:p>
              </w:tc>
            </w:tr>
          </w:tbl>
          <w:p w14:paraId="204DF8A8">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六</w:t>
            </w:r>
            <w:r>
              <w:rPr>
                <w:rFonts w:hint="default" w:ascii="Times New Roman" w:hAnsi="Times New Roman" w:cs="Times New Roman"/>
                <w:b/>
                <w:color w:val="auto"/>
                <w:sz w:val="24"/>
                <w:highlight w:val="none"/>
              </w:rPr>
              <w:t>、生态环境</w:t>
            </w:r>
          </w:p>
          <w:p w14:paraId="722AE1F1">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本项目位于双鸭山市尖山区</w:t>
            </w:r>
            <w:r>
              <w:rPr>
                <w:rFonts w:hint="eastAsia" w:cs="Times New Roman"/>
                <w:b w:val="0"/>
                <w:bCs/>
                <w:color w:val="auto"/>
                <w:sz w:val="24"/>
                <w:highlight w:val="none"/>
                <w:lang w:val="en-US" w:eastAsia="zh-CN"/>
              </w:rPr>
              <w:t>窑地路</w:t>
            </w:r>
            <w:r>
              <w:rPr>
                <w:rFonts w:hint="default" w:ascii="Times New Roman" w:hAnsi="Times New Roman" w:cs="Times New Roman"/>
                <w:b w:val="0"/>
                <w:bCs/>
                <w:color w:val="auto"/>
                <w:sz w:val="24"/>
                <w:highlight w:val="none"/>
              </w:rPr>
              <w:t>，</w:t>
            </w:r>
            <w:r>
              <w:rPr>
                <w:rFonts w:hint="eastAsia" w:cs="Times New Roman"/>
                <w:b w:val="0"/>
                <w:bCs/>
                <w:color w:val="auto"/>
                <w:sz w:val="24"/>
                <w:highlight w:val="none"/>
                <w:lang w:val="en-US" w:eastAsia="zh-CN"/>
              </w:rPr>
              <w:t>利用自家</w:t>
            </w:r>
            <w:r>
              <w:rPr>
                <w:rFonts w:hint="default" w:ascii="Times New Roman" w:hAnsi="Times New Roman" w:cs="Times New Roman"/>
                <w:b w:val="0"/>
                <w:bCs/>
                <w:color w:val="auto"/>
                <w:sz w:val="24"/>
                <w:highlight w:val="none"/>
              </w:rPr>
              <w:t>厂房，用地范围周围无生态环境保护目标，本项目运营期对周围生态环境影响较小。</w:t>
            </w:r>
          </w:p>
          <w:p w14:paraId="56EFA318">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cs="Times New Roman"/>
                <w:b w:val="0"/>
                <w:bCs/>
                <w:color w:val="auto"/>
                <w:sz w:val="24"/>
                <w:highlight w:val="none"/>
              </w:rPr>
            </w:pPr>
            <w:r>
              <w:rPr>
                <w:rFonts w:hint="eastAsia" w:cs="Times New Roman"/>
                <w:b/>
                <w:bCs w:val="0"/>
                <w:color w:val="auto"/>
                <w:sz w:val="24"/>
                <w:highlight w:val="none"/>
                <w:lang w:val="en-US" w:eastAsia="zh-CN"/>
              </w:rPr>
              <w:t>七</w:t>
            </w:r>
            <w:r>
              <w:rPr>
                <w:rFonts w:hint="default" w:ascii="Times New Roman" w:hAnsi="Times New Roman" w:cs="Times New Roman"/>
                <w:b/>
                <w:bCs w:val="0"/>
                <w:color w:val="auto"/>
                <w:sz w:val="24"/>
                <w:highlight w:val="none"/>
              </w:rPr>
              <w:t>、环境风险</w:t>
            </w:r>
          </w:p>
          <w:p w14:paraId="42EFB35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环境风险评价的目的是分析和预测建设项目存在的潜在危险、有害因果，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117D4733">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rPr>
              <w:t>（1）物质风险性识别</w:t>
            </w:r>
          </w:p>
          <w:p w14:paraId="6EB14121">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根据《建设项目环境风险评价技术导则》（HJ 169-2018）中附录B 及《危险化学品重大危险源辨识》（GB 18218-2018），本项目涉及的环境风险物质为废机油，且杨树片、包装材料、废边角料、原料油品等为易燃物质，存在泄漏、火灾或爆炸风险，造成人员伤亡及经济损失。</w:t>
            </w:r>
          </w:p>
          <w:p w14:paraId="109D3887">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rPr>
              <w:t>（2）生产系统风险识别</w:t>
            </w:r>
          </w:p>
          <w:p w14:paraId="0D6C8B33">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生产系统危险性识别，包括主要生产装置、储运设施、公用工程和辅助生产设施，以及环境保护设施，识别的风险如下：</w:t>
            </w:r>
          </w:p>
          <w:p w14:paraId="5C42D91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①原料区（</w:t>
            </w:r>
            <w:r>
              <w:rPr>
                <w:rFonts w:hint="eastAsia" w:cs="Times New Roman"/>
                <w:b w:val="0"/>
                <w:bCs/>
                <w:color w:val="auto"/>
                <w:sz w:val="24"/>
                <w:highlight w:val="none"/>
                <w:lang w:val="en-US" w:eastAsia="zh-CN"/>
              </w:rPr>
              <w:t>导热</w:t>
            </w:r>
            <w:r>
              <w:rPr>
                <w:rFonts w:hint="default" w:ascii="Times New Roman" w:hAnsi="Times New Roman" w:cs="Times New Roman"/>
                <w:b w:val="0"/>
                <w:bCs/>
                <w:color w:val="auto"/>
                <w:sz w:val="24"/>
                <w:highlight w:val="none"/>
              </w:rPr>
              <w:t>油、空压机油）等盛装容器破损，原料泄漏对环境的影响；</w:t>
            </w:r>
          </w:p>
          <w:p w14:paraId="53DCDEBF">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②火灾、爆炸引发对环境的次生污染影响；</w:t>
            </w:r>
          </w:p>
          <w:p w14:paraId="40535291">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③危险废物</w:t>
            </w:r>
            <w:r>
              <w:rPr>
                <w:rFonts w:hint="eastAsia" w:cs="Times New Roman"/>
                <w:b w:val="0"/>
                <w:bCs/>
                <w:color w:val="auto"/>
                <w:sz w:val="24"/>
                <w:highlight w:val="none"/>
                <w:lang w:val="en-US" w:eastAsia="zh-CN"/>
              </w:rPr>
              <w:t>贮存库</w:t>
            </w:r>
            <w:r>
              <w:rPr>
                <w:rFonts w:hint="default" w:ascii="Times New Roman" w:hAnsi="Times New Roman" w:cs="Times New Roman"/>
                <w:b w:val="0"/>
                <w:bCs/>
                <w:color w:val="auto"/>
                <w:sz w:val="24"/>
                <w:highlight w:val="none"/>
              </w:rPr>
              <w:t>（废机油）等因操作失误造成危险废物泄漏对环境的影响；</w:t>
            </w:r>
          </w:p>
          <w:p w14:paraId="103117A3">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④废气处理设施故障或失效等，导致废气超标排放。</w:t>
            </w:r>
          </w:p>
          <w:p w14:paraId="49033DD8">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eastAsia="宋体" w:cs="Times New Roman"/>
                <w:b/>
                <w:bCs w:val="0"/>
                <w:color w:val="auto"/>
                <w:sz w:val="24"/>
                <w:highlight w:val="none"/>
                <w:lang w:val="en-US" w:eastAsia="zh-CN"/>
              </w:rPr>
            </w:pPr>
            <w:r>
              <w:rPr>
                <w:rFonts w:hint="eastAsia" w:cs="Times New Roman"/>
                <w:b/>
                <w:bCs w:val="0"/>
                <w:color w:val="auto"/>
                <w:sz w:val="24"/>
                <w:highlight w:val="none"/>
                <w:lang w:eastAsia="zh-CN"/>
              </w:rPr>
              <w:t>（</w:t>
            </w:r>
            <w:r>
              <w:rPr>
                <w:rFonts w:hint="eastAsia" w:cs="Times New Roman"/>
                <w:b/>
                <w:bCs w:val="0"/>
                <w:color w:val="auto"/>
                <w:sz w:val="24"/>
                <w:highlight w:val="none"/>
                <w:lang w:val="en-US" w:eastAsia="zh-CN"/>
              </w:rPr>
              <w:t>3</w:t>
            </w:r>
            <w:r>
              <w:rPr>
                <w:rFonts w:hint="eastAsia" w:cs="Times New Roman"/>
                <w:b/>
                <w:bCs w:val="0"/>
                <w:color w:val="auto"/>
                <w:sz w:val="24"/>
                <w:highlight w:val="none"/>
                <w:lang w:eastAsia="zh-CN"/>
              </w:rPr>
              <w:t>）</w:t>
            </w:r>
            <w:r>
              <w:rPr>
                <w:rFonts w:hint="eastAsia" w:cs="Times New Roman"/>
                <w:b/>
                <w:bCs w:val="0"/>
                <w:color w:val="auto"/>
                <w:sz w:val="24"/>
                <w:highlight w:val="none"/>
                <w:lang w:val="en-US" w:eastAsia="zh-CN"/>
              </w:rPr>
              <w:t>风险等级划分</w:t>
            </w:r>
          </w:p>
          <w:p w14:paraId="37A5BA8B">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根据《建设项目环境风险评价技术导则》(HJ169-2018)，项目实施后全厂主要风险物质见下表：</w:t>
            </w:r>
          </w:p>
          <w:p w14:paraId="4ED5F98A">
            <w:pPr>
              <w:keepNext w:val="0"/>
              <w:keepLines w:val="0"/>
              <w:pageBreakBefore w:val="0"/>
              <w:widowControl w:val="0"/>
              <w:kinsoku/>
              <w:wordWrap/>
              <w:overflowPunct/>
              <w:topLinePunct w:val="0"/>
              <w:autoSpaceDE/>
              <w:autoSpaceDN/>
              <w:bidi w:val="0"/>
              <w:adjustRightInd/>
              <w:snapToGrid/>
              <w:spacing w:line="500" w:lineRule="exact"/>
              <w:ind w:left="-73" w:leftChars="-35" w:right="-73" w:rightChars="-35"/>
              <w:jc w:val="center"/>
              <w:textAlignment w:val="auto"/>
              <w:rPr>
                <w:rFonts w:hint="default" w:ascii="Times New Roman" w:hAnsi="Times New Roman" w:eastAsia="宋体" w:cs="Times New Roman"/>
                <w:b/>
                <w:bCs/>
                <w:color w:val="auto"/>
                <w:sz w:val="24"/>
                <w:szCs w:val="24"/>
                <w:highlight w:val="none"/>
                <w:lang w:val="zh-CN" w:eastAsia="zh-CN"/>
              </w:rPr>
            </w:pPr>
            <w:r>
              <w:rPr>
                <w:rFonts w:hint="default" w:ascii="Times New Roman" w:hAnsi="Times New Roman" w:eastAsia="宋体" w:cs="Times New Roman"/>
                <w:b/>
                <w:bCs/>
                <w:color w:val="auto"/>
                <w:sz w:val="24"/>
                <w:szCs w:val="24"/>
                <w:highlight w:val="none"/>
                <w:lang w:val="zh-CN" w:eastAsia="zh-CN"/>
              </w:rPr>
              <w:t>表4-</w:t>
            </w:r>
            <w:r>
              <w:rPr>
                <w:rFonts w:hint="eastAsia" w:cs="Times New Roman"/>
                <w:b/>
                <w:bCs/>
                <w:color w:val="auto"/>
                <w:sz w:val="24"/>
                <w:szCs w:val="24"/>
                <w:highlight w:val="none"/>
                <w:lang w:val="en-US" w:eastAsia="zh-CN"/>
              </w:rPr>
              <w:t>19</w:t>
            </w:r>
            <w:r>
              <w:rPr>
                <w:rFonts w:hint="default" w:ascii="Times New Roman" w:hAnsi="Times New Roman" w:eastAsia="宋体" w:cs="Times New Roman"/>
                <w:b/>
                <w:bCs/>
                <w:color w:val="auto"/>
                <w:sz w:val="24"/>
                <w:szCs w:val="24"/>
                <w:highlight w:val="none"/>
                <w:lang w:val="zh-CN" w:eastAsia="zh-CN"/>
              </w:rPr>
              <w:t xml:space="preserve">   风险物质最大存储量及风险临界值</w:t>
            </w:r>
          </w:p>
          <w:tbl>
            <w:tblPr>
              <w:tblStyle w:val="31"/>
              <w:tblW w:w="5006"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1586"/>
              <w:gridCol w:w="1594"/>
              <w:gridCol w:w="1831"/>
              <w:gridCol w:w="1639"/>
              <w:gridCol w:w="1307"/>
            </w:tblGrid>
            <w:tr w14:paraId="0CF8A44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468" w:hRule="atLeast"/>
                <w:jc w:val="center"/>
              </w:trPr>
              <w:tc>
                <w:tcPr>
                  <w:tcW w:w="996" w:type="pct"/>
                  <w:noWrap w:val="0"/>
                  <w:vAlign w:val="center"/>
                </w:tcPr>
                <w:p w14:paraId="660B79B1">
                  <w:pPr>
                    <w:jc w:val="center"/>
                    <w:rPr>
                      <w:rFonts w:hint="default" w:cs="Times New Roman"/>
                      <w:smallCaps w:val="0"/>
                      <w:color w:val="auto"/>
                      <w:sz w:val="21"/>
                      <w:szCs w:val="21"/>
                      <w:highlight w:val="none"/>
                      <w:lang w:val="en-US" w:eastAsia="zh-CN"/>
                    </w:rPr>
                  </w:pPr>
                  <w:r>
                    <w:rPr>
                      <w:rFonts w:hint="default" w:cs="Times New Roman"/>
                      <w:smallCaps w:val="0"/>
                      <w:color w:val="auto"/>
                      <w:sz w:val="21"/>
                      <w:szCs w:val="21"/>
                      <w:highlight w:val="none"/>
                      <w:lang w:val="en-US" w:eastAsia="zh-CN"/>
                    </w:rPr>
                    <w:t>风险物质</w:t>
                  </w:r>
                </w:p>
              </w:tc>
              <w:tc>
                <w:tcPr>
                  <w:tcW w:w="1001" w:type="pct"/>
                  <w:noWrap w:val="0"/>
                  <w:vAlign w:val="center"/>
                </w:tcPr>
                <w:p w14:paraId="6CD8A31E">
                  <w:pPr>
                    <w:jc w:val="center"/>
                    <w:rPr>
                      <w:rFonts w:hint="default" w:cs="Times New Roman"/>
                      <w:smallCaps w:val="0"/>
                      <w:color w:val="auto"/>
                      <w:sz w:val="21"/>
                      <w:szCs w:val="21"/>
                      <w:highlight w:val="none"/>
                      <w:lang w:val="en-US" w:eastAsia="zh-CN"/>
                    </w:rPr>
                  </w:pPr>
                  <w:r>
                    <w:rPr>
                      <w:rFonts w:hint="default" w:cs="Times New Roman"/>
                      <w:smallCaps w:val="0"/>
                      <w:color w:val="auto"/>
                      <w:sz w:val="21"/>
                      <w:szCs w:val="21"/>
                      <w:highlight w:val="none"/>
                      <w:lang w:val="en-US" w:eastAsia="zh-CN"/>
                    </w:rPr>
                    <w:t>年使用量(t)</w:t>
                  </w:r>
                </w:p>
              </w:tc>
              <w:tc>
                <w:tcPr>
                  <w:tcW w:w="1150" w:type="pct"/>
                  <w:noWrap w:val="0"/>
                  <w:vAlign w:val="center"/>
                </w:tcPr>
                <w:p w14:paraId="0A6EDBA6">
                  <w:pPr>
                    <w:jc w:val="center"/>
                    <w:rPr>
                      <w:rFonts w:hint="default" w:cs="Times New Roman"/>
                      <w:smallCaps w:val="0"/>
                      <w:color w:val="auto"/>
                      <w:sz w:val="21"/>
                      <w:szCs w:val="21"/>
                      <w:highlight w:val="none"/>
                      <w:lang w:val="en-US" w:eastAsia="zh-CN"/>
                    </w:rPr>
                  </w:pPr>
                  <w:r>
                    <w:rPr>
                      <w:rFonts w:hint="default" w:cs="Times New Roman"/>
                      <w:smallCaps w:val="0"/>
                      <w:color w:val="auto"/>
                      <w:sz w:val="21"/>
                      <w:szCs w:val="21"/>
                      <w:highlight w:val="none"/>
                      <w:lang w:val="en-US" w:eastAsia="zh-CN"/>
                    </w:rPr>
                    <w:t>最大存在量(t)</w:t>
                  </w:r>
                </w:p>
              </w:tc>
              <w:tc>
                <w:tcPr>
                  <w:tcW w:w="1029" w:type="pct"/>
                  <w:noWrap w:val="0"/>
                  <w:vAlign w:val="center"/>
                </w:tcPr>
                <w:p w14:paraId="02D6E406">
                  <w:pPr>
                    <w:jc w:val="center"/>
                    <w:rPr>
                      <w:rFonts w:hint="default" w:cs="Times New Roman"/>
                      <w:smallCaps w:val="0"/>
                      <w:color w:val="auto"/>
                      <w:sz w:val="21"/>
                      <w:szCs w:val="21"/>
                      <w:highlight w:val="none"/>
                      <w:lang w:val="en-US" w:eastAsia="zh-CN"/>
                    </w:rPr>
                  </w:pPr>
                  <w:r>
                    <w:rPr>
                      <w:rFonts w:hint="default" w:cs="Times New Roman"/>
                      <w:smallCaps w:val="0"/>
                      <w:color w:val="auto"/>
                      <w:sz w:val="21"/>
                      <w:szCs w:val="21"/>
                      <w:highlight w:val="none"/>
                      <w:lang w:val="en-US" w:eastAsia="zh-CN"/>
                    </w:rPr>
                    <w:t>风险临界值（t）</w:t>
                  </w:r>
                </w:p>
              </w:tc>
              <w:tc>
                <w:tcPr>
                  <w:tcW w:w="821" w:type="pct"/>
                  <w:noWrap w:val="0"/>
                  <w:vAlign w:val="center"/>
                </w:tcPr>
                <w:p w14:paraId="3B6A19CB">
                  <w:pPr>
                    <w:jc w:val="center"/>
                    <w:rPr>
                      <w:rFonts w:hint="default" w:cs="Times New Roman"/>
                      <w:smallCaps w:val="0"/>
                      <w:color w:val="auto"/>
                      <w:sz w:val="21"/>
                      <w:szCs w:val="21"/>
                      <w:highlight w:val="none"/>
                      <w:lang w:val="en-US" w:eastAsia="zh-CN"/>
                    </w:rPr>
                  </w:pPr>
                  <w:r>
                    <w:rPr>
                      <w:rFonts w:hint="default" w:cs="Times New Roman"/>
                      <w:smallCaps w:val="0"/>
                      <w:color w:val="auto"/>
                      <w:sz w:val="21"/>
                      <w:szCs w:val="21"/>
                      <w:highlight w:val="none"/>
                      <w:lang w:val="en-US" w:eastAsia="zh-CN"/>
                    </w:rPr>
                    <w:t>Q值</w:t>
                  </w:r>
                </w:p>
              </w:tc>
            </w:tr>
            <w:tr w14:paraId="15249AD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500" w:hRule="atLeast"/>
                <w:jc w:val="center"/>
              </w:trPr>
              <w:tc>
                <w:tcPr>
                  <w:tcW w:w="996" w:type="pct"/>
                  <w:noWrap w:val="0"/>
                  <w:vAlign w:val="center"/>
                </w:tcPr>
                <w:p w14:paraId="2B279D96">
                  <w:pPr>
                    <w:pStyle w:val="25"/>
                    <w:ind w:left="0" w:leftChars="0" w:firstLine="0" w:firstLineChars="0"/>
                    <w:jc w:val="center"/>
                    <w:rPr>
                      <w:rFonts w:hint="default"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导热油</w:t>
                  </w:r>
                </w:p>
              </w:tc>
              <w:tc>
                <w:tcPr>
                  <w:tcW w:w="1001" w:type="pct"/>
                  <w:noWrap w:val="0"/>
                  <w:vAlign w:val="center"/>
                </w:tcPr>
                <w:p w14:paraId="33E84472">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2</w:t>
                  </w:r>
                </w:p>
              </w:tc>
              <w:tc>
                <w:tcPr>
                  <w:tcW w:w="1150" w:type="pct"/>
                  <w:noWrap w:val="0"/>
                  <w:vAlign w:val="center"/>
                </w:tcPr>
                <w:p w14:paraId="53E58327">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6</w:t>
                  </w:r>
                </w:p>
              </w:tc>
              <w:tc>
                <w:tcPr>
                  <w:tcW w:w="1029" w:type="pct"/>
                  <w:noWrap w:val="0"/>
                  <w:vAlign w:val="center"/>
                </w:tcPr>
                <w:p w14:paraId="33616B47">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2500</w:t>
                  </w:r>
                </w:p>
              </w:tc>
              <w:tc>
                <w:tcPr>
                  <w:tcW w:w="821" w:type="pct"/>
                  <w:noWrap w:val="0"/>
                  <w:vAlign w:val="center"/>
                </w:tcPr>
                <w:p w14:paraId="3A2038D3">
                  <w:pPr>
                    <w:jc w:val="center"/>
                    <w:rPr>
                      <w:rFonts w:hint="default" w:cs="Times New Roman"/>
                      <w:smallCaps w:val="0"/>
                      <w:color w:val="auto"/>
                      <w:sz w:val="21"/>
                      <w:szCs w:val="21"/>
                      <w:highlight w:val="none"/>
                      <w:lang w:val="en-US" w:eastAsia="zh-CN"/>
                    </w:rPr>
                  </w:pPr>
                  <w:r>
                    <w:rPr>
                      <w:rFonts w:hint="default" w:cs="Times New Roman"/>
                      <w:smallCaps w:val="0"/>
                      <w:color w:val="auto"/>
                      <w:sz w:val="21"/>
                      <w:szCs w:val="21"/>
                      <w:highlight w:val="none"/>
                      <w:lang w:val="en-US" w:eastAsia="zh-CN"/>
                    </w:rPr>
                    <w:t>0.0</w:t>
                  </w:r>
                  <w:r>
                    <w:rPr>
                      <w:rFonts w:hint="eastAsia" w:cs="Times New Roman"/>
                      <w:smallCaps w:val="0"/>
                      <w:color w:val="auto"/>
                      <w:sz w:val="21"/>
                      <w:szCs w:val="21"/>
                      <w:highlight w:val="none"/>
                      <w:lang w:val="en-US" w:eastAsia="zh-CN"/>
                    </w:rPr>
                    <w:t>024</w:t>
                  </w:r>
                </w:p>
              </w:tc>
            </w:tr>
            <w:tr w14:paraId="277F149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500" w:hRule="atLeast"/>
                <w:jc w:val="center"/>
              </w:trPr>
              <w:tc>
                <w:tcPr>
                  <w:tcW w:w="996" w:type="pct"/>
                  <w:noWrap w:val="0"/>
                  <w:vAlign w:val="center"/>
                </w:tcPr>
                <w:p w14:paraId="12CF6661">
                  <w:pPr>
                    <w:pStyle w:val="25"/>
                    <w:ind w:left="0" w:leftChars="0" w:firstLine="0" w:firstLineChars="0"/>
                    <w:jc w:val="center"/>
                    <w:rPr>
                      <w:rFonts w:hint="default"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废机油</w:t>
                  </w:r>
                </w:p>
              </w:tc>
              <w:tc>
                <w:tcPr>
                  <w:tcW w:w="1001" w:type="pct"/>
                  <w:noWrap w:val="0"/>
                  <w:vAlign w:val="center"/>
                </w:tcPr>
                <w:p w14:paraId="319AE375">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0.1</w:t>
                  </w:r>
                </w:p>
              </w:tc>
              <w:tc>
                <w:tcPr>
                  <w:tcW w:w="1150" w:type="pct"/>
                  <w:noWrap w:val="0"/>
                  <w:vAlign w:val="center"/>
                </w:tcPr>
                <w:p w14:paraId="64842769">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0.1</w:t>
                  </w:r>
                </w:p>
              </w:tc>
              <w:tc>
                <w:tcPr>
                  <w:tcW w:w="1029" w:type="pct"/>
                  <w:noWrap w:val="0"/>
                  <w:vAlign w:val="center"/>
                </w:tcPr>
                <w:p w14:paraId="428E112B">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2500</w:t>
                  </w:r>
                </w:p>
              </w:tc>
              <w:tc>
                <w:tcPr>
                  <w:tcW w:w="821" w:type="pct"/>
                  <w:noWrap w:val="0"/>
                  <w:vAlign w:val="center"/>
                </w:tcPr>
                <w:p w14:paraId="4E53D7F0">
                  <w:pPr>
                    <w:jc w:val="center"/>
                    <w:rPr>
                      <w:rFonts w:hint="default"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0.00004</w:t>
                  </w:r>
                </w:p>
              </w:tc>
            </w:tr>
          </w:tbl>
          <w:p w14:paraId="13C7BF53">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计算所涉及的每种危险物质在厂界内的最大存在总量与其在附录B中对应临界量的比值Q。</w:t>
            </w:r>
          </w:p>
          <w:p w14:paraId="0F0A84BB">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当只涉及一种危险物质时，计算该物质的总量与其临界量比值，即为Q；</w:t>
            </w:r>
          </w:p>
          <w:p w14:paraId="406C44B8">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drawing>
                <wp:anchor distT="0" distB="0" distL="114300" distR="114300" simplePos="0" relativeHeight="251665408" behindDoc="0" locked="0" layoutInCell="1" allowOverlap="1">
                  <wp:simplePos x="0" y="0"/>
                  <wp:positionH relativeFrom="column">
                    <wp:posOffset>504825</wp:posOffset>
                  </wp:positionH>
                  <wp:positionV relativeFrom="paragraph">
                    <wp:posOffset>701675</wp:posOffset>
                  </wp:positionV>
                  <wp:extent cx="3239770" cy="468630"/>
                  <wp:effectExtent l="0" t="0" r="17780" b="7620"/>
                  <wp:wrapTopAndBottom/>
                  <wp:docPr id="12" name="图片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
                          <pic:cNvPicPr>
                            <a:picLocks noChangeAspect="1"/>
                          </pic:cNvPicPr>
                        </pic:nvPicPr>
                        <pic:blipFill>
                          <a:blip r:embed="rId39"/>
                          <a:stretch>
                            <a:fillRect/>
                          </a:stretch>
                        </pic:blipFill>
                        <pic:spPr>
                          <a:xfrm>
                            <a:off x="0" y="0"/>
                            <a:ext cx="3239770" cy="468630"/>
                          </a:xfrm>
                          <a:prstGeom prst="rect">
                            <a:avLst/>
                          </a:prstGeom>
                          <a:noFill/>
                          <a:ln>
                            <a:noFill/>
                          </a:ln>
                        </pic:spPr>
                      </pic:pic>
                    </a:graphicData>
                  </a:graphic>
                </wp:anchor>
              </w:drawing>
            </w:r>
            <w:r>
              <w:rPr>
                <w:rFonts w:hint="default" w:ascii="Times New Roman" w:hAnsi="Times New Roman" w:cs="Times New Roman"/>
                <w:b w:val="0"/>
                <w:bCs/>
                <w:color w:val="auto"/>
                <w:sz w:val="24"/>
                <w:highlight w:val="none"/>
              </w:rPr>
              <w:t>当存在多种危险物质时，则按式（C.1）计算物质总量与其临界量比值（Q）：</w:t>
            </w:r>
          </w:p>
          <w:p w14:paraId="52AC7558">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式中：q1，q2，...，qn——每种危险物质的最大存在总量，t；</w:t>
            </w:r>
          </w:p>
          <w:p w14:paraId="17F6289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Q1，Q2，...，Qn——每种危险物质的临界量，t。</w:t>
            </w:r>
          </w:p>
          <w:p w14:paraId="2227DBAF">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当Q＜1时，该项目环境风险潜势为Ⅰ。</w:t>
            </w:r>
          </w:p>
          <w:p w14:paraId="2180EE35">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当Q≥1时，将Q值划分为：（1）1≤Q＜10；（2）10≤Q＜100；（3）Q≥100。</w:t>
            </w:r>
          </w:p>
          <w:p w14:paraId="6C5F3124">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根据表1中风险物质最大存储量，本项目项目Q值为0.0</w:t>
            </w:r>
            <w:r>
              <w:rPr>
                <w:rFonts w:hint="eastAsia" w:cs="Times New Roman"/>
                <w:b w:val="0"/>
                <w:bCs/>
                <w:color w:val="auto"/>
                <w:sz w:val="24"/>
                <w:highlight w:val="none"/>
                <w:lang w:val="en-US" w:eastAsia="zh-CN"/>
              </w:rPr>
              <w:t>0244</w:t>
            </w:r>
            <w:r>
              <w:rPr>
                <w:rFonts w:hint="default" w:ascii="Times New Roman" w:hAnsi="Times New Roman" w:cs="Times New Roman"/>
                <w:b w:val="0"/>
                <w:bCs/>
                <w:color w:val="auto"/>
                <w:sz w:val="24"/>
                <w:highlight w:val="none"/>
              </w:rPr>
              <w:t>。Q＜1，该项目环境风险潜势为Ⅰ，根据《建设项目环境风险评价技术导则》（HJ 169-2018）要求，只需进行简单分析评价，不设定风险评价范围。</w:t>
            </w:r>
          </w:p>
          <w:p w14:paraId="74E125F9">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rPr>
              <w:t>（</w:t>
            </w:r>
            <w:r>
              <w:rPr>
                <w:rFonts w:hint="eastAsia" w:cs="Times New Roman"/>
                <w:b/>
                <w:bCs w:val="0"/>
                <w:color w:val="auto"/>
                <w:sz w:val="24"/>
                <w:highlight w:val="none"/>
                <w:lang w:val="en-US" w:eastAsia="zh-CN"/>
              </w:rPr>
              <w:t>4</w:t>
            </w:r>
            <w:r>
              <w:rPr>
                <w:rFonts w:hint="default" w:ascii="Times New Roman" w:hAnsi="Times New Roman" w:cs="Times New Roman"/>
                <w:b/>
                <w:bCs w:val="0"/>
                <w:color w:val="auto"/>
                <w:sz w:val="24"/>
                <w:highlight w:val="none"/>
              </w:rPr>
              <w:t>）环境风险分析</w:t>
            </w:r>
          </w:p>
          <w:p w14:paraId="58BE815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①泄漏事故环境风险分析</w:t>
            </w:r>
          </w:p>
          <w:p w14:paraId="742ADC46">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项目原辅料中</w:t>
            </w:r>
            <w:r>
              <w:rPr>
                <w:rFonts w:hint="eastAsia" w:cs="Times New Roman"/>
                <w:b w:val="0"/>
                <w:bCs/>
                <w:color w:val="auto"/>
                <w:sz w:val="24"/>
                <w:highlight w:val="none"/>
                <w:lang w:val="en-US" w:eastAsia="zh-CN"/>
              </w:rPr>
              <w:t>导热</w:t>
            </w:r>
            <w:r>
              <w:rPr>
                <w:rFonts w:hint="default" w:ascii="Times New Roman" w:hAnsi="Times New Roman" w:cs="Times New Roman"/>
                <w:b w:val="0"/>
                <w:bCs/>
                <w:color w:val="auto"/>
                <w:sz w:val="24"/>
                <w:highlight w:val="none"/>
              </w:rPr>
              <w:t>油、空压机油等储存和生产过程中遇突发情况发生泄漏流出厂外，有可能造成地表水、地下水、土壤污染。项目危险废物中废机油等在危险废物</w:t>
            </w:r>
            <w:r>
              <w:rPr>
                <w:rFonts w:hint="eastAsia" w:cs="Times New Roman"/>
                <w:b w:val="0"/>
                <w:bCs/>
                <w:color w:val="auto"/>
                <w:sz w:val="24"/>
                <w:highlight w:val="none"/>
                <w:lang w:val="en-US" w:eastAsia="zh-CN"/>
              </w:rPr>
              <w:t>贮存库</w:t>
            </w:r>
            <w:r>
              <w:rPr>
                <w:rFonts w:hint="default" w:ascii="Times New Roman" w:hAnsi="Times New Roman" w:cs="Times New Roman"/>
                <w:b w:val="0"/>
                <w:bCs/>
                <w:color w:val="auto"/>
                <w:sz w:val="24"/>
                <w:highlight w:val="none"/>
              </w:rPr>
              <w:t>储存过程中遇突发情况发生泄漏，流出厂外，有可能造成地表水、地下水、土壤污染。</w:t>
            </w:r>
          </w:p>
          <w:p w14:paraId="1BD9B00E">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②火灾、粉尘爆炸事故环境风险分析</w:t>
            </w:r>
          </w:p>
          <w:p w14:paraId="420A651D">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本项目生产过程中使用的各类物料（</w:t>
            </w:r>
            <w:r>
              <w:rPr>
                <w:rFonts w:hint="eastAsia" w:cs="Times New Roman"/>
                <w:b w:val="0"/>
                <w:bCs/>
                <w:color w:val="auto"/>
                <w:sz w:val="24"/>
                <w:highlight w:val="none"/>
                <w:lang w:val="en-US" w:eastAsia="zh-CN"/>
              </w:rPr>
              <w:t>导热</w:t>
            </w:r>
            <w:r>
              <w:rPr>
                <w:rFonts w:hint="default" w:ascii="Times New Roman" w:hAnsi="Times New Roman" w:cs="Times New Roman"/>
                <w:b w:val="0"/>
                <w:bCs/>
                <w:color w:val="auto"/>
                <w:sz w:val="24"/>
                <w:highlight w:val="none"/>
              </w:rPr>
              <w:t>油、机油）为易燃物质，发生泄漏遇明火会发生火灾，挥发的有机废气与空气形成爆炸性混合物，一旦泄漏或无组织排放浓度累积至爆炸限，遇明火会发生火灾，发生火灾后风险物质燃烧过程中会产生有毒有害气体，同时灭火过程将产生大量消防废水，由此对周边大气环境、地表水体、地下水和土壤造成影响。会对周围环境敏感人群的健康和安全产生伤害；火灾若不能及时得到控制，会对周边居民的人身、财产等造成损害。</w:t>
            </w:r>
          </w:p>
          <w:p w14:paraId="1169939F">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③废气超标环境风险分析</w:t>
            </w:r>
          </w:p>
          <w:p w14:paraId="6004ED14">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项目对环境空气的影响主要来自废气处理设施故障导致非甲烷总烃、颗粒物超标排放，下风向一定范围内环境空气中非甲烷总烃、颗粒物浓度超标，一般持续时间不会很长。只要管理上采取严格巡检制度、定期对废气处理设施进行维护保养，基本可以避免废气处理设施故障的发生进而影响周边环境空气。</w:t>
            </w:r>
          </w:p>
          <w:p w14:paraId="00007C73">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eastAsia" w:cs="Times New Roman"/>
                <w:b/>
                <w:bCs w:val="0"/>
                <w:color w:val="auto"/>
                <w:sz w:val="24"/>
                <w:highlight w:val="none"/>
                <w:lang w:eastAsia="zh-CN"/>
              </w:rPr>
              <w:t>（</w:t>
            </w:r>
            <w:r>
              <w:rPr>
                <w:rFonts w:hint="eastAsia" w:cs="Times New Roman"/>
                <w:b/>
                <w:bCs w:val="0"/>
                <w:color w:val="auto"/>
                <w:sz w:val="24"/>
                <w:highlight w:val="none"/>
                <w:lang w:val="en-US" w:eastAsia="zh-CN"/>
              </w:rPr>
              <w:t>5</w:t>
            </w:r>
            <w:r>
              <w:rPr>
                <w:rFonts w:hint="eastAsia" w:cs="Times New Roman"/>
                <w:b/>
                <w:bCs w:val="0"/>
                <w:color w:val="auto"/>
                <w:sz w:val="24"/>
                <w:highlight w:val="none"/>
                <w:lang w:eastAsia="zh-CN"/>
              </w:rPr>
              <w:t>）</w:t>
            </w:r>
            <w:r>
              <w:rPr>
                <w:rFonts w:hint="default" w:ascii="Times New Roman" w:hAnsi="Times New Roman" w:cs="Times New Roman"/>
                <w:b/>
                <w:bCs w:val="0"/>
                <w:color w:val="auto"/>
                <w:sz w:val="24"/>
                <w:highlight w:val="none"/>
              </w:rPr>
              <w:t>环境风险防范措施</w:t>
            </w:r>
          </w:p>
          <w:p w14:paraId="2B8D995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结合项目风险源、环境影响途径、环境敏感目标等方面，项目拟采用一系列风险防范措施，具体情况如下：</w:t>
            </w:r>
          </w:p>
          <w:p w14:paraId="613BB18E">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①泄漏风险防范措施</w:t>
            </w:r>
          </w:p>
          <w:p w14:paraId="27D73B57">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1）尽量减少储存量，做到多批次、少量储存。设置专门的油品仓库，油品仓库应当阴凉、干燥、通风良好。</w:t>
            </w:r>
          </w:p>
          <w:p w14:paraId="40F5936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2）存放时应注意防止碰撞引起包装桶破裂泄漏，原料仓库设置备用物料收集容器，及时收集泄漏物质。</w:t>
            </w:r>
          </w:p>
          <w:p w14:paraId="7CA5EE1F">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3）加强管理人员对仓库检查，防止出现贮存装置破损等情况引起的油品泄漏。</w:t>
            </w:r>
          </w:p>
          <w:p w14:paraId="1687E01E">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rPr>
              <w:t>4）物料泄漏处理措施物料泄漏后迅速撤离泄漏污染区人员至安全区，并进行隔离，严格限制出入。小量泄漏：用砂土等惰性材料吸收。大量泄漏：导入贮槽。用泵转移至专用收集容器内，回收或运至废物处理场所处置。为防止火灾过程等风险事故情况下物料和消防废水排入雨水管道进入周边水体对其水质造成污染，应采取紧急切断装置、雨污水分流管道等防护设施。</w:t>
            </w:r>
            <w:r>
              <w:rPr>
                <w:rFonts w:hint="eastAsia" w:ascii="Times New Roman" w:hAnsi="Times New Roman" w:cs="Times New Roman"/>
                <w:b w:val="0"/>
                <w:bCs/>
                <w:color w:val="auto"/>
                <w:sz w:val="24"/>
                <w:highlight w:val="none"/>
                <w:lang w:val="en-US" w:eastAsia="zh-CN"/>
              </w:rPr>
              <w:t>厂区导热油系统发生泄漏后，有下油罐作为事故备用罐，满足事故需求。</w:t>
            </w:r>
          </w:p>
          <w:p w14:paraId="48817C0C">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5）危险废物</w:t>
            </w:r>
            <w:r>
              <w:rPr>
                <w:rFonts w:hint="eastAsia" w:cs="Times New Roman"/>
                <w:b w:val="0"/>
                <w:bCs/>
                <w:color w:val="auto"/>
                <w:sz w:val="24"/>
                <w:highlight w:val="none"/>
                <w:lang w:val="en-US" w:eastAsia="zh-CN"/>
              </w:rPr>
              <w:t>贮存库</w:t>
            </w:r>
            <w:r>
              <w:rPr>
                <w:rFonts w:hint="default" w:ascii="Times New Roman" w:hAnsi="Times New Roman" w:cs="Times New Roman"/>
                <w:b w:val="0"/>
                <w:bCs/>
                <w:color w:val="auto"/>
                <w:sz w:val="24"/>
                <w:highlight w:val="none"/>
              </w:rPr>
              <w:t>符合储存危险废物的相关条件（如防晒、防潮、通风、防雷、防静电、铺设防渗层或防渗托盘等），定期检验合格后才能继续使用，并设置明显的标识及警示牌。</w:t>
            </w:r>
          </w:p>
          <w:p w14:paraId="2E7719B8">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贮存场所外要设置危险废物警示标志，危险废物容器和包装物上要设置危险废物标签。做好危险废物的入库、存放、出库记录，不得随意堆置，应当委托有资质单位处置，严格执行危险废物转移计划审批和转移联单制度。建设单位拟设置监控系统，主要在仓库出入口、仓库内、厂门口等关键位置安装视频监控设施，进行实时监控，并与中控室联网。危险废物</w:t>
            </w:r>
            <w:r>
              <w:rPr>
                <w:rFonts w:hint="eastAsia" w:cs="Times New Roman"/>
                <w:b w:val="0"/>
                <w:bCs/>
                <w:color w:val="auto"/>
                <w:sz w:val="24"/>
                <w:highlight w:val="none"/>
                <w:lang w:val="en-US" w:eastAsia="zh-CN"/>
              </w:rPr>
              <w:t>贮存库</w:t>
            </w:r>
            <w:r>
              <w:rPr>
                <w:rFonts w:hint="default" w:ascii="Times New Roman" w:hAnsi="Times New Roman" w:cs="Times New Roman"/>
                <w:b w:val="0"/>
                <w:bCs/>
                <w:color w:val="auto"/>
                <w:sz w:val="24"/>
                <w:highlight w:val="none"/>
              </w:rPr>
              <w:t>门口拟设置危废信息公开栏，外墙及各类危废贮存处墙面设置贮存设施警示标志牌。</w:t>
            </w:r>
          </w:p>
          <w:p w14:paraId="359B646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②火灾事故防范措施</w:t>
            </w:r>
          </w:p>
          <w:p w14:paraId="19720AF3">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1）生产车间、原料区、危险废物</w:t>
            </w:r>
            <w:r>
              <w:rPr>
                <w:rFonts w:hint="eastAsia" w:cs="Times New Roman"/>
                <w:b w:val="0"/>
                <w:bCs/>
                <w:color w:val="auto"/>
                <w:sz w:val="24"/>
                <w:highlight w:val="none"/>
                <w:lang w:val="en-US" w:eastAsia="zh-CN"/>
              </w:rPr>
              <w:t>贮存库</w:t>
            </w:r>
            <w:r>
              <w:rPr>
                <w:rFonts w:hint="default" w:ascii="Times New Roman" w:hAnsi="Times New Roman" w:cs="Times New Roman"/>
                <w:b w:val="0"/>
                <w:bCs/>
                <w:color w:val="auto"/>
                <w:sz w:val="24"/>
                <w:highlight w:val="none"/>
              </w:rPr>
              <w:t>通风良好，远离火源、热源，应按规范配置灭火器材和消防装备。</w:t>
            </w:r>
          </w:p>
          <w:p w14:paraId="1B1BCD24">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2</w:t>
            </w:r>
            <w:r>
              <w:rPr>
                <w:rFonts w:hint="default" w:ascii="Times New Roman" w:hAnsi="Times New Roman" w:cs="Times New Roman"/>
                <w:b w:val="0"/>
                <w:bCs/>
                <w:color w:val="auto"/>
                <w:sz w:val="24"/>
                <w:highlight w:val="none"/>
              </w:rPr>
              <w:t>）企业需建立健全安全操作规程，工作人员要熟练掌握操作技术和防火安全管理规定。生产装置、储存装置应设置火灾自动报警和消防灭火设施。对消防设施应进行定期检查，确保消防设施始终处于完好状态。应采取消防联动措施，当火灾确认后，能自动/手动启动消防泵等设备。④为了确保安全，建议其采用以下安全防护措施：针对生产车间和相关厂房的一般消防措施包括：a.按规范设置手提式灭火器和消防栓；b.在车间出入口设置安全出口应急标志灯；c.在主要通道、有工作人员的场地设置应急事故照明。</w:t>
            </w:r>
          </w:p>
          <w:p w14:paraId="79CB2A88">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3</w:t>
            </w:r>
            <w:r>
              <w:rPr>
                <w:rFonts w:hint="default" w:ascii="Times New Roman" w:hAnsi="Times New Roman" w:cs="Times New Roman"/>
                <w:b w:val="0"/>
                <w:bCs/>
                <w:color w:val="auto"/>
                <w:sz w:val="24"/>
                <w:highlight w:val="none"/>
              </w:rPr>
              <w:t>）对设备进行维修焊接和安全检测，应经安全部门确认、准许，并有记录。</w:t>
            </w:r>
          </w:p>
          <w:p w14:paraId="74925176">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4</w:t>
            </w:r>
            <w:r>
              <w:rPr>
                <w:rFonts w:hint="default" w:ascii="Times New Roman" w:hAnsi="Times New Roman" w:cs="Times New Roman"/>
                <w:b w:val="0"/>
                <w:bCs/>
                <w:color w:val="auto"/>
                <w:sz w:val="24"/>
                <w:highlight w:val="none"/>
              </w:rPr>
              <w:t>）一旦发生火灾或者爆炸事故，应马上发出火灾警报，迅速疏散非应急人员；启动联锁系统切断关联设备；停止厂区的全部生产活动，关闭所有管线。针对火灾现场的人员和管线设备等，采取保护性措施，如自动开启灭火系统，降低火焰辐射强度，减轻人员伤亡和避免火灾蔓延。进行火情侦察、火灾扑救，火场疏散人员应有针对性地采取个体防护措施，如佩戴防护面具和空气呼吸器，穿戴专用防护服等。</w:t>
            </w:r>
          </w:p>
          <w:p w14:paraId="7C62916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③粉尘爆炸</w:t>
            </w:r>
          </w:p>
          <w:p w14:paraId="289ACC0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1）工作车间禁止吸烟、携带火种、穿戴钉皮鞋进入易燃易爆区，转动设备部位要保持清洁，防止因摩擦引起杂物等燃烧。</w:t>
            </w:r>
          </w:p>
          <w:p w14:paraId="0C2C13BC">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2）严格控制设备质量与安装质量，对设备、泵等定期检查、保养、维修；电气线路定期进行检查、保养、维修。</w:t>
            </w:r>
          </w:p>
          <w:p w14:paraId="05828FB4">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3）加强管理、严格纪律，遵守各项规章制度和操作规程，严格执行岗位职责，坚持巡回检查，发现问题及时通报处理，如通风、管线是否泄漏、消防通道、地沟是否通畅等，检修时做好隔离，清洗赶紧，确定合格后，要有现场监护在通风良好的条件下方能动火，并加强培训、教育和考核工作。</w:t>
            </w:r>
          </w:p>
          <w:p w14:paraId="4A7E55E0">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4）安全措施，消防设施要保持完好；厂区要设有喷淋设施；采取必要的防静电措施。</w:t>
            </w:r>
          </w:p>
          <w:p w14:paraId="2E49A2D7">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5）对厂区库房、和面工序，应加强通风，防止粉尘聚积。相关区域设置明确禁烟标志，设置烟雾报警和自动喷淋设施。</w:t>
            </w:r>
          </w:p>
          <w:p w14:paraId="7CEEA65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④废气风险防范措施</w:t>
            </w:r>
          </w:p>
          <w:p w14:paraId="2BB3FBA4">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1）制定科学安全的废气处理设备操作规程，上墙，并严格进行运行控制，防止误操作导致废气事故排放。</w:t>
            </w:r>
          </w:p>
          <w:p w14:paraId="04BD7926">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2）加强对各废气处理设施巡检，查看废气处理设施运转是否正常，运行控制是否到位，不定时对各记录表进行检查，应确保各废气处理设施各管道、法兰、阀门等连接完好，降低泄漏风险，发现问题及时解决。</w:t>
            </w:r>
          </w:p>
          <w:p w14:paraId="58D63FC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3）建立环保制度，设置环保设施专职管理人员，保证废气处理设施长期正常运行。</w:t>
            </w:r>
          </w:p>
          <w:p w14:paraId="233FEB4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b w:val="0"/>
                <w:bCs/>
                <w:color w:val="auto"/>
                <w:sz w:val="24"/>
                <w:highlight w:val="none"/>
              </w:rPr>
            </w:pPr>
            <w:r>
              <w:rPr>
                <w:rFonts w:hint="eastAsia" w:ascii="Times New Roman" w:hAnsi="Times New Roman" w:eastAsia="宋体" w:cs="Times New Roman"/>
                <w:b w:val="0"/>
                <w:bCs/>
                <w:color w:val="auto"/>
                <w:sz w:val="24"/>
                <w:highlight w:val="none"/>
              </w:rPr>
              <w:t>⑤</w:t>
            </w:r>
            <w:r>
              <w:rPr>
                <w:rFonts w:hint="default" w:ascii="Times New Roman" w:hAnsi="Times New Roman" w:eastAsia="宋体" w:cs="Times New Roman"/>
                <w:b w:val="0"/>
                <w:bCs/>
                <w:color w:val="auto"/>
                <w:sz w:val="24"/>
                <w:highlight w:val="none"/>
              </w:rPr>
              <w:t>导热油泄漏事故防范措施</w:t>
            </w:r>
          </w:p>
          <w:p w14:paraId="106A6F26">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eastAsia="宋体" w:cs="Times New Roman"/>
                <w:b w:val="0"/>
                <w:bCs/>
                <w:color w:val="auto"/>
                <w:sz w:val="24"/>
                <w:highlight w:val="none"/>
              </w:rPr>
              <w:t>导热油属于可燃或易燃化学物质，又处于高温条件下工作，当其从系统中泄漏出来时，</w:t>
            </w:r>
            <w:r>
              <w:rPr>
                <w:rFonts w:hint="default" w:ascii="Times New Roman" w:hAnsi="Times New Roman" w:cs="Times New Roman"/>
                <w:b w:val="0"/>
                <w:bCs/>
                <w:color w:val="auto"/>
                <w:sz w:val="24"/>
                <w:highlight w:val="none"/>
              </w:rPr>
              <w:t>有可能会导致燃烧发生，并引发火灾。高温条件下的导热油具有较强的渗透性，故系统必须具有良好的密封性，对于系统内采用材料及设备，除需要考虑其强度要求外，其密封性也是必不可少的要求。为了防止其泄漏，通常导热油系统的设备及管线连接需要采用焊接方式，不允许采用螺纹连接。对于注入导热油体量较大的系统，系统设计时应当考虑到当其发生泄漏的情况下，能够有效减少系统泄漏量以降低事故对人员、财产及环境的危害程度。</w:t>
            </w:r>
          </w:p>
          <w:p w14:paraId="60F7F1C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导热油泄漏事故防范措施：</w:t>
            </w:r>
          </w:p>
          <w:p w14:paraId="37347766">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1）</w:t>
            </w:r>
            <w:r>
              <w:rPr>
                <w:rFonts w:hint="default" w:ascii="Times New Roman" w:hAnsi="Times New Roman" w:cs="Times New Roman"/>
                <w:b w:val="0"/>
                <w:bCs/>
                <w:color w:val="auto"/>
                <w:sz w:val="24"/>
                <w:highlight w:val="none"/>
              </w:rPr>
              <w:t>健全安全管理制度，提高事故应急能力；</w:t>
            </w:r>
          </w:p>
          <w:p w14:paraId="573A0933">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2）</w:t>
            </w:r>
            <w:r>
              <w:rPr>
                <w:rFonts w:hint="default" w:ascii="Times New Roman" w:hAnsi="Times New Roman" w:cs="Times New Roman"/>
                <w:b w:val="0"/>
                <w:bCs/>
                <w:color w:val="auto"/>
                <w:sz w:val="24"/>
                <w:highlight w:val="none"/>
              </w:rPr>
              <w:t>正确配置和操作导热油传热系统；</w:t>
            </w:r>
          </w:p>
          <w:p w14:paraId="6F23DACC">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2）</w:t>
            </w:r>
            <w:r>
              <w:rPr>
                <w:rFonts w:hint="default" w:ascii="Times New Roman" w:hAnsi="Times New Roman" w:cs="Times New Roman"/>
                <w:b w:val="0"/>
                <w:bCs/>
                <w:color w:val="auto"/>
                <w:sz w:val="24"/>
                <w:highlight w:val="none"/>
              </w:rPr>
              <w:t>冷炉点火缓慢升温，注意脱水排气；</w:t>
            </w:r>
          </w:p>
          <w:p w14:paraId="06D3C021">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3）</w:t>
            </w:r>
            <w:r>
              <w:rPr>
                <w:rFonts w:hint="default" w:ascii="Times New Roman" w:hAnsi="Times New Roman" w:cs="Times New Roman"/>
                <w:b w:val="0"/>
                <w:bCs/>
                <w:color w:val="auto"/>
                <w:sz w:val="24"/>
                <w:highlight w:val="none"/>
              </w:rPr>
              <w:t>定期化验油质，及时处理不合格的导热油；</w:t>
            </w:r>
          </w:p>
          <w:p w14:paraId="4F196636">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4）</w:t>
            </w:r>
            <w:r>
              <w:rPr>
                <w:rFonts w:hint="default" w:ascii="Times New Roman" w:hAnsi="Times New Roman" w:cs="Times New Roman"/>
                <w:b w:val="0"/>
                <w:bCs/>
                <w:color w:val="auto"/>
                <w:sz w:val="24"/>
                <w:highlight w:val="none"/>
              </w:rPr>
              <w:t>确保炉管中导热油的循环流速；</w:t>
            </w:r>
          </w:p>
          <w:p w14:paraId="278DAE86">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5）</w:t>
            </w:r>
            <w:r>
              <w:rPr>
                <w:rFonts w:hint="default" w:ascii="Times New Roman" w:hAnsi="Times New Roman" w:cs="Times New Roman"/>
                <w:b w:val="0"/>
                <w:bCs/>
                <w:color w:val="auto"/>
                <w:sz w:val="24"/>
                <w:highlight w:val="none"/>
              </w:rPr>
              <w:t>尽量采用闭式运行系统；</w:t>
            </w:r>
          </w:p>
          <w:p w14:paraId="779C9F50">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6）</w:t>
            </w:r>
            <w:r>
              <w:rPr>
                <w:rFonts w:hint="default" w:ascii="Times New Roman" w:hAnsi="Times New Roman" w:cs="Times New Roman"/>
                <w:b w:val="0"/>
                <w:bCs/>
                <w:color w:val="auto"/>
                <w:sz w:val="24"/>
                <w:highlight w:val="none"/>
              </w:rPr>
              <w:t>避免导热油过热；</w:t>
            </w:r>
          </w:p>
          <w:p w14:paraId="7D2BE5C5">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eastAsia" w:cs="Times New Roman"/>
                <w:b w:val="0"/>
                <w:bCs/>
                <w:color w:val="auto"/>
                <w:sz w:val="24"/>
                <w:highlight w:val="none"/>
                <w:lang w:val="en-US" w:eastAsia="zh-CN"/>
              </w:rPr>
              <w:t>7）</w:t>
            </w:r>
            <w:r>
              <w:rPr>
                <w:rFonts w:hint="default" w:ascii="Times New Roman" w:hAnsi="Times New Roman" w:cs="Times New Roman"/>
                <w:b w:val="0"/>
                <w:bCs/>
                <w:color w:val="auto"/>
                <w:sz w:val="24"/>
                <w:highlight w:val="none"/>
              </w:rPr>
              <w:t>锅炉检验中注意检查运行操作对油的影响。</w:t>
            </w:r>
          </w:p>
          <w:p w14:paraId="1E483458">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建立健全环保机构，配置必要的监测仪器，对管理人员和技术人员进行岗位培训；加强应急培训及演练，规范固废贮存场所，做好废物的装卸、贮存管理，各污水处理设施做好防渗处理，确保其满足防渗要求。</w:t>
            </w:r>
          </w:p>
          <w:p w14:paraId="128923CC">
            <w:pPr>
              <w:pStyle w:val="11"/>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74"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pacing w:val="-2"/>
                <w:sz w:val="24"/>
                <w:highlight w:val="none"/>
              </w:rPr>
              <w:t>(6)</w:t>
            </w:r>
            <w:r>
              <w:rPr>
                <w:rFonts w:hint="default" w:ascii="Times New Roman" w:hAnsi="Times New Roman" w:cs="Times New Roman"/>
                <w:b/>
                <w:bCs/>
                <w:color w:val="auto"/>
                <w:sz w:val="24"/>
                <w:szCs w:val="24"/>
                <w:highlight w:val="none"/>
              </w:rPr>
              <w:t>建立健全安全环境管理制度</w:t>
            </w:r>
          </w:p>
          <w:p w14:paraId="33F64EEE">
            <w:pPr>
              <w:pStyle w:val="11"/>
              <w:spacing w:before="0" w:after="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①要坚持“预防为主”的方针，防患于未然，操作人员必须严格按照操作规程办事，认真执行巡检制度，避免因检查不到位或错误操作而发生事故。</w:t>
            </w:r>
          </w:p>
          <w:p w14:paraId="0A0B885F">
            <w:pPr>
              <w:pStyle w:val="11"/>
              <w:spacing w:before="0" w:after="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②建立健全健康/安全环境管理制度，指定相关责任人。消防器材完好到位，并设置火灾报警装置。加强车间的安全环保管理，对所有职工进行安全环保的教育和培训。</w:t>
            </w:r>
          </w:p>
          <w:p w14:paraId="17D2B8B2">
            <w:pPr>
              <w:pStyle w:val="11"/>
              <w:spacing w:before="0" w:after="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③危险废物</w:t>
            </w:r>
            <w:r>
              <w:rPr>
                <w:rFonts w:hint="eastAsia" w:cs="Times New Roman"/>
                <w:color w:val="auto"/>
                <w:sz w:val="24"/>
                <w:szCs w:val="24"/>
                <w:highlight w:val="none"/>
                <w:lang w:val="en-US" w:eastAsia="zh-CN"/>
              </w:rPr>
              <w:t>贮存库</w:t>
            </w:r>
            <w:r>
              <w:rPr>
                <w:rFonts w:hint="default" w:ascii="Times New Roman" w:hAnsi="Times New Roman" w:cs="Times New Roman"/>
                <w:color w:val="auto"/>
                <w:sz w:val="24"/>
                <w:szCs w:val="24"/>
                <w:highlight w:val="none"/>
              </w:rPr>
              <w:t>内严禁烟火、严禁闲杂人员出入逗留。严禁携带危险品进入仓库区域内。</w:t>
            </w:r>
          </w:p>
          <w:p w14:paraId="3DD23142">
            <w:pPr>
              <w:pStyle w:val="11"/>
              <w:spacing w:before="0" w:after="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④严格明火管理，严禁吸烟动火。消除电气火花。严格按照《中华人民共和国爆 炸危险场所安全规程》和现行有关标准、规程及要求执行。</w:t>
            </w:r>
          </w:p>
          <w:p w14:paraId="379FCDFF">
            <w:pPr>
              <w:pStyle w:val="11"/>
              <w:spacing w:before="0" w:after="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⑤消防器材应当设置在明显和便于取用的地点，周围不准堆放物品和杂物。消防设施、器材，应当由专人管理，负责检查、维修、保养、更换和添置，保证完好有效，严禁圈占、埋压和挪用。配备消防器材和消防设施；标示明确，使用方便；在厂房配备二氧化碳灭火器熄灭小型火灾，厂房大面积着火采用地埋式消防水池的水进行灭火，同时在电气设备火灾易发处配备干粉灭火器。</w:t>
            </w:r>
          </w:p>
          <w:p w14:paraId="5A0BE116">
            <w:pPr>
              <w:pStyle w:val="11"/>
              <w:spacing w:before="0" w:after="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⑥项目内定期进行电路、电气检查，消除安全隐患。</w:t>
            </w:r>
          </w:p>
          <w:p w14:paraId="7A47CF80">
            <w:pPr>
              <w:pStyle w:val="11"/>
              <w:spacing w:before="0" w:after="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⑦出现火灾时应及时将可燃物品搬离，远离火源。</w:t>
            </w:r>
          </w:p>
          <w:p w14:paraId="6FFC9A84">
            <w:pPr>
              <w:pStyle w:val="11"/>
              <w:spacing w:before="0" w:after="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⑧加强市场消防设施的日常管理，确保事故时消防设施能够正常使用，针对厂房等可能出现的火灾事故进行消防演练。</w:t>
            </w:r>
          </w:p>
          <w:p w14:paraId="3BA7053E">
            <w:pPr>
              <w:pStyle w:val="11"/>
              <w:spacing w:before="0" w:after="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事故应急预案：建设项目应急预案主要内容见表4-</w:t>
            </w:r>
            <w:r>
              <w:rPr>
                <w:rFonts w:hint="eastAsia" w:ascii="Times New Roman" w:hAnsi="Times New Roman" w:cs="Times New Roman"/>
                <w:color w:val="auto"/>
                <w:sz w:val="24"/>
                <w:szCs w:val="24"/>
                <w:highlight w:val="none"/>
                <w:lang w:val="en-US" w:eastAsia="zh-CN"/>
              </w:rPr>
              <w:t>20</w:t>
            </w:r>
            <w:r>
              <w:rPr>
                <w:rFonts w:hint="default" w:ascii="Times New Roman" w:hAnsi="Times New Roman" w:cs="Times New Roman"/>
                <w:color w:val="auto"/>
                <w:sz w:val="24"/>
                <w:szCs w:val="24"/>
                <w:highlight w:val="none"/>
              </w:rPr>
              <w:t>。</w:t>
            </w:r>
          </w:p>
          <w:p w14:paraId="5F351DE6">
            <w:pPr>
              <w:pStyle w:val="11"/>
              <w:spacing w:before="0" w:after="0" w:line="240" w:lineRule="auto"/>
              <w:ind w:right="0"/>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表4-</w:t>
            </w:r>
            <w:r>
              <w:rPr>
                <w:rFonts w:hint="eastAsia" w:ascii="Times New Roman" w:hAnsi="Times New Roman" w:cs="Times New Roman"/>
                <w:b/>
                <w:bCs/>
                <w:color w:val="auto"/>
                <w:sz w:val="24"/>
                <w:szCs w:val="24"/>
                <w:highlight w:val="none"/>
                <w:lang w:val="en-US" w:eastAsia="zh-CN"/>
              </w:rPr>
              <w:t>20</w:t>
            </w:r>
            <w:r>
              <w:rPr>
                <w:rFonts w:hint="default" w:ascii="Times New Roman" w:hAnsi="Times New Roman" w:cs="Times New Roman"/>
                <w:b/>
                <w:bCs/>
                <w:color w:val="auto"/>
                <w:sz w:val="24"/>
                <w:szCs w:val="24"/>
                <w:highlight w:val="none"/>
              </w:rPr>
              <w:t xml:space="preserve">   应急预案内容</w:t>
            </w:r>
          </w:p>
          <w:tbl>
            <w:tblPr>
              <w:tblStyle w:val="31"/>
              <w:tblW w:w="801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7"/>
              <w:gridCol w:w="2761"/>
              <w:gridCol w:w="4600"/>
            </w:tblGrid>
            <w:tr w14:paraId="709695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657" w:type="dxa"/>
                  <w:tcBorders>
                    <w:tl2br w:val="nil"/>
                    <w:tr2bl w:val="nil"/>
                  </w:tcBorders>
                  <w:noWrap w:val="0"/>
                  <w:vAlign w:val="center"/>
                </w:tcPr>
                <w:p w14:paraId="107ED0E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2761" w:type="dxa"/>
                  <w:tcBorders>
                    <w:tl2br w:val="nil"/>
                    <w:tr2bl w:val="nil"/>
                  </w:tcBorders>
                  <w:noWrap w:val="0"/>
                  <w:vAlign w:val="center"/>
                </w:tcPr>
                <w:p w14:paraId="5D63C383">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p>
              </w:tc>
              <w:tc>
                <w:tcPr>
                  <w:tcW w:w="4600" w:type="dxa"/>
                  <w:tcBorders>
                    <w:tl2br w:val="nil"/>
                    <w:tr2bl w:val="nil"/>
                  </w:tcBorders>
                  <w:noWrap w:val="0"/>
                  <w:vAlign w:val="center"/>
                </w:tcPr>
                <w:p w14:paraId="4929149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内容及要求</w:t>
                  </w:r>
                </w:p>
              </w:tc>
            </w:tr>
            <w:tr w14:paraId="783567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657" w:type="dxa"/>
                  <w:tcBorders>
                    <w:tl2br w:val="nil"/>
                    <w:tr2bl w:val="nil"/>
                  </w:tcBorders>
                  <w:noWrap w:val="0"/>
                  <w:vAlign w:val="center"/>
                </w:tcPr>
                <w:p w14:paraId="2EFBF7A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761" w:type="dxa"/>
                  <w:tcBorders>
                    <w:tl2br w:val="nil"/>
                    <w:tr2bl w:val="nil"/>
                  </w:tcBorders>
                  <w:noWrap w:val="0"/>
                  <w:vAlign w:val="center"/>
                </w:tcPr>
                <w:p w14:paraId="7E5709E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应急计划区</w:t>
                  </w:r>
                </w:p>
              </w:tc>
              <w:tc>
                <w:tcPr>
                  <w:tcW w:w="4600" w:type="dxa"/>
                  <w:tcBorders>
                    <w:tl2br w:val="nil"/>
                    <w:tr2bl w:val="nil"/>
                  </w:tcBorders>
                  <w:noWrap w:val="0"/>
                  <w:vAlign w:val="center"/>
                </w:tcPr>
                <w:p w14:paraId="2D3FEF79">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危险目标：</w:t>
                  </w:r>
                  <w:r>
                    <w:rPr>
                      <w:rFonts w:hint="eastAsia" w:cs="Times New Roman"/>
                      <w:color w:val="auto"/>
                      <w:sz w:val="21"/>
                      <w:szCs w:val="21"/>
                      <w:highlight w:val="none"/>
                      <w:lang w:val="en-US" w:eastAsia="zh-CN"/>
                    </w:rPr>
                    <w:t>危险废物贮存库</w:t>
                  </w:r>
                  <w:r>
                    <w:rPr>
                      <w:rFonts w:hint="default" w:ascii="Times New Roman" w:hAnsi="Times New Roman" w:cs="Times New Roman"/>
                      <w:color w:val="auto"/>
                      <w:sz w:val="21"/>
                      <w:szCs w:val="21"/>
                      <w:highlight w:val="none"/>
                    </w:rPr>
                    <w:t>、环境保护目标</w:t>
                  </w:r>
                </w:p>
              </w:tc>
            </w:tr>
            <w:tr w14:paraId="0F6A1D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657" w:type="dxa"/>
                  <w:tcBorders>
                    <w:tl2br w:val="nil"/>
                    <w:tr2bl w:val="nil"/>
                  </w:tcBorders>
                  <w:noWrap w:val="0"/>
                  <w:vAlign w:val="center"/>
                </w:tcPr>
                <w:p w14:paraId="28FAF3E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761" w:type="dxa"/>
                  <w:tcBorders>
                    <w:tl2br w:val="nil"/>
                    <w:tr2bl w:val="nil"/>
                  </w:tcBorders>
                  <w:noWrap w:val="0"/>
                  <w:vAlign w:val="center"/>
                </w:tcPr>
                <w:p w14:paraId="02B5FE1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应急组织机构、人员</w:t>
                  </w:r>
                </w:p>
              </w:tc>
              <w:tc>
                <w:tcPr>
                  <w:tcW w:w="4600" w:type="dxa"/>
                  <w:tcBorders>
                    <w:tl2br w:val="nil"/>
                    <w:tr2bl w:val="nil"/>
                  </w:tcBorders>
                  <w:noWrap w:val="0"/>
                  <w:vAlign w:val="center"/>
                </w:tcPr>
                <w:p w14:paraId="295F2785">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工厂、地区应急组织机构、人员</w:t>
                  </w:r>
                </w:p>
              </w:tc>
            </w:tr>
            <w:tr w14:paraId="2835D8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657" w:type="dxa"/>
                  <w:tcBorders>
                    <w:tl2br w:val="nil"/>
                    <w:tr2bl w:val="nil"/>
                  </w:tcBorders>
                  <w:noWrap w:val="0"/>
                  <w:vAlign w:val="center"/>
                </w:tcPr>
                <w:p w14:paraId="3254760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2761" w:type="dxa"/>
                  <w:tcBorders>
                    <w:tl2br w:val="nil"/>
                    <w:tr2bl w:val="nil"/>
                  </w:tcBorders>
                  <w:noWrap w:val="0"/>
                  <w:vAlign w:val="center"/>
                </w:tcPr>
                <w:p w14:paraId="25FABED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预案分级响应条件</w:t>
                  </w:r>
                </w:p>
              </w:tc>
              <w:tc>
                <w:tcPr>
                  <w:tcW w:w="4600" w:type="dxa"/>
                  <w:tcBorders>
                    <w:tl2br w:val="nil"/>
                    <w:tr2bl w:val="nil"/>
                  </w:tcBorders>
                  <w:noWrap w:val="0"/>
                  <w:vAlign w:val="center"/>
                </w:tcPr>
                <w:p w14:paraId="5DC3AE23">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规定预案的级别及分级响应程序</w:t>
                  </w:r>
                </w:p>
              </w:tc>
            </w:tr>
            <w:tr w14:paraId="6E3F95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657" w:type="dxa"/>
                  <w:tcBorders>
                    <w:tl2br w:val="nil"/>
                    <w:tr2bl w:val="nil"/>
                  </w:tcBorders>
                  <w:noWrap w:val="0"/>
                  <w:vAlign w:val="center"/>
                </w:tcPr>
                <w:p w14:paraId="58EC6C3A">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2761" w:type="dxa"/>
                  <w:tcBorders>
                    <w:tl2br w:val="nil"/>
                    <w:tr2bl w:val="nil"/>
                  </w:tcBorders>
                  <w:noWrap w:val="0"/>
                  <w:vAlign w:val="center"/>
                </w:tcPr>
                <w:p w14:paraId="502D7662">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应急救援保障</w:t>
                  </w:r>
                </w:p>
              </w:tc>
              <w:tc>
                <w:tcPr>
                  <w:tcW w:w="4600" w:type="dxa"/>
                  <w:tcBorders>
                    <w:tl2br w:val="nil"/>
                    <w:tr2bl w:val="nil"/>
                  </w:tcBorders>
                  <w:noWrap w:val="0"/>
                  <w:vAlign w:val="center"/>
                </w:tcPr>
                <w:p w14:paraId="5FFB3819">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应急设施，设备与器材等</w:t>
                  </w:r>
                </w:p>
              </w:tc>
            </w:tr>
            <w:tr w14:paraId="4DEFD0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8" w:hRule="atLeast"/>
                <w:jc w:val="center"/>
              </w:trPr>
              <w:tc>
                <w:tcPr>
                  <w:tcW w:w="657" w:type="dxa"/>
                  <w:tcBorders>
                    <w:tl2br w:val="nil"/>
                    <w:tr2bl w:val="nil"/>
                  </w:tcBorders>
                  <w:noWrap w:val="0"/>
                  <w:vAlign w:val="center"/>
                </w:tcPr>
                <w:p w14:paraId="4CEA48FF">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2761" w:type="dxa"/>
                  <w:tcBorders>
                    <w:tl2br w:val="nil"/>
                    <w:tr2bl w:val="nil"/>
                  </w:tcBorders>
                  <w:noWrap w:val="0"/>
                  <w:vAlign w:val="center"/>
                </w:tcPr>
                <w:p w14:paraId="6D155E88">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报警、通讯联络方式</w:t>
                  </w:r>
                </w:p>
              </w:tc>
              <w:tc>
                <w:tcPr>
                  <w:tcW w:w="4600" w:type="dxa"/>
                  <w:tcBorders>
                    <w:tl2br w:val="nil"/>
                    <w:tr2bl w:val="nil"/>
                  </w:tcBorders>
                  <w:noWrap w:val="0"/>
                  <w:vAlign w:val="center"/>
                </w:tcPr>
                <w:p w14:paraId="0614559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规定应急状态下的报警通讯方式、通知方式和交通保障、管制</w:t>
                  </w:r>
                </w:p>
              </w:tc>
            </w:tr>
            <w:tr w14:paraId="144F00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1" w:hRule="atLeast"/>
                <w:jc w:val="center"/>
              </w:trPr>
              <w:tc>
                <w:tcPr>
                  <w:tcW w:w="657" w:type="dxa"/>
                  <w:tcBorders>
                    <w:tl2br w:val="nil"/>
                    <w:tr2bl w:val="nil"/>
                  </w:tcBorders>
                  <w:noWrap w:val="0"/>
                  <w:vAlign w:val="center"/>
                </w:tcPr>
                <w:p w14:paraId="15216993">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2761" w:type="dxa"/>
                  <w:tcBorders>
                    <w:tl2br w:val="nil"/>
                    <w:tr2bl w:val="nil"/>
                  </w:tcBorders>
                  <w:noWrap w:val="0"/>
                  <w:vAlign w:val="center"/>
                </w:tcPr>
                <w:p w14:paraId="1A719195">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应急环境监测、抢险、</w:t>
                  </w:r>
                </w:p>
                <w:p w14:paraId="79102995">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救援及控制措施</w:t>
                  </w:r>
                </w:p>
              </w:tc>
              <w:tc>
                <w:tcPr>
                  <w:tcW w:w="4600" w:type="dxa"/>
                  <w:tcBorders>
                    <w:tl2br w:val="nil"/>
                    <w:tr2bl w:val="nil"/>
                  </w:tcBorders>
                  <w:noWrap w:val="0"/>
                  <w:vAlign w:val="center"/>
                </w:tcPr>
                <w:p w14:paraId="7AD0C2FC">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由专业队伍负责对事故现场进行侦察监测，对事故性质、参数与后果进行评估，为指挥部门提供决策依据</w:t>
                  </w:r>
                </w:p>
              </w:tc>
            </w:tr>
            <w:tr w14:paraId="001E29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8" w:hRule="atLeast"/>
                <w:jc w:val="center"/>
              </w:trPr>
              <w:tc>
                <w:tcPr>
                  <w:tcW w:w="657" w:type="dxa"/>
                  <w:tcBorders>
                    <w:tl2br w:val="nil"/>
                    <w:tr2bl w:val="nil"/>
                  </w:tcBorders>
                  <w:noWrap w:val="0"/>
                  <w:vAlign w:val="center"/>
                </w:tcPr>
                <w:p w14:paraId="1F7008D5">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2761" w:type="dxa"/>
                  <w:tcBorders>
                    <w:tl2br w:val="nil"/>
                    <w:tr2bl w:val="nil"/>
                  </w:tcBorders>
                  <w:noWrap w:val="0"/>
                  <w:vAlign w:val="center"/>
                </w:tcPr>
                <w:p w14:paraId="1012BA3A">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应急检测、防护措施、清除泄漏措施和器材</w:t>
                  </w:r>
                </w:p>
              </w:tc>
              <w:tc>
                <w:tcPr>
                  <w:tcW w:w="4600" w:type="dxa"/>
                  <w:tcBorders>
                    <w:tl2br w:val="nil"/>
                    <w:tr2bl w:val="nil"/>
                  </w:tcBorders>
                  <w:noWrap w:val="0"/>
                  <w:vAlign w:val="center"/>
                </w:tcPr>
                <w:p w14:paraId="74EC5628">
                  <w:pPr>
                    <w:autoSpaceDE w:val="0"/>
                    <w:autoSpaceDN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事故现场、邻近区域、控制防火区域，控制和清除污染措施及相应设备</w:t>
                  </w:r>
                </w:p>
              </w:tc>
            </w:tr>
            <w:tr w14:paraId="0C07F0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10" w:hRule="atLeast"/>
                <w:jc w:val="center"/>
              </w:trPr>
              <w:tc>
                <w:tcPr>
                  <w:tcW w:w="657" w:type="dxa"/>
                  <w:tcBorders>
                    <w:tl2br w:val="nil"/>
                    <w:tr2bl w:val="nil"/>
                  </w:tcBorders>
                  <w:noWrap w:val="0"/>
                  <w:vAlign w:val="center"/>
                </w:tcPr>
                <w:p w14:paraId="672B11D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2761" w:type="dxa"/>
                  <w:tcBorders>
                    <w:tl2br w:val="nil"/>
                    <w:tr2bl w:val="nil"/>
                  </w:tcBorders>
                  <w:noWrap w:val="0"/>
                  <w:vAlign w:val="center"/>
                </w:tcPr>
                <w:p w14:paraId="72D9F10D">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人员紧急撤离、疏散，应急剂量控制、撤离组织计划</w:t>
                  </w:r>
                </w:p>
              </w:tc>
              <w:tc>
                <w:tcPr>
                  <w:tcW w:w="4600" w:type="dxa"/>
                  <w:tcBorders>
                    <w:tl2br w:val="nil"/>
                    <w:tr2bl w:val="nil"/>
                  </w:tcBorders>
                  <w:noWrap w:val="0"/>
                  <w:vAlign w:val="center"/>
                </w:tcPr>
                <w:p w14:paraId="4EC08D61">
                  <w:pPr>
                    <w:autoSpaceDE w:val="0"/>
                    <w:autoSpaceDN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事故现场、工厂邻近区、受事故影响的区域人员及公众对毒物应急剂量控制规定，撤离组织计划及救护，医疗救护与公众健康</w:t>
                  </w:r>
                </w:p>
              </w:tc>
            </w:tr>
            <w:tr w14:paraId="41EFC2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8" w:hRule="atLeast"/>
                <w:jc w:val="center"/>
              </w:trPr>
              <w:tc>
                <w:tcPr>
                  <w:tcW w:w="657" w:type="dxa"/>
                  <w:tcBorders>
                    <w:tl2br w:val="nil"/>
                    <w:tr2bl w:val="nil"/>
                  </w:tcBorders>
                  <w:noWrap w:val="0"/>
                  <w:vAlign w:val="center"/>
                </w:tcPr>
                <w:p w14:paraId="0E5D2619">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w:t>
                  </w:r>
                </w:p>
              </w:tc>
              <w:tc>
                <w:tcPr>
                  <w:tcW w:w="2761" w:type="dxa"/>
                  <w:tcBorders>
                    <w:tl2br w:val="nil"/>
                    <w:tr2bl w:val="nil"/>
                  </w:tcBorders>
                  <w:noWrap w:val="0"/>
                  <w:vAlign w:val="center"/>
                </w:tcPr>
                <w:p w14:paraId="4AB1D76C">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事故应急救援关闭程序与恢复措施</w:t>
                  </w:r>
                </w:p>
              </w:tc>
              <w:tc>
                <w:tcPr>
                  <w:tcW w:w="4600" w:type="dxa"/>
                  <w:tcBorders>
                    <w:tl2br w:val="nil"/>
                    <w:tr2bl w:val="nil"/>
                  </w:tcBorders>
                  <w:noWrap w:val="0"/>
                  <w:vAlign w:val="center"/>
                </w:tcPr>
                <w:p w14:paraId="3C84351A">
                  <w:pPr>
                    <w:autoSpaceDE w:val="0"/>
                    <w:autoSpaceDN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规定应急状态终止程序故现场善后处理，恢复措施邻近区域解除事故警戒及善后恢复措施</w:t>
                  </w:r>
                </w:p>
              </w:tc>
            </w:tr>
            <w:tr w14:paraId="20F9B6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657" w:type="dxa"/>
                  <w:tcBorders>
                    <w:tl2br w:val="nil"/>
                    <w:tr2bl w:val="nil"/>
                  </w:tcBorders>
                  <w:noWrap w:val="0"/>
                  <w:vAlign w:val="center"/>
                </w:tcPr>
                <w:p w14:paraId="493B83B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2761" w:type="dxa"/>
                  <w:tcBorders>
                    <w:tl2br w:val="nil"/>
                    <w:tr2bl w:val="nil"/>
                  </w:tcBorders>
                  <w:noWrap w:val="0"/>
                  <w:vAlign w:val="center"/>
                </w:tcPr>
                <w:p w14:paraId="10746B5F">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应急培训计划</w:t>
                  </w:r>
                </w:p>
              </w:tc>
              <w:tc>
                <w:tcPr>
                  <w:tcW w:w="4600" w:type="dxa"/>
                  <w:tcBorders>
                    <w:tl2br w:val="nil"/>
                    <w:tr2bl w:val="nil"/>
                  </w:tcBorders>
                  <w:noWrap w:val="0"/>
                  <w:vAlign w:val="center"/>
                </w:tcPr>
                <w:p w14:paraId="4A9F92F3">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应急计划制定后，平时安排人员培训与演练</w:t>
                  </w:r>
                </w:p>
              </w:tc>
            </w:tr>
            <w:tr w14:paraId="401407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73" w:hRule="atLeast"/>
                <w:jc w:val="center"/>
              </w:trPr>
              <w:tc>
                <w:tcPr>
                  <w:tcW w:w="657" w:type="dxa"/>
                  <w:tcBorders>
                    <w:tl2br w:val="nil"/>
                    <w:tr2bl w:val="nil"/>
                  </w:tcBorders>
                  <w:noWrap w:val="0"/>
                  <w:vAlign w:val="center"/>
                </w:tcPr>
                <w:p w14:paraId="1F5C1450">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w:t>
                  </w:r>
                </w:p>
              </w:tc>
              <w:tc>
                <w:tcPr>
                  <w:tcW w:w="2761" w:type="dxa"/>
                  <w:tcBorders>
                    <w:tl2br w:val="nil"/>
                    <w:tr2bl w:val="nil"/>
                  </w:tcBorders>
                  <w:noWrap w:val="0"/>
                  <w:vAlign w:val="center"/>
                </w:tcPr>
                <w:p w14:paraId="4240174A">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公众教育和信息</w:t>
                  </w:r>
                </w:p>
              </w:tc>
              <w:tc>
                <w:tcPr>
                  <w:tcW w:w="4600" w:type="dxa"/>
                  <w:tcBorders>
                    <w:tl2br w:val="nil"/>
                    <w:tr2bl w:val="nil"/>
                  </w:tcBorders>
                  <w:noWrap w:val="0"/>
                  <w:vAlign w:val="center"/>
                </w:tcPr>
                <w:p w14:paraId="5A453E16">
                  <w:pPr>
                    <w:autoSpaceDE w:val="0"/>
                    <w:autoSpaceDN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对工厂邻近地区开展公众教育、培训和发布有关信息</w:t>
                  </w:r>
                </w:p>
              </w:tc>
            </w:tr>
          </w:tbl>
          <w:p w14:paraId="453D4A84">
            <w:pPr>
              <w:pStyle w:val="11"/>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经以上分析可知，本项目运营期的环境风险在采取相应防范措施的基础上可将风险事故造成的危害降至最低，根据《建设项目环境风险评价技术导则》(HJ169-2018)的要求，本项目的风险可控。</w:t>
            </w:r>
          </w:p>
          <w:p w14:paraId="0AF7C338">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eastAsia" w:cs="Times New Roman"/>
                <w:b/>
                <w:color w:val="auto"/>
                <w:sz w:val="24"/>
                <w:highlight w:val="none"/>
                <w:lang w:val="en-US" w:eastAsia="zh-CN"/>
              </w:rPr>
            </w:pPr>
            <w:r>
              <w:rPr>
                <w:rFonts w:hint="eastAsia" w:cs="Times New Roman"/>
                <w:b/>
                <w:color w:val="auto"/>
                <w:sz w:val="24"/>
                <w:highlight w:val="none"/>
                <w:lang w:val="en-US" w:eastAsia="zh-CN"/>
              </w:rPr>
              <w:t>八、环境管理与环境监测计划</w:t>
            </w:r>
          </w:p>
          <w:p w14:paraId="48739DE2">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1、环境管理要求</w:t>
            </w:r>
          </w:p>
          <w:p w14:paraId="74D6A13F">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建设单位应设置专门或兼职的环保管理部门，管理人员至少1人，负责本项目的环境管理工作。主要职责：</w:t>
            </w:r>
          </w:p>
          <w:p w14:paraId="1A43FE67">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（1）贯彻执行环境保护法规和标准；</w:t>
            </w:r>
          </w:p>
          <w:p w14:paraId="336767A1">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（2）组织制定和修改本项目环境保护管理规章制度，监督各组执行情况；</w:t>
            </w:r>
          </w:p>
          <w:p w14:paraId="331C4BFE">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（3）编制并组织实施环境保护规划和计划；</w:t>
            </w:r>
          </w:p>
          <w:p w14:paraId="3CF09F2B">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（4）定期检查项目环境保护设施，保证设备正常运行；</w:t>
            </w:r>
          </w:p>
          <w:p w14:paraId="3E2B3570">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（5）组织开展本企业的环境保护专业技术培训，搞好环境保护教育和宣传，提高职工的环境保护意识。</w:t>
            </w:r>
          </w:p>
          <w:p w14:paraId="5581C2D2">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2、环境监测要求</w:t>
            </w:r>
          </w:p>
          <w:p w14:paraId="32EA8C32">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本项目燃生物质专用锅炉通过烟囱排放锅炉烟气及生产过程中产生的非甲烷总烃，废气中主要污染物为颗粒物、二氧化硫、氮氧化物、非甲烷总烃，企业应按照《排污单位自行监测技术指南火力发电及锅炉》（HJ820-2017）、</w:t>
            </w:r>
            <w:r>
              <w:rPr>
                <w:rFonts w:hint="default"/>
                <w:bCs/>
                <w:snapToGrid w:val="0"/>
                <w:color w:val="auto"/>
                <w:kern w:val="0"/>
                <w:sz w:val="24"/>
                <w:szCs w:val="24"/>
                <w:lang w:val="en-US" w:eastAsia="zh-CN"/>
              </w:rPr>
              <w:t>《排污单位自行监测技术指南人造板工业》（HJ 1206-2021）</w:t>
            </w:r>
            <w:r>
              <w:rPr>
                <w:rFonts w:hint="eastAsia" w:cs="Times New Roman"/>
                <w:b w:val="0"/>
                <w:bCs/>
                <w:color w:val="auto"/>
                <w:sz w:val="24"/>
                <w:highlight w:val="none"/>
                <w:lang w:val="en-US" w:eastAsia="zh-CN"/>
              </w:rPr>
              <w:t>及开展自行监测并将监测结果公开。</w:t>
            </w:r>
          </w:p>
          <w:p w14:paraId="3E9D881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cs="Times New Roman"/>
                <w:b w:val="0"/>
                <w:bCs/>
                <w:color w:val="auto"/>
                <w:sz w:val="24"/>
                <w:highlight w:val="none"/>
                <w:lang w:val="en-US" w:eastAsia="zh-CN"/>
              </w:rPr>
            </w:pPr>
            <w:r>
              <w:rPr>
                <w:rFonts w:hint="eastAsia" w:cs="Times New Roman"/>
                <w:b w:val="0"/>
                <w:bCs/>
                <w:color w:val="auto"/>
                <w:sz w:val="24"/>
                <w:highlight w:val="none"/>
                <w:lang w:val="en-US" w:eastAsia="zh-CN"/>
              </w:rPr>
              <w:t>监测计划见各源强计算部分。</w:t>
            </w:r>
          </w:p>
          <w:p w14:paraId="75517DB1">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b/>
                <w:color w:val="auto"/>
                <w:sz w:val="24"/>
                <w:highlight w:val="none"/>
              </w:rPr>
            </w:pPr>
            <w:r>
              <w:rPr>
                <w:rFonts w:hint="eastAsia" w:cs="Times New Roman"/>
                <w:b/>
                <w:color w:val="auto"/>
                <w:sz w:val="24"/>
                <w:highlight w:val="none"/>
                <w:lang w:val="en-US" w:eastAsia="zh-CN"/>
              </w:rPr>
              <w:t>九</w:t>
            </w:r>
            <w:r>
              <w:rPr>
                <w:rFonts w:hint="default" w:ascii="Times New Roman" w:hAnsi="Times New Roman" w:cs="Times New Roman"/>
                <w:b/>
                <w:color w:val="auto"/>
                <w:sz w:val="24"/>
                <w:highlight w:val="none"/>
              </w:rPr>
              <w:t>、环保投资估算</w:t>
            </w:r>
          </w:p>
          <w:p w14:paraId="781ACB6C">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本项目总投资为</w:t>
            </w:r>
            <w:r>
              <w:rPr>
                <w:rFonts w:hint="eastAsia"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00</w:t>
            </w:r>
            <w:r>
              <w:rPr>
                <w:rFonts w:hint="default" w:ascii="Times New Roman" w:hAnsi="Times New Roman" w:cs="Times New Roman"/>
                <w:color w:val="auto"/>
                <w:sz w:val="24"/>
                <w:highlight w:val="none"/>
              </w:rPr>
              <w:t>万元，其中环保投资为</w:t>
            </w:r>
            <w:r>
              <w:rPr>
                <w:rFonts w:hint="eastAsia" w:cs="Times New Roman"/>
                <w:color w:val="auto"/>
                <w:sz w:val="24"/>
                <w:highlight w:val="none"/>
                <w:lang w:val="en-US" w:eastAsia="zh-CN"/>
              </w:rPr>
              <w:t>27</w:t>
            </w:r>
            <w:r>
              <w:rPr>
                <w:rFonts w:hint="default" w:ascii="Times New Roman" w:hAnsi="Times New Roman" w:cs="Times New Roman"/>
                <w:color w:val="auto"/>
                <w:sz w:val="24"/>
                <w:highlight w:val="none"/>
              </w:rPr>
              <w:t>万元，占总投资的</w:t>
            </w:r>
            <w:r>
              <w:rPr>
                <w:rFonts w:hint="eastAsia" w:cs="Times New Roman"/>
                <w:color w:val="auto"/>
                <w:sz w:val="24"/>
                <w:highlight w:val="none"/>
                <w:lang w:val="en-US" w:eastAsia="zh-CN"/>
              </w:rPr>
              <w:t>13.5</w:t>
            </w:r>
            <w:r>
              <w:rPr>
                <w:rFonts w:hint="default" w:ascii="Times New Roman" w:hAnsi="Times New Roman" w:cs="Times New Roman"/>
                <w:color w:val="auto"/>
                <w:sz w:val="24"/>
                <w:highlight w:val="none"/>
              </w:rPr>
              <w:t>%，本项目环保投资一览表如下：</w:t>
            </w:r>
          </w:p>
          <w:p w14:paraId="1C31269F">
            <w:pPr>
              <w:spacing w:line="500" w:lineRule="exact"/>
              <w:jc w:val="center"/>
              <w:rPr>
                <w:rFonts w:hint="default" w:ascii="宋体" w:hAnsi="宋体" w:eastAsia="宋体" w:cs="宋体"/>
                <w:b/>
                <w:bCs w:val="0"/>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w:t>
            </w:r>
            <w:r>
              <w:rPr>
                <w:rFonts w:hint="eastAsia" w:cs="Times New Roman"/>
                <w:b/>
                <w:bCs/>
                <w:color w:val="auto"/>
                <w:sz w:val="24"/>
                <w:szCs w:val="24"/>
                <w:highlight w:val="none"/>
                <w:lang w:val="en-US" w:eastAsia="zh-CN"/>
              </w:rPr>
              <w:t xml:space="preserve">20  </w:t>
            </w:r>
            <w:r>
              <w:rPr>
                <w:rFonts w:hint="eastAsia" w:ascii="Times New Roman" w:hAnsi="Times New Roman" w:eastAsia="宋体" w:cs="Times New Roman"/>
                <w:b/>
                <w:bCs/>
                <w:color w:val="auto"/>
                <w:sz w:val="24"/>
                <w:szCs w:val="24"/>
                <w:highlight w:val="none"/>
                <w:lang w:val="en-US" w:eastAsia="zh-CN"/>
              </w:rPr>
              <w:t>本项目</w:t>
            </w:r>
            <w:r>
              <w:rPr>
                <w:rFonts w:hint="default" w:ascii="Times New Roman" w:hAnsi="Times New Roman" w:eastAsia="宋体" w:cs="Times New Roman"/>
                <w:b/>
                <w:bCs/>
                <w:color w:val="auto"/>
                <w:sz w:val="24"/>
                <w:szCs w:val="24"/>
                <w:highlight w:val="none"/>
                <w:lang w:val="en-US" w:eastAsia="zh-CN"/>
              </w:rPr>
              <w:t>环保投资一览表</w:t>
            </w:r>
          </w:p>
          <w:tbl>
            <w:tblPr>
              <w:tblStyle w:val="3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3"/>
              <w:gridCol w:w="1145"/>
              <w:gridCol w:w="1942"/>
              <w:gridCol w:w="3234"/>
              <w:gridCol w:w="966"/>
            </w:tblGrid>
            <w:tr w14:paraId="5A62B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tcBorders>
                    <w:tl2br w:val="nil"/>
                    <w:tr2bl w:val="nil"/>
                  </w:tcBorders>
                  <w:noWrap w:val="0"/>
                  <w:vAlign w:val="center"/>
                </w:tcPr>
                <w:p w14:paraId="55F3F2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时段</w:t>
                  </w:r>
                </w:p>
              </w:tc>
              <w:tc>
                <w:tcPr>
                  <w:tcW w:w="721" w:type="pct"/>
                  <w:tcBorders>
                    <w:tl2br w:val="nil"/>
                    <w:tr2bl w:val="nil"/>
                  </w:tcBorders>
                  <w:noWrap w:val="0"/>
                  <w:vAlign w:val="center"/>
                </w:tcPr>
                <w:p w14:paraId="2A52B2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环境要素</w:t>
                  </w:r>
                </w:p>
              </w:tc>
              <w:tc>
                <w:tcPr>
                  <w:tcW w:w="1222" w:type="pct"/>
                  <w:tcBorders>
                    <w:tl2br w:val="nil"/>
                    <w:tr2bl w:val="nil"/>
                  </w:tcBorders>
                  <w:noWrap w:val="0"/>
                  <w:vAlign w:val="center"/>
                </w:tcPr>
                <w:p w14:paraId="6B4192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治理对象</w:t>
                  </w:r>
                </w:p>
              </w:tc>
              <w:tc>
                <w:tcPr>
                  <w:tcW w:w="2036" w:type="pct"/>
                  <w:tcBorders>
                    <w:tl2br w:val="nil"/>
                    <w:tr2bl w:val="nil"/>
                  </w:tcBorders>
                  <w:noWrap w:val="0"/>
                  <w:vAlign w:val="center"/>
                </w:tcPr>
                <w:p w14:paraId="257582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环保措施</w:t>
                  </w:r>
                </w:p>
              </w:tc>
              <w:tc>
                <w:tcPr>
                  <w:tcW w:w="608" w:type="pct"/>
                  <w:tcBorders>
                    <w:tl2br w:val="nil"/>
                    <w:tr2bl w:val="nil"/>
                  </w:tcBorders>
                  <w:noWrap w:val="0"/>
                  <w:vAlign w:val="center"/>
                </w:tcPr>
                <w:p w14:paraId="4E033C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投资</w:t>
                  </w:r>
                </w:p>
              </w:tc>
            </w:tr>
            <w:tr w14:paraId="00871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tcBorders>
                    <w:tl2br w:val="nil"/>
                    <w:tr2bl w:val="nil"/>
                  </w:tcBorders>
                  <w:noWrap w:val="0"/>
                  <w:vAlign w:val="center"/>
                </w:tcPr>
                <w:p w14:paraId="405145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运</w:t>
                  </w:r>
                </w:p>
                <w:p w14:paraId="12DAC0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营</w:t>
                  </w:r>
                </w:p>
                <w:p w14:paraId="16BEFC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期</w:t>
                  </w:r>
                </w:p>
              </w:tc>
              <w:tc>
                <w:tcPr>
                  <w:tcW w:w="721" w:type="pct"/>
                  <w:vMerge w:val="restart"/>
                  <w:tcBorders>
                    <w:tl2br w:val="nil"/>
                    <w:tr2bl w:val="nil"/>
                  </w:tcBorders>
                  <w:noWrap w:val="0"/>
                  <w:vAlign w:val="center"/>
                </w:tcPr>
                <w:p w14:paraId="7259D7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环境空气</w:t>
                  </w:r>
                </w:p>
              </w:tc>
              <w:tc>
                <w:tcPr>
                  <w:tcW w:w="1222" w:type="pct"/>
                  <w:tcBorders>
                    <w:tl2br w:val="nil"/>
                    <w:tr2bl w:val="nil"/>
                  </w:tcBorders>
                  <w:noWrap w:val="0"/>
                  <w:vAlign w:val="center"/>
                </w:tcPr>
                <w:p w14:paraId="07F37A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锅炉烟气</w:t>
                  </w:r>
                </w:p>
              </w:tc>
              <w:tc>
                <w:tcPr>
                  <w:tcW w:w="2036" w:type="pct"/>
                  <w:tcBorders>
                    <w:tl2br w:val="nil"/>
                    <w:tr2bl w:val="nil"/>
                  </w:tcBorders>
                  <w:noWrap w:val="0"/>
                  <w:vAlign w:val="center"/>
                </w:tcPr>
                <w:p w14:paraId="1A703B9E">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集气罩+</w:t>
                  </w:r>
                  <w:r>
                    <w:rPr>
                      <w:rFonts w:hint="eastAsia" w:ascii="Times New Roman" w:hAnsi="Times New Roman" w:cs="Times New Roman"/>
                      <w:color w:val="auto"/>
                      <w:sz w:val="21"/>
                      <w:szCs w:val="21"/>
                      <w:highlight w:val="none"/>
                      <w:lang w:val="en-US" w:eastAsia="zh-CN"/>
                    </w:rPr>
                    <w:t>布</w:t>
                  </w:r>
                  <w:r>
                    <w:rPr>
                      <w:rFonts w:hint="default" w:ascii="Times New Roman" w:hAnsi="Times New Roman" w:cs="Times New Roman"/>
                      <w:color w:val="auto"/>
                      <w:sz w:val="21"/>
                      <w:szCs w:val="21"/>
                      <w:highlight w:val="none"/>
                    </w:rPr>
                    <w:t>袋除尘器</w:t>
                  </w:r>
                  <w:r>
                    <w:rPr>
                      <w:rFonts w:hint="eastAsia" w:cs="Times New Roman"/>
                      <w:color w:val="auto"/>
                      <w:sz w:val="21"/>
                      <w:szCs w:val="21"/>
                      <w:highlight w:val="none"/>
                      <w:lang w:val="en-US" w:eastAsia="zh-CN"/>
                    </w:rPr>
                    <w:t>+30m排气筒</w:t>
                  </w:r>
                </w:p>
              </w:tc>
              <w:tc>
                <w:tcPr>
                  <w:tcW w:w="608" w:type="pct"/>
                  <w:tcBorders>
                    <w:tl2br w:val="nil"/>
                    <w:tr2bl w:val="nil"/>
                  </w:tcBorders>
                  <w:noWrap w:val="0"/>
                  <w:vAlign w:val="center"/>
                </w:tcPr>
                <w:p w14:paraId="2678C11F">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8</w:t>
                  </w:r>
                </w:p>
              </w:tc>
            </w:tr>
            <w:tr w14:paraId="5FDDE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6869AB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721" w:type="pct"/>
                  <w:vMerge w:val="continue"/>
                  <w:tcBorders>
                    <w:tl2br w:val="nil"/>
                    <w:tr2bl w:val="nil"/>
                  </w:tcBorders>
                  <w:noWrap w:val="0"/>
                  <w:vAlign w:val="center"/>
                </w:tcPr>
                <w:p w14:paraId="717F4B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1222" w:type="pct"/>
                  <w:tcBorders>
                    <w:tl2br w:val="nil"/>
                    <w:tr2bl w:val="nil"/>
                  </w:tcBorders>
                  <w:noWrap w:val="0"/>
                  <w:vAlign w:val="center"/>
                </w:tcPr>
                <w:p w14:paraId="267D79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非甲烷总烃</w:t>
                  </w:r>
                </w:p>
              </w:tc>
              <w:tc>
                <w:tcPr>
                  <w:tcW w:w="2036" w:type="pct"/>
                  <w:tcBorders>
                    <w:tl2br w:val="nil"/>
                    <w:tr2bl w:val="nil"/>
                  </w:tcBorders>
                  <w:noWrap w:val="0"/>
                  <w:vAlign w:val="center"/>
                </w:tcPr>
                <w:p w14:paraId="0E7178B3">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活性炭吸附+15m排气筒</w:t>
                  </w:r>
                </w:p>
              </w:tc>
              <w:tc>
                <w:tcPr>
                  <w:tcW w:w="608" w:type="pct"/>
                  <w:tcBorders>
                    <w:tl2br w:val="nil"/>
                    <w:tr2bl w:val="nil"/>
                  </w:tcBorders>
                  <w:noWrap w:val="0"/>
                  <w:vAlign w:val="center"/>
                </w:tcPr>
                <w:p w14:paraId="349A7D37">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r>
            <w:tr w14:paraId="57BF7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088FE2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721" w:type="pct"/>
                  <w:vMerge w:val="continue"/>
                  <w:tcBorders>
                    <w:tl2br w:val="nil"/>
                    <w:tr2bl w:val="nil"/>
                  </w:tcBorders>
                  <w:noWrap w:val="0"/>
                  <w:vAlign w:val="center"/>
                </w:tcPr>
                <w:p w14:paraId="13A75A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1222" w:type="pct"/>
                  <w:tcBorders>
                    <w:tl2br w:val="nil"/>
                    <w:tr2bl w:val="nil"/>
                  </w:tcBorders>
                  <w:noWrap w:val="0"/>
                  <w:vAlign w:val="center"/>
                </w:tcPr>
                <w:p w14:paraId="1FEDA2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颗粒物</w:t>
                  </w:r>
                </w:p>
              </w:tc>
              <w:tc>
                <w:tcPr>
                  <w:tcW w:w="2036" w:type="pct"/>
                  <w:tcBorders>
                    <w:tl2br w:val="nil"/>
                    <w:tr2bl w:val="nil"/>
                  </w:tcBorders>
                  <w:noWrap w:val="0"/>
                  <w:vAlign w:val="center"/>
                </w:tcPr>
                <w:p w14:paraId="1F700DB6">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集气罩+旋风除尘器</w:t>
                  </w:r>
                </w:p>
              </w:tc>
              <w:tc>
                <w:tcPr>
                  <w:tcW w:w="608" w:type="pct"/>
                  <w:tcBorders>
                    <w:tl2br w:val="nil"/>
                    <w:tr2bl w:val="nil"/>
                  </w:tcBorders>
                  <w:noWrap w:val="0"/>
                  <w:vAlign w:val="center"/>
                </w:tcPr>
                <w:p w14:paraId="7F685AE5">
                  <w:pPr>
                    <w:keepNext w:val="0"/>
                    <w:keepLines w:val="0"/>
                    <w:pageBreakBefore w:val="0"/>
                    <w:widowControl w:val="0"/>
                    <w:kinsoku/>
                    <w:wordWrap/>
                    <w:overflowPunct/>
                    <w:topLinePunct w:val="0"/>
                    <w:autoSpaceDE/>
                    <w:autoSpaceDN/>
                    <w:bidi w:val="0"/>
                    <w:adjustRightInd w:val="0"/>
                    <w:snapToGrid w:val="0"/>
                    <w:spacing w:line="240" w:lineRule="auto"/>
                    <w:jc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r>
            <w:tr w14:paraId="22E91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5BB000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721" w:type="pct"/>
                  <w:tcBorders>
                    <w:tl2br w:val="nil"/>
                    <w:tr2bl w:val="nil"/>
                  </w:tcBorders>
                  <w:noWrap w:val="0"/>
                  <w:vAlign w:val="center"/>
                </w:tcPr>
                <w:p w14:paraId="577164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噪声</w:t>
                  </w:r>
                </w:p>
              </w:tc>
              <w:tc>
                <w:tcPr>
                  <w:tcW w:w="1222" w:type="pct"/>
                  <w:tcBorders>
                    <w:tl2br w:val="nil"/>
                    <w:tr2bl w:val="nil"/>
                  </w:tcBorders>
                  <w:noWrap w:val="0"/>
                  <w:vAlign w:val="center"/>
                </w:tcPr>
                <w:p w14:paraId="221E60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设备噪声</w:t>
                  </w:r>
                </w:p>
              </w:tc>
              <w:tc>
                <w:tcPr>
                  <w:tcW w:w="2036" w:type="pct"/>
                  <w:tcBorders>
                    <w:tl2br w:val="nil"/>
                    <w:tr2bl w:val="nil"/>
                  </w:tcBorders>
                  <w:noWrap w:val="0"/>
                  <w:vAlign w:val="center"/>
                </w:tcPr>
                <w:p w14:paraId="10C89B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隔振、隔声</w:t>
                  </w:r>
                </w:p>
              </w:tc>
              <w:tc>
                <w:tcPr>
                  <w:tcW w:w="608" w:type="pct"/>
                  <w:tcBorders>
                    <w:tl2br w:val="nil"/>
                    <w:tr2bl w:val="nil"/>
                  </w:tcBorders>
                  <w:noWrap w:val="0"/>
                  <w:vAlign w:val="center"/>
                </w:tcPr>
                <w:p w14:paraId="7F3052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w:t>
                  </w:r>
                </w:p>
              </w:tc>
            </w:tr>
            <w:tr w14:paraId="0A9297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1DC6C4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721" w:type="pct"/>
                  <w:tcBorders>
                    <w:tl2br w:val="nil"/>
                    <w:tr2bl w:val="nil"/>
                  </w:tcBorders>
                  <w:noWrap w:val="0"/>
                  <w:vAlign w:val="center"/>
                </w:tcPr>
                <w:p w14:paraId="41342D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固废</w:t>
                  </w:r>
                </w:p>
              </w:tc>
              <w:tc>
                <w:tcPr>
                  <w:tcW w:w="1222" w:type="pct"/>
                  <w:tcBorders>
                    <w:tl2br w:val="nil"/>
                    <w:tr2bl w:val="nil"/>
                  </w:tcBorders>
                  <w:noWrap w:val="0"/>
                  <w:vAlign w:val="center"/>
                </w:tcPr>
                <w:p w14:paraId="3F25F4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eastAsia" w:ascii="Times New Roman" w:hAnsi="Times New Roman" w:eastAsia="宋体" w:cs="Times New Roman"/>
                      <w:color w:val="auto"/>
                      <w:highlight w:val="none"/>
                      <w:lang w:eastAsia="zh-CN"/>
                    </w:rPr>
                  </w:pPr>
                  <w:r>
                    <w:rPr>
                      <w:rFonts w:hint="eastAsia" w:cs="Times New Roman"/>
                      <w:bCs/>
                      <w:color w:val="auto"/>
                      <w:sz w:val="21"/>
                      <w:szCs w:val="21"/>
                      <w:highlight w:val="none"/>
                      <w:lang w:val="en-US" w:eastAsia="zh-CN"/>
                    </w:rPr>
                    <w:t>固废</w:t>
                  </w:r>
                </w:p>
              </w:tc>
              <w:tc>
                <w:tcPr>
                  <w:tcW w:w="2036" w:type="pct"/>
                  <w:tcBorders>
                    <w:tl2br w:val="nil"/>
                    <w:tr2bl w:val="nil"/>
                  </w:tcBorders>
                  <w:noWrap w:val="0"/>
                  <w:vAlign w:val="center"/>
                </w:tcPr>
                <w:p w14:paraId="13E0E7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生活垃圾收集箱</w:t>
                  </w:r>
                  <w:r>
                    <w:rPr>
                      <w:rFonts w:hint="eastAsia" w:cs="Times New Roman"/>
                      <w:bCs/>
                      <w:color w:val="auto"/>
                      <w:sz w:val="21"/>
                      <w:szCs w:val="21"/>
                      <w:highlight w:val="none"/>
                      <w:lang w:val="en-US" w:eastAsia="zh-CN"/>
                    </w:rPr>
                    <w:t>、收纳桶、危险废物贮存库</w:t>
                  </w:r>
                </w:p>
              </w:tc>
              <w:tc>
                <w:tcPr>
                  <w:tcW w:w="608" w:type="pct"/>
                  <w:tcBorders>
                    <w:tl2br w:val="nil"/>
                    <w:tr2bl w:val="nil"/>
                  </w:tcBorders>
                  <w:noWrap w:val="0"/>
                  <w:vAlign w:val="center"/>
                </w:tcPr>
                <w:p w14:paraId="1AEF6D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w:t>
                  </w:r>
                </w:p>
              </w:tc>
            </w:tr>
            <w:tr w14:paraId="07515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65745E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3980" w:type="pct"/>
                  <w:gridSpan w:val="3"/>
                  <w:tcBorders>
                    <w:tl2br w:val="nil"/>
                    <w:tr2bl w:val="nil"/>
                  </w:tcBorders>
                  <w:noWrap w:val="0"/>
                  <w:vAlign w:val="center"/>
                </w:tcPr>
                <w:p w14:paraId="1C598E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环保管理</w:t>
                  </w:r>
                  <w:r>
                    <w:rPr>
                      <w:rFonts w:hint="eastAsia" w:cs="Times New Roman"/>
                      <w:bCs/>
                      <w:color w:val="auto"/>
                      <w:sz w:val="21"/>
                      <w:szCs w:val="21"/>
                      <w:highlight w:val="none"/>
                      <w:lang w:val="en-US" w:eastAsia="zh-CN"/>
                    </w:rPr>
                    <w:t>与</w:t>
                  </w:r>
                  <w:r>
                    <w:rPr>
                      <w:rFonts w:hint="default" w:ascii="Times New Roman" w:hAnsi="Times New Roman" w:eastAsia="宋体" w:cs="Times New Roman"/>
                      <w:bCs/>
                      <w:color w:val="auto"/>
                      <w:sz w:val="21"/>
                      <w:szCs w:val="21"/>
                      <w:highlight w:val="none"/>
                      <w:lang w:val="en-US" w:eastAsia="zh-CN"/>
                    </w:rPr>
                    <w:t>监测</w:t>
                  </w:r>
                  <w:r>
                    <w:rPr>
                      <w:rFonts w:hint="eastAsia" w:cs="Times New Roman"/>
                      <w:bCs/>
                      <w:color w:val="auto"/>
                      <w:sz w:val="21"/>
                      <w:szCs w:val="21"/>
                      <w:highlight w:val="none"/>
                      <w:lang w:val="en-US" w:eastAsia="zh-CN"/>
                    </w:rPr>
                    <w:t>、运行及维护</w:t>
                  </w:r>
                </w:p>
              </w:tc>
              <w:tc>
                <w:tcPr>
                  <w:tcW w:w="608" w:type="pct"/>
                  <w:tcBorders>
                    <w:tl2br w:val="nil"/>
                    <w:tr2bl w:val="nil"/>
                  </w:tcBorders>
                  <w:noWrap w:val="0"/>
                  <w:vAlign w:val="center"/>
                </w:tcPr>
                <w:p w14:paraId="1DD826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2</w:t>
                  </w:r>
                </w:p>
              </w:tc>
            </w:tr>
            <w:tr w14:paraId="423F23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411" w:type="pct"/>
                  <w:vMerge w:val="continue"/>
                  <w:tcBorders>
                    <w:tl2br w:val="nil"/>
                    <w:tr2bl w:val="nil"/>
                  </w:tcBorders>
                  <w:noWrap w:val="0"/>
                  <w:vAlign w:val="center"/>
                </w:tcPr>
                <w:p w14:paraId="5BF6EF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3980" w:type="pct"/>
                  <w:gridSpan w:val="3"/>
                  <w:tcBorders>
                    <w:tl2br w:val="nil"/>
                    <w:tr2bl w:val="nil"/>
                  </w:tcBorders>
                  <w:noWrap w:val="0"/>
                  <w:vAlign w:val="center"/>
                </w:tcPr>
                <w:p w14:paraId="69B5A8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环保投资总计</w:t>
                  </w:r>
                </w:p>
              </w:tc>
              <w:tc>
                <w:tcPr>
                  <w:tcW w:w="608" w:type="pct"/>
                  <w:tcBorders>
                    <w:tl2br w:val="nil"/>
                    <w:tr2bl w:val="nil"/>
                  </w:tcBorders>
                  <w:noWrap w:val="0"/>
                  <w:vAlign w:val="center"/>
                </w:tcPr>
                <w:p w14:paraId="38DD1261">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27</w:t>
                  </w:r>
                </w:p>
              </w:tc>
            </w:tr>
            <w:tr w14:paraId="28CD1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22F4FC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3980" w:type="pct"/>
                  <w:gridSpan w:val="3"/>
                  <w:tcBorders>
                    <w:tl2br w:val="nil"/>
                    <w:tr2bl w:val="nil"/>
                  </w:tcBorders>
                  <w:noWrap w:val="0"/>
                  <w:vAlign w:val="center"/>
                </w:tcPr>
                <w:p w14:paraId="309B3E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项目总投资</w:t>
                  </w:r>
                </w:p>
              </w:tc>
              <w:tc>
                <w:tcPr>
                  <w:tcW w:w="608" w:type="pct"/>
                  <w:tcBorders>
                    <w:tl2br w:val="nil"/>
                    <w:tr2bl w:val="nil"/>
                  </w:tcBorders>
                  <w:noWrap w:val="0"/>
                  <w:vAlign w:val="center"/>
                </w:tcPr>
                <w:p w14:paraId="60D4B1A2">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200</w:t>
                  </w:r>
                </w:p>
              </w:tc>
            </w:tr>
            <w:tr w14:paraId="659E4E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229171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color w:val="auto"/>
                      <w:sz w:val="21"/>
                      <w:szCs w:val="21"/>
                      <w:highlight w:val="none"/>
                    </w:rPr>
                  </w:pPr>
                </w:p>
              </w:tc>
              <w:tc>
                <w:tcPr>
                  <w:tcW w:w="3980" w:type="pct"/>
                  <w:gridSpan w:val="3"/>
                  <w:tcBorders>
                    <w:tl2br w:val="nil"/>
                    <w:tr2bl w:val="nil"/>
                  </w:tcBorders>
                  <w:noWrap w:val="0"/>
                  <w:vAlign w:val="center"/>
                </w:tcPr>
                <w:p w14:paraId="7A2D0E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环保投资占总投资比例%</w:t>
                  </w:r>
                </w:p>
              </w:tc>
              <w:tc>
                <w:tcPr>
                  <w:tcW w:w="608" w:type="pct"/>
                  <w:tcBorders>
                    <w:tl2br w:val="nil"/>
                    <w:tr2bl w:val="nil"/>
                  </w:tcBorders>
                  <w:noWrap w:val="0"/>
                  <w:vAlign w:val="center"/>
                </w:tcPr>
                <w:p w14:paraId="74F69E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13.5</w:t>
                  </w:r>
                </w:p>
              </w:tc>
            </w:tr>
          </w:tbl>
          <w:p w14:paraId="615A9A5E">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eastAsia" w:ascii="Times New Roman" w:hAnsi="Times New Roman" w:eastAsia="宋体" w:cs="Times New Roman"/>
                <w:b/>
                <w:bCs w:val="0"/>
                <w:color w:val="auto"/>
                <w:sz w:val="24"/>
                <w:highlight w:val="none"/>
                <w:lang w:val="en-US" w:eastAsia="zh-CN"/>
              </w:rPr>
            </w:pPr>
            <w:r>
              <w:rPr>
                <w:rFonts w:hint="eastAsia" w:ascii="Times New Roman" w:hAnsi="Times New Roman" w:eastAsia="宋体" w:cs="Times New Roman"/>
                <w:b/>
                <w:bCs w:val="0"/>
                <w:color w:val="auto"/>
                <w:sz w:val="24"/>
                <w:highlight w:val="none"/>
                <w:lang w:val="en-US" w:eastAsia="zh-CN"/>
              </w:rPr>
              <w:t>十、与排污许可证的衔接</w:t>
            </w:r>
          </w:p>
          <w:p w14:paraId="50A34E03">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eastAsia="宋体" w:cs="Times New Roman"/>
                <w:b w:val="0"/>
                <w:bCs/>
                <w:color w:val="auto"/>
                <w:sz w:val="24"/>
                <w:highlight w:val="none"/>
                <w:lang w:val="en-US" w:eastAsia="zh-CN"/>
              </w:rPr>
            </w:pPr>
            <w:bookmarkStart w:id="28" w:name="_Toc22255"/>
            <w:r>
              <w:rPr>
                <w:rFonts w:hint="eastAsia" w:ascii="Times New Roman" w:hAnsi="Times New Roman" w:eastAsia="宋体" w:cs="Times New Roman"/>
                <w:b w:val="0"/>
                <w:bCs/>
                <w:color w:val="auto"/>
                <w:sz w:val="24"/>
                <w:highlight w:val="none"/>
                <w:lang w:val="en-US" w:eastAsia="zh-CN"/>
              </w:rPr>
              <w:t>依据《排污许可证管理办法》，</w:t>
            </w:r>
            <w:r>
              <w:rPr>
                <w:rFonts w:hint="default" w:ascii="Times New Roman" w:hAnsi="Times New Roman" w:eastAsia="宋体" w:cs="Times New Roman"/>
                <w:b w:val="0"/>
                <w:bCs/>
                <w:color w:val="auto"/>
                <w:sz w:val="24"/>
                <w:highlight w:val="none"/>
                <w:lang w:val="en-US" w:eastAsia="zh-CN"/>
              </w:rPr>
              <w:t>排污单位应当依法申请取得排污许可证</w:t>
            </w:r>
            <w:r>
              <w:rPr>
                <w:rFonts w:hint="eastAsia" w:ascii="Times New Roman" w:hAnsi="Times New Roman" w:eastAsia="宋体" w:cs="Times New Roman"/>
                <w:b w:val="0"/>
                <w:bCs/>
                <w:color w:val="auto"/>
                <w:sz w:val="24"/>
                <w:highlight w:val="none"/>
                <w:lang w:val="en-US" w:eastAsia="zh-CN"/>
              </w:rPr>
              <w:t>，本项目为热力生产与供应及人造板制造，依据《固定污染源排污许可分类管理名录（2021版）》，本项目属于通用工序中的锅炉及“十五、木材加工和木、竹、藤、棕、草制品业-32 人造板制造202，其他（年产10 万立方米以下的）”，属于登记管理，应在本项目通过后，</w:t>
            </w:r>
            <w:bookmarkEnd w:id="28"/>
            <w:r>
              <w:rPr>
                <w:rFonts w:hint="eastAsia" w:ascii="Times New Roman" w:hAnsi="Times New Roman" w:eastAsia="宋体" w:cs="Times New Roman"/>
                <w:b w:val="0"/>
                <w:bCs/>
                <w:color w:val="auto"/>
                <w:sz w:val="24"/>
                <w:highlight w:val="none"/>
                <w:lang w:val="en-US" w:eastAsia="zh-CN"/>
              </w:rPr>
              <w:t>建设单位应在产生实际排污行为前依法申报固定污染源登记。</w:t>
            </w:r>
          </w:p>
          <w:p w14:paraId="38045D0A">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eastAsia="宋体" w:cs="Times New Roman"/>
                <w:b w:val="0"/>
                <w:bCs/>
                <w:color w:val="auto"/>
                <w:sz w:val="24"/>
                <w:highlight w:val="none"/>
                <w:lang w:val="en-US" w:eastAsia="zh-CN"/>
              </w:rPr>
            </w:pPr>
          </w:p>
          <w:p w14:paraId="09F9907F">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eastAsia="宋体" w:cs="Times New Roman"/>
                <w:b w:val="0"/>
                <w:bCs/>
                <w:color w:val="auto"/>
                <w:sz w:val="24"/>
                <w:highlight w:val="none"/>
                <w:lang w:val="en-US" w:eastAsia="zh-CN"/>
              </w:rPr>
            </w:pPr>
          </w:p>
          <w:p w14:paraId="78437B71">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color w:val="auto"/>
                <w:sz w:val="24"/>
                <w:highlight w:val="none"/>
                <w:lang w:val="en-US" w:eastAsia="zh-CN"/>
              </w:rPr>
            </w:pPr>
          </w:p>
          <w:p w14:paraId="0A717BD7">
            <w:pPr>
              <w:pStyle w:val="11"/>
              <w:rPr>
                <w:rFonts w:hint="default"/>
              </w:rPr>
            </w:pPr>
          </w:p>
        </w:tc>
      </w:tr>
    </w:tbl>
    <w:p w14:paraId="517C3486">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BFA90C7">
      <w:pPr>
        <w:pStyle w:val="27"/>
        <w:jc w:val="center"/>
        <w:outlineLvl w:val="0"/>
        <w:rPr>
          <w:rFonts w:hint="default" w:ascii="Times New Roman" w:hAnsi="Times New Roman" w:eastAsia="黑体" w:cs="Times New Roman"/>
          <w:snapToGrid w:val="0"/>
          <w:color w:val="auto"/>
          <w:sz w:val="30"/>
          <w:szCs w:val="30"/>
          <w:highlight w:val="none"/>
        </w:rPr>
      </w:pPr>
      <w:bookmarkStart w:id="29" w:name="_Toc6042"/>
      <w:bookmarkStart w:id="30" w:name="_Toc2665"/>
      <w:r>
        <w:rPr>
          <w:rFonts w:hint="default" w:ascii="Times New Roman" w:hAnsi="Times New Roman" w:eastAsia="黑体" w:cs="Times New Roman"/>
          <w:snapToGrid w:val="0"/>
          <w:color w:val="auto"/>
          <w:sz w:val="30"/>
          <w:szCs w:val="30"/>
          <w:highlight w:val="none"/>
        </w:rPr>
        <w:t>五、</w:t>
      </w:r>
      <w:bookmarkStart w:id="31" w:name="_Hlk54167917"/>
      <w:r>
        <w:rPr>
          <w:rFonts w:hint="default" w:ascii="Times New Roman" w:hAnsi="Times New Roman" w:eastAsia="黑体" w:cs="Times New Roman"/>
          <w:snapToGrid w:val="0"/>
          <w:color w:val="auto"/>
          <w:sz w:val="30"/>
          <w:szCs w:val="30"/>
          <w:highlight w:val="none"/>
        </w:rPr>
        <w:t>环境保护措施监督检查清单</w:t>
      </w:r>
      <w:bookmarkEnd w:id="29"/>
      <w:bookmarkEnd w:id="30"/>
      <w:bookmarkEnd w:id="31"/>
    </w:p>
    <w:tbl>
      <w:tblPr>
        <w:tblStyle w:val="31"/>
        <w:tblW w:w="91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1486"/>
        <w:gridCol w:w="1486"/>
        <w:gridCol w:w="2395"/>
        <w:gridCol w:w="2686"/>
      </w:tblGrid>
      <w:tr w14:paraId="6D9E19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085" w:type="dxa"/>
            <w:tcBorders>
              <w:tl2br w:val="single" w:color="auto" w:sz="4" w:space="0"/>
            </w:tcBorders>
            <w:noWrap w:val="0"/>
            <w:vAlign w:val="top"/>
          </w:tcPr>
          <w:p w14:paraId="504EA472">
            <w:pPr>
              <w:keepNext w:val="0"/>
              <w:keepLines w:val="0"/>
              <w:pageBreakBefore w:val="0"/>
              <w:widowControl w:val="0"/>
              <w:kinsoku/>
              <w:wordWrap/>
              <w:overflowPunct/>
              <w:topLinePunct w:val="0"/>
              <w:autoSpaceDE/>
              <w:autoSpaceDN/>
              <w:bidi w:val="0"/>
              <w:adjustRightInd w:val="0"/>
              <w:snapToGrid w:val="0"/>
              <w:spacing w:line="240" w:lineRule="auto"/>
              <w:ind w:firstLine="0"/>
              <w:jc w:val="right"/>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p w14:paraId="6060AE98">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要素</w:t>
            </w:r>
          </w:p>
        </w:tc>
        <w:tc>
          <w:tcPr>
            <w:tcW w:w="1486" w:type="dxa"/>
            <w:noWrap w:val="0"/>
            <w:vAlign w:val="center"/>
          </w:tcPr>
          <w:p w14:paraId="4C21C55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排放口(编号、</w:t>
            </w:r>
          </w:p>
          <w:p w14:paraId="5F3E7FEF">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名称)/污染源</w:t>
            </w:r>
          </w:p>
        </w:tc>
        <w:tc>
          <w:tcPr>
            <w:tcW w:w="1486" w:type="dxa"/>
            <w:noWrap w:val="0"/>
            <w:vAlign w:val="center"/>
          </w:tcPr>
          <w:p w14:paraId="795C6F0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2395" w:type="dxa"/>
            <w:noWrap w:val="0"/>
            <w:vAlign w:val="center"/>
          </w:tcPr>
          <w:p w14:paraId="20BC1690">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2686" w:type="dxa"/>
            <w:noWrap w:val="0"/>
            <w:vAlign w:val="center"/>
          </w:tcPr>
          <w:p w14:paraId="6122307B">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14:paraId="50E2CB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6" w:hRule="atLeast"/>
          <w:jc w:val="center"/>
        </w:trPr>
        <w:tc>
          <w:tcPr>
            <w:tcW w:w="1085" w:type="dxa"/>
            <w:vMerge w:val="restart"/>
            <w:noWrap w:val="0"/>
            <w:vAlign w:val="center"/>
          </w:tcPr>
          <w:p w14:paraId="0A35D0F3">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1486" w:type="dxa"/>
            <w:shd w:val="clear" w:color="auto" w:fill="auto"/>
            <w:noWrap w:val="0"/>
            <w:vAlign w:val="center"/>
          </w:tcPr>
          <w:p w14:paraId="4B37B83E">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textAlignment w:val="auto"/>
              <w:rPr>
                <w:rFonts w:hint="eastAsia"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锅炉</w:t>
            </w:r>
            <w:r>
              <w:rPr>
                <w:rFonts w:hint="eastAsia" w:cs="Times New Roman"/>
                <w:color w:val="auto"/>
                <w:szCs w:val="21"/>
                <w:highlight w:val="none"/>
                <w:lang w:val="en-US" w:eastAsia="zh-CN"/>
              </w:rPr>
              <w:t>烟囱</w:t>
            </w:r>
            <w:r>
              <w:rPr>
                <w:rFonts w:hint="default" w:ascii="Times New Roman" w:hAnsi="Times New Roman" w:eastAsia="宋体" w:cs="Times New Roman"/>
                <w:snapToGrid w:val="0"/>
                <w:color w:val="auto"/>
                <w:kern w:val="0"/>
                <w:sz w:val="21"/>
                <w:szCs w:val="21"/>
                <w:highlight w:val="none"/>
                <w:lang w:val="en-US" w:eastAsia="zh-CN"/>
              </w:rPr>
              <w:t>（DA001）</w:t>
            </w:r>
          </w:p>
        </w:tc>
        <w:tc>
          <w:tcPr>
            <w:tcW w:w="1486" w:type="dxa"/>
            <w:shd w:val="clear" w:color="auto" w:fill="auto"/>
            <w:noWrap w:val="0"/>
            <w:vAlign w:val="center"/>
          </w:tcPr>
          <w:p w14:paraId="42FC352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颗粒物、二氧化硫、氮氧化物、林格曼黑度</w:t>
            </w:r>
          </w:p>
        </w:tc>
        <w:tc>
          <w:tcPr>
            <w:tcW w:w="2395" w:type="dxa"/>
            <w:shd w:val="clear" w:color="auto" w:fill="auto"/>
            <w:noWrap w:val="0"/>
            <w:vAlign w:val="center"/>
          </w:tcPr>
          <w:p w14:paraId="5286ED3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snapToGrid w:val="0"/>
                <w:color w:val="auto"/>
                <w:kern w:val="0"/>
                <w:sz w:val="21"/>
                <w:szCs w:val="21"/>
                <w:highlight w:val="none"/>
                <w:lang w:val="en-US" w:eastAsia="zh-CN"/>
              </w:rPr>
              <w:t>布袋除尘器</w:t>
            </w:r>
            <w:r>
              <w:rPr>
                <w:rFonts w:hint="default" w:ascii="Times New Roman" w:hAnsi="Times New Roman" w:eastAsia="宋体" w:cs="Times New Roman"/>
                <w:snapToGrid w:val="0"/>
                <w:color w:val="auto"/>
                <w:kern w:val="0"/>
                <w:sz w:val="21"/>
                <w:szCs w:val="21"/>
                <w:highlight w:val="none"/>
                <w:lang w:val="en-US" w:eastAsia="zh-CN"/>
              </w:rPr>
              <w:t>+</w:t>
            </w:r>
            <w:r>
              <w:rPr>
                <w:rFonts w:hint="eastAsia" w:cs="Times New Roman"/>
                <w:snapToGrid w:val="0"/>
                <w:color w:val="auto"/>
                <w:kern w:val="0"/>
                <w:sz w:val="21"/>
                <w:szCs w:val="21"/>
                <w:highlight w:val="none"/>
                <w:lang w:val="en-US" w:eastAsia="zh-CN"/>
              </w:rPr>
              <w:t>30</w:t>
            </w:r>
            <w:r>
              <w:rPr>
                <w:rFonts w:hint="default" w:ascii="Times New Roman" w:hAnsi="Times New Roman" w:eastAsia="宋体" w:cs="Times New Roman"/>
                <w:snapToGrid w:val="0"/>
                <w:color w:val="auto"/>
                <w:kern w:val="0"/>
                <w:sz w:val="21"/>
                <w:szCs w:val="21"/>
                <w:highlight w:val="none"/>
                <w:lang w:val="en-US" w:eastAsia="zh-CN"/>
              </w:rPr>
              <w:t>m排气筒</w:t>
            </w:r>
          </w:p>
        </w:tc>
        <w:tc>
          <w:tcPr>
            <w:tcW w:w="2686" w:type="dxa"/>
            <w:shd w:val="clear" w:color="auto" w:fill="auto"/>
            <w:noWrap w:val="0"/>
            <w:vAlign w:val="center"/>
          </w:tcPr>
          <w:p w14:paraId="7B3E58C5">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textAlignment w:val="auto"/>
              <w:rPr>
                <w:rFonts w:hint="default" w:ascii="Times New Roman" w:hAnsi="Times New Roman" w:eastAsia="宋体" w:cs="Times New Roman"/>
                <w:iCs/>
                <w:color w:val="auto"/>
                <w:kern w:val="2"/>
                <w:sz w:val="21"/>
                <w:szCs w:val="24"/>
                <w:highlight w:val="none"/>
                <w:lang w:val="en-US" w:eastAsia="zh-CN" w:bidi="ar-SA"/>
              </w:rPr>
            </w:pPr>
            <w:r>
              <w:rPr>
                <w:rFonts w:hint="default" w:ascii="Times New Roman" w:hAnsi="Times New Roman" w:eastAsia="宋体" w:cs="Times New Roman"/>
                <w:color w:val="auto"/>
                <w:szCs w:val="24"/>
                <w:highlight w:val="none"/>
                <w:lang w:eastAsia="zh-CN"/>
              </w:rPr>
              <w:t>《锅炉大气污染物排放标准》（GB13271-2014）</w:t>
            </w:r>
            <w:r>
              <w:rPr>
                <w:rFonts w:hint="eastAsia" w:ascii="Times New Roman" w:hAnsi="Times New Roman" w:eastAsia="宋体" w:cs="Times New Roman"/>
                <w:color w:val="auto"/>
                <w:szCs w:val="24"/>
                <w:highlight w:val="none"/>
                <w:lang w:val="en-US" w:eastAsia="zh-CN"/>
              </w:rPr>
              <w:t>表2中排放限值</w:t>
            </w:r>
          </w:p>
        </w:tc>
      </w:tr>
      <w:tr w14:paraId="6017E5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6" w:hRule="atLeast"/>
          <w:jc w:val="center"/>
        </w:trPr>
        <w:tc>
          <w:tcPr>
            <w:tcW w:w="1085" w:type="dxa"/>
            <w:vMerge w:val="continue"/>
            <w:noWrap w:val="0"/>
            <w:vAlign w:val="center"/>
          </w:tcPr>
          <w:p w14:paraId="3556D3F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p>
        </w:tc>
        <w:tc>
          <w:tcPr>
            <w:tcW w:w="1486" w:type="dxa"/>
            <w:shd w:val="clear" w:color="auto" w:fill="auto"/>
            <w:noWrap w:val="0"/>
            <w:vAlign w:val="center"/>
          </w:tcPr>
          <w:p w14:paraId="380CEDF6">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textAlignment w:val="auto"/>
              <w:rPr>
                <w:rFonts w:hint="default" w:ascii="Times New Roman" w:hAnsi="Times New Roman" w:eastAsia="宋体" w:cs="Times New Roman"/>
                <w:iCs/>
                <w:color w:val="auto"/>
                <w:kern w:val="2"/>
                <w:sz w:val="21"/>
                <w:szCs w:val="21"/>
                <w:highlight w:val="none"/>
                <w:lang w:val="en-US" w:eastAsia="zh-CN" w:bidi="ar-SA"/>
              </w:rPr>
            </w:pPr>
            <w:r>
              <w:rPr>
                <w:rFonts w:hint="eastAsia" w:cs="Times New Roman"/>
                <w:color w:val="auto"/>
                <w:szCs w:val="21"/>
                <w:highlight w:val="none"/>
                <w:lang w:val="en-US" w:eastAsia="zh-CN"/>
              </w:rPr>
              <w:t>排气筒DA002</w:t>
            </w:r>
          </w:p>
        </w:tc>
        <w:tc>
          <w:tcPr>
            <w:tcW w:w="1486" w:type="dxa"/>
            <w:shd w:val="clear" w:color="auto" w:fill="auto"/>
            <w:noWrap w:val="0"/>
            <w:vAlign w:val="center"/>
          </w:tcPr>
          <w:p w14:paraId="0306D6FF">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非甲烷总烃</w:t>
            </w:r>
          </w:p>
        </w:tc>
        <w:tc>
          <w:tcPr>
            <w:tcW w:w="2395" w:type="dxa"/>
            <w:shd w:val="clear" w:color="auto" w:fill="auto"/>
            <w:noWrap w:val="0"/>
            <w:vAlign w:val="center"/>
          </w:tcPr>
          <w:p w14:paraId="330452C5">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textAlignment w:val="auto"/>
              <w:rPr>
                <w:rFonts w:hint="default" w:ascii="Times New Roman" w:hAnsi="Times New Roman" w:eastAsia="宋体" w:cs="Times New Roman"/>
                <w:iCs/>
                <w:color w:val="auto"/>
                <w:kern w:val="2"/>
                <w:sz w:val="21"/>
                <w:szCs w:val="21"/>
                <w:highlight w:val="none"/>
                <w:lang w:val="en-US" w:eastAsia="zh-CN" w:bidi="ar-SA"/>
              </w:rPr>
            </w:pPr>
            <w:r>
              <w:rPr>
                <w:rFonts w:hint="eastAsia" w:cs="Times New Roman"/>
                <w:iCs/>
                <w:color w:val="auto"/>
                <w:kern w:val="2"/>
                <w:sz w:val="21"/>
                <w:szCs w:val="21"/>
                <w:highlight w:val="none"/>
                <w:lang w:val="en-US" w:eastAsia="zh-CN" w:bidi="ar-SA"/>
              </w:rPr>
              <w:t>集气罩+活性炭吸附+15m排气筒</w:t>
            </w:r>
          </w:p>
        </w:tc>
        <w:tc>
          <w:tcPr>
            <w:tcW w:w="2686" w:type="dxa"/>
            <w:shd w:val="clear" w:color="auto" w:fill="auto"/>
            <w:noWrap w:val="0"/>
            <w:vAlign w:val="center"/>
          </w:tcPr>
          <w:p w14:paraId="59DB93F4">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textAlignment w:val="auto"/>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iCs/>
                <w:color w:val="auto"/>
                <w:kern w:val="2"/>
                <w:sz w:val="21"/>
                <w:szCs w:val="24"/>
                <w:highlight w:val="none"/>
                <w:lang w:val="en-US" w:eastAsia="zh-CN" w:bidi="ar-SA"/>
              </w:rPr>
              <w:t>《大气污染物综合排放标准》（GB16297-1996）</w:t>
            </w:r>
            <w:r>
              <w:rPr>
                <w:rFonts w:hint="eastAsia" w:ascii="Times New Roman" w:hAnsi="Times New Roman" w:eastAsia="宋体" w:cs="Times New Roman"/>
                <w:color w:val="auto"/>
                <w:szCs w:val="24"/>
                <w:highlight w:val="none"/>
                <w:lang w:val="en-US" w:eastAsia="zh-CN"/>
              </w:rPr>
              <w:t>表2中排放限值</w:t>
            </w:r>
          </w:p>
        </w:tc>
      </w:tr>
      <w:tr w14:paraId="5B7B96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085" w:type="dxa"/>
            <w:vMerge w:val="continue"/>
            <w:noWrap w:val="0"/>
            <w:vAlign w:val="center"/>
          </w:tcPr>
          <w:p w14:paraId="4FD9128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p>
        </w:tc>
        <w:tc>
          <w:tcPr>
            <w:tcW w:w="1486" w:type="dxa"/>
            <w:noWrap w:val="0"/>
            <w:vAlign w:val="center"/>
          </w:tcPr>
          <w:p w14:paraId="171558F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生产车间</w:t>
            </w:r>
            <w:r>
              <w:rPr>
                <w:rFonts w:hint="default" w:ascii="Times New Roman" w:hAnsi="Times New Roman" w:cs="Times New Roman"/>
                <w:color w:val="auto"/>
                <w:szCs w:val="21"/>
                <w:highlight w:val="none"/>
                <w:lang w:val="en-US" w:eastAsia="zh-CN"/>
              </w:rPr>
              <w:t>无组织颗粒物</w:t>
            </w:r>
          </w:p>
        </w:tc>
        <w:tc>
          <w:tcPr>
            <w:tcW w:w="1486" w:type="dxa"/>
            <w:noWrap w:val="0"/>
            <w:vAlign w:val="center"/>
          </w:tcPr>
          <w:p w14:paraId="72E12F2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颗粒物</w:t>
            </w:r>
          </w:p>
        </w:tc>
        <w:tc>
          <w:tcPr>
            <w:tcW w:w="2395" w:type="dxa"/>
            <w:noWrap w:val="0"/>
            <w:vAlign w:val="center"/>
          </w:tcPr>
          <w:p w14:paraId="01DCC04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集气罩+旋风除尘器</w:t>
            </w:r>
          </w:p>
        </w:tc>
        <w:tc>
          <w:tcPr>
            <w:tcW w:w="2686" w:type="dxa"/>
            <w:noWrap w:val="0"/>
            <w:vAlign w:val="center"/>
          </w:tcPr>
          <w:p w14:paraId="354C3D1C">
            <w:pPr>
              <w:keepNext w:val="0"/>
              <w:keepLines w:val="0"/>
              <w:pageBreakBefore w:val="0"/>
              <w:widowControl w:val="0"/>
              <w:kinsoku/>
              <w:wordWrap/>
              <w:overflowPunct/>
              <w:topLinePunct w:val="0"/>
              <w:autoSpaceDE/>
              <w:autoSpaceDN/>
              <w:bidi w:val="0"/>
              <w:spacing w:beforeLines="0" w:afterLines="0"/>
              <w:ind w:firstLine="0"/>
              <w:jc w:val="center"/>
              <w:textAlignment w:val="auto"/>
              <w:rPr>
                <w:rFonts w:hint="default" w:ascii="Times New Roman" w:hAnsi="Times New Roman" w:cs="Times New Roman"/>
                <w:color w:val="auto"/>
                <w:szCs w:val="24"/>
                <w:highlight w:val="none"/>
                <w:lang w:val="en-US" w:eastAsia="zh-CN"/>
              </w:rPr>
            </w:pPr>
            <w:r>
              <w:rPr>
                <w:rFonts w:hint="eastAsia" w:ascii="Times New Roman" w:hAnsi="Times New Roman" w:eastAsia="宋体" w:cs="Times New Roman"/>
                <w:iCs/>
                <w:color w:val="auto"/>
                <w:kern w:val="2"/>
                <w:sz w:val="21"/>
                <w:szCs w:val="24"/>
                <w:highlight w:val="none"/>
                <w:lang w:val="en-US" w:eastAsia="zh-CN" w:bidi="ar-SA"/>
              </w:rPr>
              <w:t>《大气污染物综合排放标准》（GB16297-1996）</w:t>
            </w:r>
            <w:r>
              <w:rPr>
                <w:rFonts w:hint="eastAsia" w:eastAsia="宋体" w:cs="Times New Roman"/>
                <w:iCs/>
                <w:color w:val="auto"/>
                <w:kern w:val="2"/>
                <w:sz w:val="21"/>
                <w:szCs w:val="24"/>
                <w:highlight w:val="none"/>
                <w:lang w:val="en-US" w:eastAsia="zh-CN" w:bidi="ar-SA"/>
              </w:rPr>
              <w:t>无组织排放限值</w:t>
            </w:r>
          </w:p>
        </w:tc>
      </w:tr>
      <w:tr w14:paraId="6714A2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1085" w:type="dxa"/>
            <w:noWrap w:val="0"/>
            <w:vAlign w:val="center"/>
          </w:tcPr>
          <w:p w14:paraId="1F41DC8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w:t>
            </w:r>
          </w:p>
        </w:tc>
        <w:tc>
          <w:tcPr>
            <w:tcW w:w="1486" w:type="dxa"/>
            <w:noWrap w:val="0"/>
            <w:vAlign w:val="center"/>
          </w:tcPr>
          <w:p w14:paraId="37B08485">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textAlignment w:val="auto"/>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1486" w:type="dxa"/>
            <w:noWrap w:val="0"/>
            <w:vAlign w:val="center"/>
          </w:tcPr>
          <w:p w14:paraId="37183E78">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textAlignment w:val="auto"/>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2395" w:type="dxa"/>
            <w:noWrap w:val="0"/>
            <w:vAlign w:val="center"/>
          </w:tcPr>
          <w:p w14:paraId="537D6939">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2686" w:type="dxa"/>
            <w:noWrap w:val="0"/>
            <w:vAlign w:val="center"/>
          </w:tcPr>
          <w:p w14:paraId="2253F5DC">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r>
      <w:tr w14:paraId="54547F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5" w:type="dxa"/>
            <w:noWrap w:val="0"/>
            <w:vAlign w:val="center"/>
          </w:tcPr>
          <w:p w14:paraId="299D48E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486" w:type="dxa"/>
            <w:noWrap w:val="0"/>
            <w:vAlign w:val="center"/>
          </w:tcPr>
          <w:p w14:paraId="1ABE6976">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厂房</w:t>
            </w:r>
          </w:p>
        </w:tc>
        <w:tc>
          <w:tcPr>
            <w:tcW w:w="1486" w:type="dxa"/>
            <w:noWrap w:val="0"/>
            <w:vAlign w:val="center"/>
          </w:tcPr>
          <w:p w14:paraId="4A5712E2">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机械设备噪声</w:t>
            </w:r>
          </w:p>
        </w:tc>
        <w:tc>
          <w:tcPr>
            <w:tcW w:w="2395" w:type="dxa"/>
            <w:noWrap w:val="0"/>
            <w:vAlign w:val="center"/>
          </w:tcPr>
          <w:p w14:paraId="30D59207">
            <w:pPr>
              <w:keepNext w:val="0"/>
              <w:keepLines w:val="0"/>
              <w:pageBreakBefore w:val="0"/>
              <w:widowControl w:val="0"/>
              <w:kinsoku/>
              <w:wordWrap/>
              <w:overflowPunct/>
              <w:topLinePunct w:val="0"/>
              <w:autoSpaceDE/>
              <w:autoSpaceDN/>
              <w:bidi w:val="0"/>
              <w:spacing w:beforeLines="0" w:afterLines="0"/>
              <w:ind w:firstLine="0"/>
              <w:jc w:val="center"/>
              <w:textAlignment w:val="auto"/>
              <w:rPr>
                <w:rFonts w:hint="eastAsia" w:ascii="Times New Roman" w:hAnsi="Times New Roman" w:eastAsia="宋体" w:cs="Times New Roman"/>
                <w:color w:val="auto"/>
                <w:szCs w:val="21"/>
                <w:highlight w:val="none"/>
                <w:lang w:eastAsia="zh-CN"/>
              </w:rPr>
            </w:pPr>
            <w:r>
              <w:rPr>
                <w:rFonts w:hint="eastAsia" w:ascii="宋体" w:hAnsi="宋体" w:eastAsia="宋体"/>
                <w:color w:val="auto"/>
                <w:sz w:val="21"/>
                <w:szCs w:val="24"/>
              </w:rPr>
              <w:t>合理布局，尽量利用厂墙体、门窗隔声，加强生产管理，采取减振、隔声等综合措施</w:t>
            </w:r>
          </w:p>
        </w:tc>
        <w:tc>
          <w:tcPr>
            <w:tcW w:w="2686" w:type="dxa"/>
            <w:noWrap w:val="0"/>
            <w:vAlign w:val="center"/>
          </w:tcPr>
          <w:p w14:paraId="0AB88ED2">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《工业企业厂界环境噪声排放标准》</w:t>
            </w:r>
            <w:r>
              <w:rPr>
                <w:rFonts w:hint="default" w:ascii="Times New Roman" w:hAnsi="Times New Roman" w:cs="Times New Roman"/>
                <w:color w:val="auto"/>
                <w:szCs w:val="21"/>
                <w:highlight w:val="none"/>
                <w:lang w:val="en-US" w:eastAsia="zh-CN"/>
              </w:rPr>
              <w:t>（GB12348-2008）</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类标准</w:t>
            </w:r>
          </w:p>
        </w:tc>
      </w:tr>
      <w:tr w14:paraId="381820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4" w:hRule="atLeast"/>
          <w:jc w:val="center"/>
        </w:trPr>
        <w:tc>
          <w:tcPr>
            <w:tcW w:w="1085" w:type="dxa"/>
            <w:noWrap w:val="0"/>
            <w:vAlign w:val="center"/>
          </w:tcPr>
          <w:p w14:paraId="10C998D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8053" w:type="dxa"/>
            <w:gridSpan w:val="4"/>
            <w:noWrap w:val="0"/>
            <w:vAlign w:val="center"/>
          </w:tcPr>
          <w:p w14:paraId="7DA9B550">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jc w:val="left"/>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生活垃圾集中收集，暂存于收纳桶，由环卫部门定期清运处理；</w:t>
            </w:r>
          </w:p>
          <w:p w14:paraId="7FE3F09A">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jc w:val="left"/>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一般工业固体废物（废包装袋、废边角料、锅炉灰渣、除尘器收集粉尘、废胶桶、废胶渣）集中收集后暂存于收纳桶，定期厂家回收或外售综合利用</w:t>
            </w:r>
            <w:r>
              <w:rPr>
                <w:rFonts w:hint="eastAsia" w:cs="Times New Roman"/>
                <w:color w:val="auto"/>
                <w:szCs w:val="21"/>
                <w:highlight w:val="none"/>
                <w:lang w:val="en-US" w:eastAsia="zh-CN"/>
              </w:rPr>
              <w:t>，其中</w:t>
            </w:r>
            <w:r>
              <w:rPr>
                <w:rFonts w:hint="default" w:ascii="Times New Roman" w:hAnsi="Times New Roman" w:eastAsia="宋体" w:cs="Times New Roman"/>
                <w:color w:val="auto"/>
                <w:szCs w:val="21"/>
                <w:highlight w:val="none"/>
                <w:lang w:val="en-US" w:eastAsia="zh-CN"/>
              </w:rPr>
              <w:t>废布袋属于一般固废，厂家更换后带走回收</w:t>
            </w:r>
            <w:r>
              <w:rPr>
                <w:rFonts w:hint="eastAsia" w:cs="Times New Roman"/>
                <w:color w:val="auto"/>
                <w:szCs w:val="21"/>
                <w:highlight w:val="none"/>
                <w:lang w:val="en-US" w:eastAsia="zh-CN"/>
              </w:rPr>
              <w:t>；</w:t>
            </w:r>
          </w:p>
          <w:p w14:paraId="1C7FBBFA">
            <w:pPr>
              <w:pStyle w:val="82"/>
              <w:keepNext w:val="0"/>
              <w:keepLines w:val="0"/>
              <w:pageBreakBefore w:val="0"/>
              <w:widowControl w:val="0"/>
              <w:kinsoku/>
              <w:wordWrap/>
              <w:overflowPunct/>
              <w:topLinePunct w:val="0"/>
              <w:autoSpaceDE/>
              <w:autoSpaceDN/>
              <w:bidi w:val="0"/>
              <w:spacing w:line="240" w:lineRule="auto"/>
              <w:ind w:left="-53" w:leftChars="-25" w:right="-53" w:rightChars="-25" w:firstLine="0"/>
              <w:jc w:val="left"/>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危险废物（废导热油、废机油、废油桶、废弃的含油抹布及手套、废活性炭）集中收集后暂存于</w:t>
            </w:r>
            <w:r>
              <w:rPr>
                <w:rFonts w:hint="eastAsia" w:cs="Times New Roman"/>
                <w:color w:val="auto"/>
                <w:szCs w:val="21"/>
                <w:highlight w:val="none"/>
                <w:lang w:val="en-US" w:eastAsia="zh-CN"/>
              </w:rPr>
              <w:t>危险废物贮存库</w:t>
            </w:r>
            <w:r>
              <w:rPr>
                <w:rFonts w:hint="default" w:ascii="Times New Roman" w:hAnsi="Times New Roman" w:eastAsia="宋体" w:cs="Times New Roman"/>
                <w:color w:val="auto"/>
                <w:szCs w:val="21"/>
                <w:highlight w:val="none"/>
                <w:lang w:val="en-US" w:eastAsia="zh-CN"/>
              </w:rPr>
              <w:t>，定期交由有资质单位处理</w:t>
            </w:r>
            <w:r>
              <w:rPr>
                <w:rFonts w:hint="eastAsia" w:cs="Times New Roman"/>
                <w:color w:val="auto"/>
                <w:szCs w:val="21"/>
                <w:highlight w:val="none"/>
                <w:lang w:val="en-US" w:eastAsia="zh-CN"/>
              </w:rPr>
              <w:t>，其中，废导热油</w:t>
            </w:r>
            <w:r>
              <w:rPr>
                <w:rFonts w:hint="eastAsia" w:cs="宋体"/>
                <w:smallCaps w:val="0"/>
                <w:color w:val="auto"/>
                <w:sz w:val="21"/>
                <w:szCs w:val="21"/>
                <w:highlight w:val="none"/>
                <w:vertAlign w:val="baseline"/>
                <w:lang w:val="en-US" w:eastAsia="zh-CN"/>
              </w:rPr>
              <w:t>更换后直接</w:t>
            </w:r>
            <w:r>
              <w:rPr>
                <w:rFonts w:hint="eastAsia" w:ascii="Times New Roman" w:hAnsi="Times New Roman" w:eastAsia="宋体" w:cs="宋体"/>
                <w:smallCaps w:val="0"/>
                <w:color w:val="auto"/>
                <w:sz w:val="21"/>
                <w:szCs w:val="21"/>
                <w:highlight w:val="none"/>
                <w:vertAlign w:val="baseline"/>
                <w:lang w:val="en-US" w:eastAsia="zh-CN"/>
              </w:rPr>
              <w:t>由</w:t>
            </w:r>
            <w:r>
              <w:rPr>
                <w:rFonts w:hint="eastAsia" w:cs="宋体"/>
                <w:smallCaps w:val="0"/>
                <w:color w:val="auto"/>
                <w:sz w:val="21"/>
                <w:szCs w:val="21"/>
                <w:highlight w:val="none"/>
                <w:vertAlign w:val="baseline"/>
                <w:lang w:val="en-US" w:eastAsia="zh-CN"/>
              </w:rPr>
              <w:t>有</w:t>
            </w:r>
            <w:r>
              <w:rPr>
                <w:rFonts w:hint="eastAsia" w:ascii="Times New Roman" w:hAnsi="Times New Roman" w:eastAsia="宋体" w:cs="宋体"/>
                <w:smallCaps w:val="0"/>
                <w:color w:val="auto"/>
                <w:sz w:val="21"/>
                <w:szCs w:val="21"/>
                <w:highlight w:val="none"/>
                <w:vertAlign w:val="baseline"/>
                <w:lang w:val="en-US" w:eastAsia="zh-CN"/>
              </w:rPr>
              <w:t>资质单位处理</w:t>
            </w:r>
            <w:r>
              <w:rPr>
                <w:rFonts w:hint="eastAsia" w:cs="宋体"/>
                <w:smallCaps w:val="0"/>
                <w:color w:val="auto"/>
                <w:sz w:val="21"/>
                <w:szCs w:val="21"/>
                <w:highlight w:val="none"/>
                <w:vertAlign w:val="baseline"/>
                <w:lang w:val="en-US" w:eastAsia="zh-CN"/>
              </w:rPr>
              <w:t>，厂区不暂存</w:t>
            </w:r>
            <w:r>
              <w:rPr>
                <w:rFonts w:hint="default" w:ascii="Times New Roman" w:hAnsi="Times New Roman" w:eastAsia="宋体" w:cs="Times New Roman"/>
                <w:color w:val="auto"/>
                <w:szCs w:val="21"/>
                <w:highlight w:val="none"/>
                <w:lang w:val="en-US" w:eastAsia="zh-CN"/>
              </w:rPr>
              <w:t>。</w:t>
            </w:r>
          </w:p>
        </w:tc>
      </w:tr>
      <w:tr w14:paraId="7783F7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5" w:type="dxa"/>
            <w:noWrap w:val="0"/>
            <w:vAlign w:val="center"/>
          </w:tcPr>
          <w:p w14:paraId="2BECCB20">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土壤及地下水污染防治措施</w:t>
            </w:r>
          </w:p>
        </w:tc>
        <w:tc>
          <w:tcPr>
            <w:tcW w:w="8053" w:type="dxa"/>
            <w:gridSpan w:val="4"/>
            <w:noWrap w:val="0"/>
            <w:vAlign w:val="center"/>
          </w:tcPr>
          <w:p w14:paraId="412FA18A">
            <w:pPr>
              <w:keepNext w:val="0"/>
              <w:keepLines w:val="0"/>
              <w:pageBreakBefore w:val="0"/>
              <w:widowControl w:val="0"/>
              <w:kinsoku/>
              <w:wordWrap/>
              <w:overflowPunct/>
              <w:topLinePunct w:val="0"/>
              <w:autoSpaceDE/>
              <w:autoSpaceDN/>
              <w:bidi w:val="0"/>
              <w:spacing w:line="240" w:lineRule="auto"/>
              <w:ind w:firstLine="0"/>
              <w:jc w:val="left"/>
              <w:textAlignment w:val="auto"/>
              <w:rPr>
                <w:rFonts w:hint="eastAsia"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针对项目可能发生的土壤污染，按照“源头控制、末端防治、污染监控、应急响应”相结合的原则，从污染物的产生、入渗、扩散、应急响应全阶段进行控制；进行污染防治分区：其中①一般防渗区：</w:t>
            </w:r>
            <w:r>
              <w:rPr>
                <w:rFonts w:hint="default" w:ascii="Times New Roman" w:hAnsi="Times New Roman" w:eastAsia="宋体" w:cs="Times New Roman"/>
                <w:smallCaps w:val="0"/>
                <w:color w:val="auto"/>
                <w:kern w:val="2"/>
                <w:sz w:val="21"/>
                <w:szCs w:val="21"/>
                <w:highlight w:val="none"/>
                <w:lang w:val="en-US" w:eastAsia="zh-CN" w:bidi="ar-SA"/>
              </w:rPr>
              <w:t>生产</w:t>
            </w:r>
            <w:r>
              <w:rPr>
                <w:rFonts w:hint="eastAsia" w:cs="Times New Roman"/>
                <w:smallCaps w:val="0"/>
                <w:color w:val="auto"/>
                <w:kern w:val="2"/>
                <w:sz w:val="21"/>
                <w:szCs w:val="21"/>
                <w:highlight w:val="none"/>
                <w:lang w:val="en-US" w:eastAsia="zh-CN" w:bidi="ar-SA"/>
              </w:rPr>
              <w:t>厂房等</w:t>
            </w:r>
            <w:r>
              <w:rPr>
                <w:rFonts w:hint="default" w:ascii="Times New Roman" w:hAnsi="Times New Roman" w:cs="Times New Roman"/>
                <w:color w:val="auto"/>
                <w:szCs w:val="21"/>
                <w:highlight w:val="none"/>
              </w:rPr>
              <w:t>。等效黏土防渗层厚≥1.5m，渗透系数≤1.0×10</w:t>
            </w:r>
            <w:r>
              <w:rPr>
                <w:rFonts w:hint="default" w:ascii="Times New Roman" w:hAnsi="Times New Roman" w:cs="Times New Roman"/>
                <w:color w:val="auto"/>
                <w:szCs w:val="21"/>
                <w:highlight w:val="none"/>
                <w:vertAlign w:val="superscript"/>
              </w:rPr>
              <w:t>-7</w:t>
            </w:r>
            <w:r>
              <w:rPr>
                <w:rFonts w:hint="default" w:ascii="Times New Roman" w:hAnsi="Times New Roman" w:cs="Times New Roman"/>
                <w:color w:val="auto"/>
                <w:szCs w:val="21"/>
                <w:highlight w:val="none"/>
              </w:rPr>
              <w:t>cm/s；②简单防渗区：</w:t>
            </w:r>
            <w:r>
              <w:rPr>
                <w:rFonts w:hint="default" w:ascii="Times New Roman" w:hAnsi="Times New Roman" w:eastAsia="宋体" w:cs="Times New Roman"/>
                <w:smallCaps w:val="0"/>
                <w:color w:val="auto"/>
                <w:kern w:val="2"/>
                <w:sz w:val="21"/>
                <w:szCs w:val="21"/>
                <w:highlight w:val="none"/>
                <w:lang w:val="en-US" w:eastAsia="zh-CN" w:bidi="ar-SA"/>
              </w:rPr>
              <w:t>办公区</w:t>
            </w:r>
            <w:r>
              <w:rPr>
                <w:rFonts w:hint="eastAsia" w:cs="Times New Roman"/>
                <w:smallCaps w:val="0"/>
                <w:color w:val="auto"/>
                <w:kern w:val="2"/>
                <w:sz w:val="21"/>
                <w:szCs w:val="21"/>
                <w:highlight w:val="none"/>
                <w:lang w:val="en-US" w:eastAsia="zh-CN" w:bidi="ar-SA"/>
              </w:rPr>
              <w:t>、道路</w:t>
            </w:r>
            <w:r>
              <w:rPr>
                <w:rFonts w:hint="default" w:ascii="Times New Roman" w:hAnsi="Times New Roman" w:eastAsia="宋体" w:cs="Times New Roman"/>
                <w:smallCaps w:val="0"/>
                <w:color w:val="auto"/>
                <w:kern w:val="2"/>
                <w:sz w:val="21"/>
                <w:szCs w:val="21"/>
                <w:highlight w:val="none"/>
                <w:lang w:val="en-US" w:eastAsia="zh-CN" w:bidi="ar-SA"/>
              </w:rPr>
              <w:t>等其他区域</w:t>
            </w:r>
            <w:r>
              <w:rPr>
                <w:rFonts w:hint="default" w:ascii="Times New Roman" w:hAnsi="Times New Roman" w:cs="Times New Roman"/>
                <w:color w:val="auto"/>
                <w:szCs w:val="21"/>
                <w:highlight w:val="none"/>
              </w:rPr>
              <w:t>。地面硬化处理。</w:t>
            </w:r>
            <w:r>
              <w:rPr>
                <w:rFonts w:hint="eastAsia" w:ascii="Times New Roman" w:hAnsi="Times New Roman" w:eastAsia="宋体" w:cs="Times New Roman"/>
                <w:color w:val="auto"/>
                <w:szCs w:val="21"/>
                <w:highlight w:val="none"/>
              </w:rPr>
              <w:t>③</w:t>
            </w:r>
            <w:r>
              <w:rPr>
                <w:rFonts w:hint="eastAsia" w:ascii="宋体" w:hAnsi="宋体"/>
                <w:sz w:val="21"/>
                <w:szCs w:val="24"/>
                <w:lang w:val="en-US" w:eastAsia="zh-CN"/>
              </w:rPr>
              <w:t>危险废物贮存库</w:t>
            </w:r>
            <w:r>
              <w:rPr>
                <w:rFonts w:hint="eastAsia" w:ascii="宋体" w:hAnsi="宋体" w:eastAsia="宋体"/>
                <w:sz w:val="21"/>
                <w:szCs w:val="24"/>
                <w:highlight w:val="none"/>
              </w:rPr>
              <w:t>、</w:t>
            </w:r>
            <w:r>
              <w:rPr>
                <w:rFonts w:hint="eastAsia" w:ascii="宋体" w:hAnsi="宋体"/>
                <w:sz w:val="21"/>
                <w:szCs w:val="24"/>
                <w:highlight w:val="none"/>
                <w:lang w:val="en-US" w:eastAsia="zh-CN"/>
              </w:rPr>
              <w:t>导热油储罐区域</w:t>
            </w:r>
            <w:r>
              <w:rPr>
                <w:rFonts w:hint="eastAsia" w:ascii="宋体" w:hAnsi="宋体" w:eastAsia="宋体"/>
                <w:sz w:val="21"/>
                <w:szCs w:val="24"/>
                <w:highlight w:val="none"/>
                <w:lang w:eastAsia="zh-CN"/>
              </w:rPr>
              <w:t>：</w:t>
            </w:r>
            <w:r>
              <w:rPr>
                <w:rFonts w:hint="default" w:ascii="Times New Roman" w:hAnsi="Times New Roman" w:eastAsia="宋体" w:cs="宋体"/>
                <w:smallCaps w:val="0"/>
                <w:color w:val="auto"/>
                <w:kern w:val="2"/>
                <w:sz w:val="21"/>
                <w:szCs w:val="21"/>
                <w:highlight w:val="none"/>
                <w:vertAlign w:val="baseline"/>
                <w:lang w:val="en-US" w:eastAsia="zh-CN" w:bidi="ar-SA"/>
              </w:rPr>
              <w:t>等效黏土防渗层厚≥</w:t>
            </w:r>
            <w:r>
              <w:rPr>
                <w:rFonts w:hint="eastAsia" w:ascii="Times New Roman" w:hAnsi="Times New Roman" w:eastAsia="宋体" w:cs="宋体"/>
                <w:smallCaps w:val="0"/>
                <w:color w:val="auto"/>
                <w:kern w:val="2"/>
                <w:sz w:val="21"/>
                <w:szCs w:val="21"/>
                <w:highlight w:val="none"/>
                <w:vertAlign w:val="baseline"/>
                <w:lang w:val="en-US" w:eastAsia="zh-CN" w:bidi="ar-SA"/>
              </w:rPr>
              <w:t>6</w:t>
            </w:r>
            <w:r>
              <w:rPr>
                <w:rFonts w:hint="default" w:ascii="Times New Roman" w:hAnsi="Times New Roman" w:eastAsia="宋体" w:cs="宋体"/>
                <w:smallCaps w:val="0"/>
                <w:color w:val="auto"/>
                <w:kern w:val="2"/>
                <w:sz w:val="21"/>
                <w:szCs w:val="21"/>
                <w:highlight w:val="none"/>
                <w:vertAlign w:val="baseline"/>
                <w:lang w:val="en-US" w:eastAsia="zh-CN" w:bidi="ar-SA"/>
              </w:rPr>
              <w:t>m，渗透系数≤1.0×10</w:t>
            </w:r>
            <w:r>
              <w:rPr>
                <w:rFonts w:hint="default" w:ascii="Times New Roman" w:hAnsi="Times New Roman" w:eastAsia="宋体" w:cs="宋体"/>
                <w:smallCaps w:val="0"/>
                <w:color w:val="auto"/>
                <w:kern w:val="2"/>
                <w:sz w:val="21"/>
                <w:szCs w:val="21"/>
                <w:highlight w:val="none"/>
                <w:vertAlign w:val="superscript"/>
                <w:lang w:val="en-US" w:eastAsia="zh-CN" w:bidi="ar-SA"/>
              </w:rPr>
              <w:t>-7</w:t>
            </w:r>
            <w:r>
              <w:rPr>
                <w:rFonts w:hint="default" w:ascii="Times New Roman" w:hAnsi="Times New Roman" w:eastAsia="宋体" w:cs="宋体"/>
                <w:smallCaps w:val="0"/>
                <w:color w:val="auto"/>
                <w:kern w:val="2"/>
                <w:sz w:val="21"/>
                <w:szCs w:val="21"/>
                <w:highlight w:val="none"/>
                <w:vertAlign w:val="baseline"/>
                <w:lang w:val="en-US" w:eastAsia="zh-CN" w:bidi="ar-SA"/>
              </w:rPr>
              <w:t>cm/s</w:t>
            </w:r>
            <w:r>
              <w:rPr>
                <w:rFonts w:hint="eastAsia" w:ascii="Times New Roman" w:hAnsi="Times New Roman" w:eastAsia="宋体" w:cs="宋体"/>
                <w:smallCaps w:val="0"/>
                <w:color w:val="auto"/>
                <w:kern w:val="2"/>
                <w:sz w:val="21"/>
                <w:szCs w:val="21"/>
                <w:highlight w:val="none"/>
                <w:vertAlign w:val="baseline"/>
                <w:lang w:val="en-US" w:eastAsia="zh-CN" w:bidi="ar-SA"/>
              </w:rPr>
              <w:t>。</w:t>
            </w:r>
          </w:p>
        </w:tc>
      </w:tr>
      <w:tr w14:paraId="1C35DF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1085" w:type="dxa"/>
            <w:noWrap w:val="0"/>
            <w:vAlign w:val="center"/>
          </w:tcPr>
          <w:p w14:paraId="3EF2DF0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8053" w:type="dxa"/>
            <w:gridSpan w:val="4"/>
            <w:noWrap w:val="0"/>
            <w:vAlign w:val="center"/>
          </w:tcPr>
          <w:p w14:paraId="7B149DA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w:t>
            </w:r>
          </w:p>
        </w:tc>
      </w:tr>
      <w:tr w14:paraId="4A3E8E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1085" w:type="dxa"/>
            <w:noWrap w:val="0"/>
            <w:vAlign w:val="center"/>
          </w:tcPr>
          <w:p w14:paraId="647096F0">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环境风险</w:t>
            </w:r>
          </w:p>
          <w:p w14:paraId="3F1654CF">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防范措施</w:t>
            </w:r>
          </w:p>
        </w:tc>
        <w:tc>
          <w:tcPr>
            <w:tcW w:w="8053" w:type="dxa"/>
            <w:gridSpan w:val="4"/>
            <w:noWrap w:val="0"/>
            <w:vAlign w:val="center"/>
          </w:tcPr>
          <w:p w14:paraId="19843412">
            <w:pPr>
              <w:keepNext w:val="0"/>
              <w:keepLines w:val="0"/>
              <w:pageBreakBefore w:val="0"/>
              <w:widowControl w:val="0"/>
              <w:kinsoku/>
              <w:wordWrap/>
              <w:overflowPunct/>
              <w:topLinePunct w:val="0"/>
              <w:autoSpaceDE/>
              <w:autoSpaceDN/>
              <w:bidi w:val="0"/>
              <w:spacing w:beforeLines="0" w:afterLines="0"/>
              <w:ind w:firstLine="0"/>
              <w:jc w:val="left"/>
              <w:textAlignment w:val="auto"/>
              <w:rPr>
                <w:rFonts w:hint="default" w:ascii="Times New Roman" w:hAnsi="Times New Roman" w:eastAsia="宋体" w:cs="Times New Roman"/>
                <w:color w:val="auto"/>
                <w:szCs w:val="21"/>
                <w:highlight w:val="none"/>
                <w:lang w:val="en-US" w:eastAsia="zh-CN"/>
              </w:rPr>
            </w:pPr>
            <w:r>
              <w:rPr>
                <w:rFonts w:hint="eastAsia" w:ascii="宋体" w:hAnsi="宋体" w:eastAsia="宋体"/>
                <w:color w:val="auto"/>
                <w:sz w:val="21"/>
                <w:szCs w:val="24"/>
              </w:rPr>
              <w:t>建立健全环保机构，配置必要的监测仪器，对管理人员和技术人员进行岗位培训；</w:t>
            </w:r>
            <w:r>
              <w:rPr>
                <w:rFonts w:hint="default" w:ascii="Times New Roman" w:hAnsi="Times New Roman" w:cs="Times New Roman"/>
                <w:color w:val="auto"/>
                <w:sz w:val="21"/>
                <w:szCs w:val="21"/>
                <w:highlight w:val="none"/>
                <w:u w:val="none"/>
              </w:rPr>
              <w:t>危废</w:t>
            </w:r>
            <w:r>
              <w:rPr>
                <w:rFonts w:hint="eastAsia" w:cs="Times New Roman"/>
                <w:color w:val="auto"/>
                <w:sz w:val="21"/>
                <w:szCs w:val="21"/>
                <w:highlight w:val="none"/>
                <w:u w:val="none"/>
                <w:lang w:val="en-US" w:eastAsia="zh-CN"/>
              </w:rPr>
              <w:t>贮存库</w:t>
            </w:r>
            <w:r>
              <w:rPr>
                <w:rFonts w:hint="default" w:ascii="Times New Roman" w:hAnsi="Times New Roman" w:cs="Times New Roman"/>
                <w:color w:val="auto"/>
                <w:sz w:val="21"/>
                <w:szCs w:val="21"/>
                <w:highlight w:val="none"/>
                <w:u w:val="none"/>
              </w:rPr>
              <w:t>采取</w:t>
            </w:r>
            <w:r>
              <w:rPr>
                <w:rFonts w:hint="eastAsia" w:cs="Times New Roman"/>
                <w:color w:val="auto"/>
                <w:sz w:val="21"/>
                <w:szCs w:val="21"/>
                <w:highlight w:val="none"/>
                <w:u w:val="none"/>
                <w:lang w:val="en-US" w:eastAsia="zh-CN"/>
              </w:rPr>
              <w:t>分区</w:t>
            </w:r>
            <w:r>
              <w:rPr>
                <w:rFonts w:hint="default" w:ascii="Times New Roman" w:hAnsi="Times New Roman" w:cs="Times New Roman"/>
                <w:color w:val="auto"/>
                <w:sz w:val="21"/>
                <w:szCs w:val="21"/>
                <w:highlight w:val="none"/>
                <w:u w:val="none"/>
              </w:rPr>
              <w:t>防渗措施；</w:t>
            </w:r>
            <w:r>
              <w:rPr>
                <w:rFonts w:hint="eastAsia" w:ascii="宋体" w:hAnsi="宋体" w:eastAsia="宋体"/>
                <w:color w:val="auto"/>
                <w:sz w:val="21"/>
                <w:szCs w:val="24"/>
              </w:rPr>
              <w:t>加强应急培训及演练，规范固废贮存场所，做好废物的装卸、贮存管理，各处理设施做好防渗处理，确保其满足防渗要求。</w:t>
            </w:r>
          </w:p>
        </w:tc>
      </w:tr>
      <w:tr w14:paraId="7C428E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1085" w:type="dxa"/>
            <w:noWrap w:val="0"/>
            <w:vAlign w:val="center"/>
          </w:tcPr>
          <w:p w14:paraId="5A07907F">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其他环境</w:t>
            </w:r>
          </w:p>
          <w:p w14:paraId="79011F9F">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管理要求</w:t>
            </w:r>
          </w:p>
        </w:tc>
        <w:tc>
          <w:tcPr>
            <w:tcW w:w="8053" w:type="dxa"/>
            <w:gridSpan w:val="4"/>
            <w:noWrap w:val="0"/>
            <w:vAlign w:val="center"/>
          </w:tcPr>
          <w:p w14:paraId="7E05A265">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Cs w:val="21"/>
                <w:highlight w:val="none"/>
                <w:lang w:val="en-US" w:eastAsia="zh-CN"/>
              </w:rPr>
            </w:pPr>
            <w:r>
              <w:rPr>
                <w:rFonts w:hint="eastAsia" w:ascii="宋体" w:hAnsi="宋体" w:eastAsia="宋体"/>
                <w:color w:val="auto"/>
                <w:sz w:val="21"/>
                <w:szCs w:val="24"/>
              </w:rPr>
              <w:t>运营期严格按照监测技术要求做好排污监测工作。</w:t>
            </w:r>
          </w:p>
        </w:tc>
      </w:tr>
    </w:tbl>
    <w:p w14:paraId="7D4921A9">
      <w:pPr>
        <w:pStyle w:val="27"/>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bookmarkStart w:id="32" w:name="_Toc21811"/>
      <w:bookmarkStart w:id="33" w:name="_Toc30010"/>
      <w:r>
        <w:rPr>
          <w:rFonts w:hint="default" w:ascii="Times New Roman" w:hAnsi="Times New Roman" w:eastAsia="黑体" w:cs="Times New Roman"/>
          <w:snapToGrid w:val="0"/>
          <w:color w:val="auto"/>
          <w:sz w:val="30"/>
          <w:szCs w:val="30"/>
          <w:highlight w:val="none"/>
        </w:rPr>
        <w:t>六、结论</w:t>
      </w:r>
      <w:bookmarkEnd w:id="32"/>
      <w:bookmarkEnd w:id="33"/>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28193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4041A7E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本项目建设符合国家产业政策要求，项目在采用本次环境影响评价提出的各项污染防治措施后，对项目周围环境及各保护目标环境质量现状影响较小。因此，从环境保护角度而言，本项目建设是可行的。</w:t>
            </w:r>
          </w:p>
          <w:p w14:paraId="13EC10A0">
            <w:pPr>
              <w:spacing w:line="360" w:lineRule="auto"/>
              <w:ind w:firstLine="480" w:firstLineChars="200"/>
              <w:rPr>
                <w:rFonts w:hint="default" w:ascii="Times New Roman" w:hAnsi="Times New Roman" w:cs="Times New Roman"/>
                <w:color w:val="auto"/>
                <w:sz w:val="24"/>
                <w:highlight w:val="none"/>
              </w:rPr>
            </w:pPr>
          </w:p>
          <w:p w14:paraId="48DE8089">
            <w:pPr>
              <w:spacing w:line="360" w:lineRule="auto"/>
              <w:ind w:firstLine="480" w:firstLineChars="200"/>
              <w:rPr>
                <w:rFonts w:hint="default" w:ascii="Times New Roman" w:hAnsi="Times New Roman" w:cs="Times New Roman"/>
                <w:color w:val="auto"/>
                <w:sz w:val="24"/>
                <w:highlight w:val="none"/>
              </w:rPr>
            </w:pPr>
          </w:p>
          <w:p w14:paraId="53C44FAB">
            <w:pPr>
              <w:spacing w:line="360" w:lineRule="auto"/>
              <w:ind w:firstLine="480" w:firstLineChars="200"/>
              <w:rPr>
                <w:rFonts w:hint="default" w:ascii="Times New Roman" w:hAnsi="Times New Roman" w:cs="Times New Roman"/>
                <w:color w:val="auto"/>
                <w:sz w:val="24"/>
                <w:highlight w:val="none"/>
              </w:rPr>
            </w:pPr>
          </w:p>
          <w:p w14:paraId="2FD00A55">
            <w:pPr>
              <w:spacing w:line="360" w:lineRule="auto"/>
              <w:ind w:firstLine="480" w:firstLineChars="200"/>
              <w:rPr>
                <w:rFonts w:hint="default" w:ascii="Times New Roman" w:hAnsi="Times New Roman" w:cs="Times New Roman"/>
                <w:color w:val="auto"/>
                <w:sz w:val="24"/>
                <w:highlight w:val="none"/>
              </w:rPr>
            </w:pPr>
          </w:p>
          <w:p w14:paraId="47DDF965">
            <w:pPr>
              <w:spacing w:line="360" w:lineRule="auto"/>
              <w:ind w:firstLine="480" w:firstLineChars="200"/>
              <w:rPr>
                <w:rFonts w:hint="default" w:ascii="Times New Roman" w:hAnsi="Times New Roman" w:cs="Times New Roman"/>
                <w:color w:val="auto"/>
                <w:sz w:val="24"/>
                <w:highlight w:val="none"/>
              </w:rPr>
            </w:pPr>
          </w:p>
          <w:p w14:paraId="3532F551">
            <w:pPr>
              <w:spacing w:line="360" w:lineRule="auto"/>
              <w:ind w:firstLine="480" w:firstLineChars="200"/>
              <w:rPr>
                <w:rFonts w:hint="default" w:ascii="Times New Roman" w:hAnsi="Times New Roman" w:cs="Times New Roman"/>
                <w:color w:val="auto"/>
                <w:sz w:val="24"/>
                <w:highlight w:val="none"/>
              </w:rPr>
            </w:pPr>
          </w:p>
          <w:p w14:paraId="0292F59F">
            <w:pPr>
              <w:spacing w:line="360" w:lineRule="auto"/>
              <w:ind w:firstLine="480" w:firstLineChars="200"/>
              <w:rPr>
                <w:rFonts w:hint="default" w:ascii="Times New Roman" w:hAnsi="Times New Roman" w:cs="Times New Roman"/>
                <w:color w:val="auto"/>
                <w:sz w:val="24"/>
                <w:highlight w:val="none"/>
              </w:rPr>
            </w:pPr>
          </w:p>
          <w:p w14:paraId="7BB33BA5">
            <w:pPr>
              <w:spacing w:line="360" w:lineRule="auto"/>
              <w:ind w:firstLine="480" w:firstLineChars="200"/>
              <w:rPr>
                <w:rFonts w:hint="default" w:ascii="Times New Roman" w:hAnsi="Times New Roman" w:cs="Times New Roman"/>
                <w:color w:val="auto"/>
                <w:sz w:val="24"/>
                <w:highlight w:val="none"/>
              </w:rPr>
            </w:pPr>
          </w:p>
          <w:p w14:paraId="7F46DE1B">
            <w:pPr>
              <w:spacing w:line="360" w:lineRule="auto"/>
              <w:ind w:firstLine="480" w:firstLineChars="200"/>
              <w:rPr>
                <w:rFonts w:hint="default" w:ascii="Times New Roman" w:hAnsi="Times New Roman" w:cs="Times New Roman"/>
                <w:color w:val="auto"/>
                <w:sz w:val="24"/>
                <w:highlight w:val="none"/>
              </w:rPr>
            </w:pPr>
          </w:p>
          <w:p w14:paraId="7384E00C">
            <w:pPr>
              <w:spacing w:line="360" w:lineRule="auto"/>
              <w:ind w:firstLine="480" w:firstLineChars="200"/>
              <w:rPr>
                <w:rFonts w:hint="default" w:ascii="Times New Roman" w:hAnsi="Times New Roman" w:cs="Times New Roman"/>
                <w:color w:val="auto"/>
                <w:sz w:val="24"/>
                <w:highlight w:val="none"/>
              </w:rPr>
            </w:pPr>
          </w:p>
          <w:p w14:paraId="456B5455">
            <w:pPr>
              <w:spacing w:line="360" w:lineRule="auto"/>
              <w:ind w:firstLine="480" w:firstLineChars="200"/>
              <w:rPr>
                <w:rFonts w:hint="default" w:ascii="Times New Roman" w:hAnsi="Times New Roman" w:cs="Times New Roman"/>
                <w:color w:val="auto"/>
                <w:sz w:val="24"/>
                <w:highlight w:val="none"/>
              </w:rPr>
            </w:pPr>
          </w:p>
          <w:p w14:paraId="018D2CC0">
            <w:pPr>
              <w:spacing w:line="360" w:lineRule="auto"/>
              <w:ind w:firstLine="480" w:firstLineChars="200"/>
              <w:rPr>
                <w:rFonts w:hint="default" w:ascii="Times New Roman" w:hAnsi="Times New Roman" w:cs="Times New Roman"/>
                <w:color w:val="auto"/>
                <w:sz w:val="24"/>
                <w:highlight w:val="none"/>
              </w:rPr>
            </w:pPr>
          </w:p>
        </w:tc>
      </w:tr>
    </w:tbl>
    <w:p w14:paraId="3AA54D12">
      <w:pP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96843FA">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9"/>
        <w:rPr>
          <w:rFonts w:hint="default" w:ascii="Times New Roman" w:hAnsi="Times New Roman" w:eastAsia="黑体" w:cs="Times New Roman"/>
          <w:snapToGrid w:val="0"/>
          <w:color w:val="auto"/>
          <w:sz w:val="32"/>
          <w:szCs w:val="32"/>
          <w:highlight w:val="none"/>
        </w:rPr>
      </w:pPr>
      <w:bookmarkStart w:id="34" w:name="_Toc19254"/>
      <w:bookmarkStart w:id="35" w:name="_Toc27712"/>
      <w:bookmarkStart w:id="36" w:name="_Toc14247"/>
      <w:r>
        <w:rPr>
          <w:rFonts w:hint="default" w:ascii="Times New Roman" w:hAnsi="Times New Roman" w:eastAsia="黑体" w:cs="Times New Roman"/>
          <w:snapToGrid w:val="0"/>
          <w:color w:val="auto"/>
          <w:sz w:val="32"/>
          <w:szCs w:val="32"/>
          <w:highlight w:val="none"/>
        </w:rPr>
        <w:t>附表</w:t>
      </w:r>
      <w:bookmarkEnd w:id="34"/>
      <w:bookmarkEnd w:id="35"/>
      <w:bookmarkEnd w:id="36"/>
    </w:p>
    <w:p w14:paraId="7172BF3E">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default" w:ascii="Times New Roman" w:hAnsi="Times New Roman" w:eastAsia="方正小标宋_GBK" w:cs="Times New Roman"/>
          <w:snapToGrid w:val="0"/>
          <w:color w:val="auto"/>
          <w:sz w:val="38"/>
          <w:szCs w:val="38"/>
          <w:highlight w:val="none"/>
        </w:rPr>
      </w:pPr>
      <w:bookmarkStart w:id="37" w:name="_Toc1971"/>
      <w:bookmarkStart w:id="38" w:name="_Toc15535"/>
      <w:r>
        <w:rPr>
          <w:rFonts w:hint="default" w:ascii="Times New Roman" w:hAnsi="Times New Roman" w:eastAsia="宋体" w:cs="Times New Roman"/>
          <w:snapToGrid w:val="0"/>
          <w:color w:val="auto"/>
          <w:sz w:val="38"/>
          <w:szCs w:val="38"/>
        </w:rPr>
        <w:t>建设项目污染物排放量汇总表</w:t>
      </w:r>
      <w:bookmarkEnd w:id="37"/>
      <w:bookmarkEnd w:id="38"/>
    </w:p>
    <w:tbl>
      <w:tblPr>
        <w:tblStyle w:val="3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9"/>
        <w:gridCol w:w="1740"/>
        <w:gridCol w:w="1602"/>
        <w:gridCol w:w="1269"/>
        <w:gridCol w:w="1692"/>
        <w:gridCol w:w="1551"/>
        <w:gridCol w:w="1416"/>
        <w:gridCol w:w="1710"/>
        <w:gridCol w:w="1469"/>
      </w:tblGrid>
      <w:tr w14:paraId="749F3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6" w:hRule="atLeast"/>
        </w:trPr>
        <w:tc>
          <w:tcPr>
            <w:tcW w:w="1339" w:type="dxa"/>
            <w:tcBorders>
              <w:tl2br w:val="single" w:color="auto" w:sz="4" w:space="0"/>
            </w:tcBorders>
            <w:noWrap w:val="0"/>
            <w:tcMar>
              <w:left w:w="28" w:type="dxa"/>
              <w:right w:w="28" w:type="dxa"/>
            </w:tcMar>
            <w:vAlign w:val="center"/>
          </w:tcPr>
          <w:p w14:paraId="34EBEC44">
            <w:pPr>
              <w:pStyle w:val="62"/>
              <w:spacing w:beforeLines="0" w:afterLines="0" w:line="240" w:lineRule="auto"/>
              <w:jc w:val="right"/>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项目</w:t>
            </w:r>
          </w:p>
          <w:p w14:paraId="3BCD4981">
            <w:pPr>
              <w:pStyle w:val="62"/>
              <w:spacing w:beforeLines="0" w:afterLines="0" w:line="240" w:lineRule="auto"/>
              <w:jc w:val="left"/>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分类</w:t>
            </w:r>
          </w:p>
        </w:tc>
        <w:tc>
          <w:tcPr>
            <w:tcW w:w="1740" w:type="dxa"/>
            <w:noWrap w:val="0"/>
            <w:tcMar>
              <w:left w:w="28" w:type="dxa"/>
              <w:right w:w="28" w:type="dxa"/>
            </w:tcMar>
            <w:vAlign w:val="center"/>
          </w:tcPr>
          <w:p w14:paraId="60BEE0A8">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污染物名称</w:t>
            </w:r>
          </w:p>
        </w:tc>
        <w:tc>
          <w:tcPr>
            <w:tcW w:w="1602" w:type="dxa"/>
            <w:noWrap w:val="0"/>
            <w:tcMar>
              <w:left w:w="28" w:type="dxa"/>
              <w:right w:w="28" w:type="dxa"/>
            </w:tcMar>
            <w:vAlign w:val="center"/>
          </w:tcPr>
          <w:p w14:paraId="28E26037">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现有工程</w:t>
            </w:r>
          </w:p>
          <w:p w14:paraId="207EFBD2">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1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①</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269" w:type="dxa"/>
            <w:noWrap w:val="0"/>
            <w:tcMar>
              <w:left w:w="28" w:type="dxa"/>
              <w:right w:w="28" w:type="dxa"/>
            </w:tcMar>
            <w:vAlign w:val="center"/>
          </w:tcPr>
          <w:p w14:paraId="2687BB46">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现有工程</w:t>
            </w:r>
          </w:p>
          <w:p w14:paraId="60776D1D">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许可排放量</w:t>
            </w:r>
          </w:p>
          <w:p w14:paraId="17BDBAA8">
            <w:pPr>
              <w:pStyle w:val="62"/>
              <w:spacing w:beforeLines="0" w:afterLines="0"/>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2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snapToGrid w:val="0"/>
                <w:color w:val="auto"/>
                <w:spacing w:val="-6"/>
                <w:kern w:val="21"/>
                <w:szCs w:val="21"/>
                <w:highlight w:val="none"/>
                <w:lang w:val="en-US" w:eastAsia="zh-CN"/>
              </w:rPr>
              <w:t>②</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692" w:type="dxa"/>
            <w:noWrap w:val="0"/>
            <w:tcMar>
              <w:left w:w="28" w:type="dxa"/>
              <w:right w:w="28" w:type="dxa"/>
            </w:tcMar>
            <w:vAlign w:val="center"/>
          </w:tcPr>
          <w:p w14:paraId="397A4DE5">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在建工程</w:t>
            </w:r>
          </w:p>
          <w:p w14:paraId="5594B158">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3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③</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551" w:type="dxa"/>
            <w:noWrap w:val="0"/>
            <w:tcMar>
              <w:left w:w="28" w:type="dxa"/>
              <w:right w:w="28" w:type="dxa"/>
            </w:tcMar>
            <w:vAlign w:val="center"/>
          </w:tcPr>
          <w:p w14:paraId="40879154">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本项目</w:t>
            </w:r>
          </w:p>
          <w:p w14:paraId="539F19AA">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4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④</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416" w:type="dxa"/>
            <w:noWrap w:val="0"/>
            <w:tcMar>
              <w:left w:w="28" w:type="dxa"/>
              <w:right w:w="28" w:type="dxa"/>
            </w:tcMar>
            <w:vAlign w:val="center"/>
          </w:tcPr>
          <w:p w14:paraId="34D7371F">
            <w:pPr>
              <w:pStyle w:val="62"/>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以新带老削减量</w:t>
            </w:r>
          </w:p>
          <w:p w14:paraId="7599E1AF">
            <w:pPr>
              <w:pStyle w:val="62"/>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（新建项目不填）</w:t>
            </w:r>
            <w:r>
              <w:rPr>
                <w:rFonts w:hint="default" w:ascii="Times New Roman" w:hAnsi="Times New Roman" w:eastAsia="黑体" w:cs="Times New Roman"/>
                <w:snapToGrid w:val="0"/>
                <w:color w:val="auto"/>
                <w:spacing w:val="-16"/>
                <w:kern w:val="21"/>
                <w:szCs w:val="21"/>
                <w:highlight w:val="none"/>
                <w:lang w:val="en-US" w:eastAsia="zh-CN"/>
              </w:rPr>
              <w:fldChar w:fldCharType="begin"/>
            </w:r>
            <w:r>
              <w:rPr>
                <w:rFonts w:hint="default" w:ascii="Times New Roman" w:hAnsi="Times New Roman" w:eastAsia="黑体" w:cs="Times New Roman"/>
                <w:snapToGrid w:val="0"/>
                <w:color w:val="auto"/>
                <w:spacing w:val="-16"/>
                <w:kern w:val="21"/>
                <w:szCs w:val="21"/>
                <w:highlight w:val="none"/>
                <w:lang w:val="en-US" w:eastAsia="zh-CN"/>
              </w:rPr>
              <w:instrText xml:space="preserve"> = 5 \* GB3 \* MERGEFORMAT </w:instrText>
            </w:r>
            <w:r>
              <w:rPr>
                <w:rFonts w:hint="default" w:ascii="Times New Roman" w:hAnsi="Times New Roman" w:eastAsia="黑体" w:cs="Times New Roman"/>
                <w:snapToGrid w:val="0"/>
                <w:color w:val="auto"/>
                <w:spacing w:val="-1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⑤</w:t>
            </w:r>
            <w:r>
              <w:rPr>
                <w:rFonts w:hint="default" w:ascii="Times New Roman" w:hAnsi="Times New Roman" w:eastAsia="黑体" w:cs="Times New Roman"/>
                <w:snapToGrid w:val="0"/>
                <w:color w:val="auto"/>
                <w:spacing w:val="-16"/>
                <w:kern w:val="21"/>
                <w:szCs w:val="21"/>
                <w:highlight w:val="none"/>
                <w:lang w:val="en-US" w:eastAsia="zh-CN"/>
              </w:rPr>
              <w:fldChar w:fldCharType="end"/>
            </w:r>
          </w:p>
        </w:tc>
        <w:tc>
          <w:tcPr>
            <w:tcW w:w="1710" w:type="dxa"/>
            <w:noWrap w:val="0"/>
            <w:tcMar>
              <w:left w:w="28" w:type="dxa"/>
              <w:right w:w="28" w:type="dxa"/>
            </w:tcMar>
            <w:vAlign w:val="center"/>
          </w:tcPr>
          <w:p w14:paraId="37063138">
            <w:pPr>
              <w:pStyle w:val="62"/>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本项目建成后</w:t>
            </w:r>
          </w:p>
          <w:p w14:paraId="77199670">
            <w:pPr>
              <w:pStyle w:val="62"/>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全厂排放量（固体废物产生量）</w:t>
            </w:r>
            <w:r>
              <w:rPr>
                <w:rFonts w:hint="default" w:ascii="Times New Roman" w:hAnsi="Times New Roman" w:eastAsia="黑体" w:cs="Times New Roman"/>
                <w:snapToGrid w:val="0"/>
                <w:color w:val="auto"/>
                <w:spacing w:val="-16"/>
                <w:kern w:val="21"/>
                <w:szCs w:val="21"/>
                <w:highlight w:val="none"/>
                <w:lang w:val="en-US" w:eastAsia="zh-CN"/>
              </w:rPr>
              <w:fldChar w:fldCharType="begin"/>
            </w:r>
            <w:r>
              <w:rPr>
                <w:rFonts w:hint="default" w:ascii="Times New Roman" w:hAnsi="Times New Roman" w:eastAsia="黑体" w:cs="Times New Roman"/>
                <w:snapToGrid w:val="0"/>
                <w:color w:val="auto"/>
                <w:spacing w:val="-16"/>
                <w:kern w:val="21"/>
                <w:szCs w:val="21"/>
                <w:highlight w:val="none"/>
                <w:lang w:val="en-US" w:eastAsia="zh-CN"/>
              </w:rPr>
              <w:instrText xml:space="preserve"> = 6 \* GB3 \* MERGEFORMAT </w:instrText>
            </w:r>
            <w:r>
              <w:rPr>
                <w:rFonts w:hint="default" w:ascii="Times New Roman" w:hAnsi="Times New Roman" w:eastAsia="黑体" w:cs="Times New Roman"/>
                <w:snapToGrid w:val="0"/>
                <w:color w:val="auto"/>
                <w:spacing w:val="-1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⑥</w:t>
            </w:r>
            <w:r>
              <w:rPr>
                <w:rFonts w:hint="default" w:ascii="Times New Roman" w:hAnsi="Times New Roman" w:eastAsia="黑体" w:cs="Times New Roman"/>
                <w:snapToGrid w:val="0"/>
                <w:color w:val="auto"/>
                <w:spacing w:val="-16"/>
                <w:kern w:val="21"/>
                <w:szCs w:val="21"/>
                <w:highlight w:val="none"/>
                <w:lang w:val="en-US" w:eastAsia="zh-CN"/>
              </w:rPr>
              <w:fldChar w:fldCharType="end"/>
            </w:r>
          </w:p>
        </w:tc>
        <w:tc>
          <w:tcPr>
            <w:tcW w:w="1469" w:type="dxa"/>
            <w:noWrap w:val="0"/>
            <w:tcMar>
              <w:left w:w="28" w:type="dxa"/>
              <w:right w:w="28" w:type="dxa"/>
            </w:tcMar>
            <w:vAlign w:val="center"/>
          </w:tcPr>
          <w:p w14:paraId="5248A0B7">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变化量</w:t>
            </w:r>
          </w:p>
          <w:p w14:paraId="5170D444">
            <w:pPr>
              <w:pStyle w:val="62"/>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7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⑦</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r>
      <w:tr w14:paraId="18DA3B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restart"/>
            <w:noWrap w:val="0"/>
            <w:vAlign w:val="center"/>
          </w:tcPr>
          <w:p w14:paraId="1C3669DA">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废气</w:t>
            </w:r>
          </w:p>
        </w:tc>
        <w:tc>
          <w:tcPr>
            <w:tcW w:w="1740" w:type="dxa"/>
            <w:noWrap w:val="0"/>
            <w:vAlign w:val="center"/>
          </w:tcPr>
          <w:p w14:paraId="1FEB4046">
            <w:pPr>
              <w:tabs>
                <w:tab w:val="left" w:pos="624"/>
              </w:tabs>
              <w:spacing w:line="240" w:lineRule="auto"/>
              <w:jc w:val="center"/>
              <w:rPr>
                <w:rFonts w:hint="default" w:ascii="Times New Roman" w:hAnsi="Times New Roman" w:eastAsia="宋体" w:cs="Times New Roman"/>
                <w:iCs/>
                <w:color w:val="auto"/>
                <w:kern w:val="2"/>
                <w:sz w:val="21"/>
                <w:szCs w:val="24"/>
                <w:highlight w:val="none"/>
                <w:lang w:val="en-US" w:eastAsia="zh-CN" w:bidi="ar-SA"/>
              </w:rPr>
            </w:pPr>
            <w:r>
              <w:rPr>
                <w:rFonts w:hint="default" w:ascii="Times New Roman" w:hAnsi="Times New Roman" w:cs="Times New Roman"/>
                <w:color w:val="auto"/>
                <w:sz w:val="21"/>
                <w:szCs w:val="21"/>
                <w:highlight w:val="none"/>
              </w:rPr>
              <w:t>烟尘</w:t>
            </w:r>
          </w:p>
        </w:tc>
        <w:tc>
          <w:tcPr>
            <w:tcW w:w="1602" w:type="dxa"/>
            <w:noWrap w:val="0"/>
            <w:vAlign w:val="center"/>
          </w:tcPr>
          <w:p w14:paraId="49CECF24">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79284211">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4796AF26">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6493767C">
            <w:pPr>
              <w:spacing w:beforeLines="0" w:afterLines="0"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0.10</w:t>
            </w:r>
            <w:r>
              <w:rPr>
                <w:rFonts w:hint="eastAsia" w:ascii="Times New Roman" w:hAnsi="Times New Roman" w:cs="Times New Roman"/>
                <w:snapToGrid w:val="0"/>
                <w:color w:val="auto"/>
                <w:kern w:val="21"/>
                <w:szCs w:val="21"/>
                <w:highlight w:val="none"/>
                <w:lang w:val="en-US" w:eastAsia="zh-CN"/>
              </w:rPr>
              <w:t>t/a</w:t>
            </w:r>
          </w:p>
        </w:tc>
        <w:tc>
          <w:tcPr>
            <w:tcW w:w="1416" w:type="dxa"/>
            <w:noWrap w:val="0"/>
            <w:vAlign w:val="center"/>
          </w:tcPr>
          <w:p w14:paraId="02081C9B">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04E0CE37">
            <w:pPr>
              <w:spacing w:beforeLines="0" w:afterLines="0" w:line="240" w:lineRule="auto"/>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0.10</w:t>
            </w:r>
            <w:r>
              <w:rPr>
                <w:rFonts w:hint="eastAsia" w:ascii="Times New Roman" w:hAnsi="Times New Roman" w:cs="Times New Roman"/>
                <w:snapToGrid w:val="0"/>
                <w:color w:val="auto"/>
                <w:kern w:val="21"/>
                <w:szCs w:val="21"/>
                <w:highlight w:val="none"/>
                <w:lang w:val="en-US" w:eastAsia="zh-CN"/>
              </w:rPr>
              <w:t>t/a</w:t>
            </w:r>
          </w:p>
        </w:tc>
        <w:tc>
          <w:tcPr>
            <w:tcW w:w="1469" w:type="dxa"/>
            <w:noWrap w:val="0"/>
            <w:vAlign w:val="center"/>
          </w:tcPr>
          <w:p w14:paraId="45944845">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szCs w:val="21"/>
                <w:highlight w:val="none"/>
                <w:lang w:val="en-US" w:eastAsia="zh-CN"/>
              </w:rPr>
              <w:t>+0.10</w:t>
            </w:r>
            <w:r>
              <w:rPr>
                <w:rFonts w:hint="eastAsia" w:ascii="Times New Roman" w:hAnsi="Times New Roman" w:cs="Times New Roman"/>
                <w:snapToGrid w:val="0"/>
                <w:color w:val="auto"/>
                <w:kern w:val="21"/>
                <w:szCs w:val="21"/>
                <w:highlight w:val="none"/>
                <w:lang w:val="en-US" w:eastAsia="zh-CN"/>
              </w:rPr>
              <w:t>t/a</w:t>
            </w:r>
          </w:p>
        </w:tc>
      </w:tr>
      <w:tr w14:paraId="5CBA08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6B1BDE3C">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43DC33A3">
            <w:pPr>
              <w:tabs>
                <w:tab w:val="left" w:pos="624"/>
              </w:tabs>
              <w:spacing w:line="240" w:lineRule="auto"/>
              <w:jc w:val="center"/>
              <w:rPr>
                <w:rFonts w:hint="default" w:ascii="Times New Roman" w:hAnsi="Times New Roman" w:cs="Times New Roman"/>
                <w:iCs/>
                <w:color w:val="auto"/>
                <w:kern w:val="2"/>
                <w:sz w:val="21"/>
                <w:szCs w:val="24"/>
                <w:highlight w:val="none"/>
                <w:lang w:val="en-US" w:eastAsia="zh-CN" w:bidi="ar-SA"/>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602" w:type="dxa"/>
            <w:noWrap w:val="0"/>
            <w:vAlign w:val="center"/>
          </w:tcPr>
          <w:p w14:paraId="3BF313B0">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5BB72C03">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38DA1CCF">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06872FF9">
            <w:pPr>
              <w:spacing w:beforeLines="0" w:afterLines="0"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0.33</w:t>
            </w:r>
            <w:r>
              <w:rPr>
                <w:rFonts w:hint="eastAsia" w:ascii="Times New Roman" w:hAnsi="Times New Roman" w:cs="Times New Roman"/>
                <w:snapToGrid w:val="0"/>
                <w:color w:val="auto"/>
                <w:kern w:val="21"/>
                <w:szCs w:val="21"/>
                <w:highlight w:val="none"/>
                <w:lang w:val="en-US" w:eastAsia="zh-CN"/>
              </w:rPr>
              <w:t>t/a</w:t>
            </w:r>
          </w:p>
        </w:tc>
        <w:tc>
          <w:tcPr>
            <w:tcW w:w="1416" w:type="dxa"/>
            <w:noWrap w:val="0"/>
            <w:vAlign w:val="center"/>
          </w:tcPr>
          <w:p w14:paraId="4E6C8F25">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11DA089E">
            <w:pPr>
              <w:spacing w:beforeLines="0" w:afterLines="0"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0.33</w:t>
            </w:r>
            <w:r>
              <w:rPr>
                <w:rFonts w:hint="eastAsia" w:ascii="Times New Roman" w:hAnsi="Times New Roman" w:cs="Times New Roman"/>
                <w:snapToGrid w:val="0"/>
                <w:color w:val="auto"/>
                <w:kern w:val="21"/>
                <w:szCs w:val="21"/>
                <w:highlight w:val="none"/>
                <w:lang w:val="en-US" w:eastAsia="zh-CN"/>
              </w:rPr>
              <w:t>t/a</w:t>
            </w:r>
          </w:p>
        </w:tc>
        <w:tc>
          <w:tcPr>
            <w:tcW w:w="1469" w:type="dxa"/>
            <w:noWrap w:val="0"/>
            <w:vAlign w:val="center"/>
          </w:tcPr>
          <w:p w14:paraId="33DAE4B3">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szCs w:val="21"/>
                <w:highlight w:val="none"/>
                <w:lang w:val="en-US" w:eastAsia="zh-CN"/>
              </w:rPr>
              <w:t>+0.33</w:t>
            </w:r>
            <w:r>
              <w:rPr>
                <w:rFonts w:hint="eastAsia" w:ascii="Times New Roman" w:hAnsi="Times New Roman" w:cs="Times New Roman"/>
                <w:snapToGrid w:val="0"/>
                <w:color w:val="auto"/>
                <w:kern w:val="21"/>
                <w:szCs w:val="21"/>
                <w:highlight w:val="none"/>
                <w:lang w:val="en-US" w:eastAsia="zh-CN"/>
              </w:rPr>
              <w:t>t/a</w:t>
            </w:r>
          </w:p>
        </w:tc>
      </w:tr>
      <w:tr w14:paraId="6C58F0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73A5CD3A">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3E104439">
            <w:pPr>
              <w:tabs>
                <w:tab w:val="left" w:pos="624"/>
              </w:tabs>
              <w:spacing w:line="240" w:lineRule="auto"/>
              <w:jc w:val="center"/>
              <w:rPr>
                <w:rFonts w:hint="default" w:ascii="Times New Roman" w:hAnsi="Times New Roman" w:eastAsia="宋体" w:cs="Times New Roman"/>
                <w:iCs/>
                <w:color w:val="auto"/>
                <w:kern w:val="2"/>
                <w:sz w:val="21"/>
                <w:szCs w:val="24"/>
                <w:highlight w:val="none"/>
                <w:lang w:val="en-US" w:eastAsia="zh-CN" w:bidi="ar-SA"/>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X</w:t>
            </w:r>
          </w:p>
        </w:tc>
        <w:tc>
          <w:tcPr>
            <w:tcW w:w="1602" w:type="dxa"/>
            <w:noWrap w:val="0"/>
            <w:vAlign w:val="center"/>
          </w:tcPr>
          <w:p w14:paraId="67DC5870">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606C3044">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2FE89225">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36885FD5">
            <w:pPr>
              <w:spacing w:beforeLines="0" w:afterLines="0"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1.56</w:t>
            </w:r>
            <w:r>
              <w:rPr>
                <w:rFonts w:hint="eastAsia" w:ascii="Times New Roman" w:hAnsi="Times New Roman" w:cs="Times New Roman"/>
                <w:snapToGrid w:val="0"/>
                <w:color w:val="auto"/>
                <w:kern w:val="21"/>
                <w:szCs w:val="21"/>
                <w:highlight w:val="none"/>
                <w:lang w:val="en-US" w:eastAsia="zh-CN"/>
              </w:rPr>
              <w:t>t/a</w:t>
            </w:r>
          </w:p>
        </w:tc>
        <w:tc>
          <w:tcPr>
            <w:tcW w:w="1416" w:type="dxa"/>
            <w:noWrap w:val="0"/>
            <w:vAlign w:val="center"/>
          </w:tcPr>
          <w:p w14:paraId="367A59A7">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01347E52">
            <w:pPr>
              <w:spacing w:beforeLines="0" w:afterLines="0"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1.56</w:t>
            </w:r>
            <w:r>
              <w:rPr>
                <w:rFonts w:hint="eastAsia" w:ascii="Times New Roman" w:hAnsi="Times New Roman" w:cs="Times New Roman"/>
                <w:snapToGrid w:val="0"/>
                <w:color w:val="auto"/>
                <w:kern w:val="21"/>
                <w:szCs w:val="21"/>
                <w:highlight w:val="none"/>
                <w:lang w:val="en-US" w:eastAsia="zh-CN"/>
              </w:rPr>
              <w:t>t/a</w:t>
            </w:r>
          </w:p>
        </w:tc>
        <w:tc>
          <w:tcPr>
            <w:tcW w:w="1469" w:type="dxa"/>
            <w:noWrap w:val="0"/>
            <w:vAlign w:val="center"/>
          </w:tcPr>
          <w:p w14:paraId="0FCC5CF2">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szCs w:val="21"/>
                <w:highlight w:val="none"/>
                <w:lang w:val="en-US" w:eastAsia="zh-CN"/>
              </w:rPr>
              <w:t>+1.56</w:t>
            </w:r>
            <w:r>
              <w:rPr>
                <w:rFonts w:hint="eastAsia" w:ascii="Times New Roman" w:hAnsi="Times New Roman" w:cs="Times New Roman"/>
                <w:snapToGrid w:val="0"/>
                <w:color w:val="auto"/>
                <w:kern w:val="21"/>
                <w:szCs w:val="21"/>
                <w:highlight w:val="none"/>
                <w:lang w:val="en-US" w:eastAsia="zh-CN"/>
              </w:rPr>
              <w:t>t/a</w:t>
            </w:r>
          </w:p>
        </w:tc>
      </w:tr>
      <w:tr w14:paraId="33E2AB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5E41A101">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7717058D">
            <w:pPr>
              <w:tabs>
                <w:tab w:val="left" w:pos="624"/>
              </w:tabs>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非甲烷总烃</w:t>
            </w:r>
          </w:p>
        </w:tc>
        <w:tc>
          <w:tcPr>
            <w:tcW w:w="1602" w:type="dxa"/>
            <w:noWrap w:val="0"/>
            <w:vAlign w:val="center"/>
          </w:tcPr>
          <w:p w14:paraId="2FE34237">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57BE102D">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64DB101C">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3173AC1A">
            <w:pPr>
              <w:spacing w:beforeLines="0" w:afterLines="0" w:line="240" w:lineRule="auto"/>
              <w:jc w:val="center"/>
              <w:rPr>
                <w:rFonts w:hint="eastAsia" w:cs="Times New Roman"/>
                <w:color w:val="auto"/>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0.0</w:t>
            </w:r>
            <w:r>
              <w:rPr>
                <w:rFonts w:hint="eastAsia" w:cs="Times New Roman"/>
                <w:snapToGrid w:val="0"/>
                <w:color w:val="auto"/>
                <w:kern w:val="21"/>
                <w:szCs w:val="21"/>
                <w:highlight w:val="none"/>
                <w:lang w:val="en-US" w:eastAsia="zh-CN"/>
              </w:rPr>
              <w:t>734</w:t>
            </w:r>
            <w:r>
              <w:rPr>
                <w:rFonts w:hint="eastAsia" w:ascii="Times New Roman" w:hAnsi="Times New Roman" w:cs="Times New Roman"/>
                <w:snapToGrid w:val="0"/>
                <w:color w:val="auto"/>
                <w:kern w:val="21"/>
                <w:szCs w:val="21"/>
                <w:highlight w:val="none"/>
                <w:lang w:val="en-US" w:eastAsia="zh-CN"/>
              </w:rPr>
              <w:t>t/a</w:t>
            </w:r>
          </w:p>
        </w:tc>
        <w:tc>
          <w:tcPr>
            <w:tcW w:w="1416" w:type="dxa"/>
            <w:noWrap w:val="0"/>
            <w:vAlign w:val="center"/>
          </w:tcPr>
          <w:p w14:paraId="6C278A9A">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710" w:type="dxa"/>
            <w:noWrap w:val="0"/>
            <w:vAlign w:val="center"/>
          </w:tcPr>
          <w:p w14:paraId="54B7CBAC">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0.0</w:t>
            </w:r>
            <w:r>
              <w:rPr>
                <w:rFonts w:hint="eastAsia" w:cs="Times New Roman"/>
                <w:snapToGrid w:val="0"/>
                <w:color w:val="auto"/>
                <w:kern w:val="21"/>
                <w:szCs w:val="21"/>
                <w:highlight w:val="none"/>
                <w:lang w:val="en-US" w:eastAsia="zh-CN"/>
              </w:rPr>
              <w:t>734</w:t>
            </w:r>
            <w:r>
              <w:rPr>
                <w:rFonts w:hint="eastAsia" w:ascii="Times New Roman" w:hAnsi="Times New Roman" w:cs="Times New Roman"/>
                <w:snapToGrid w:val="0"/>
                <w:color w:val="auto"/>
                <w:kern w:val="21"/>
                <w:szCs w:val="21"/>
                <w:highlight w:val="none"/>
                <w:lang w:val="en-US" w:eastAsia="zh-CN"/>
              </w:rPr>
              <w:t>t/a</w:t>
            </w:r>
          </w:p>
        </w:tc>
        <w:tc>
          <w:tcPr>
            <w:tcW w:w="1469" w:type="dxa"/>
            <w:noWrap w:val="0"/>
            <w:vAlign w:val="center"/>
          </w:tcPr>
          <w:p w14:paraId="6D1012F7">
            <w:pPr>
              <w:spacing w:beforeLines="0" w:afterLines="0" w:line="240" w:lineRule="auto"/>
              <w:jc w:val="center"/>
              <w:rPr>
                <w:rFonts w:hint="eastAsia" w:cs="Times New Roman"/>
                <w:color w:val="auto"/>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+0.0</w:t>
            </w:r>
            <w:r>
              <w:rPr>
                <w:rFonts w:hint="eastAsia" w:cs="Times New Roman"/>
                <w:snapToGrid w:val="0"/>
                <w:color w:val="auto"/>
                <w:kern w:val="21"/>
                <w:szCs w:val="21"/>
                <w:highlight w:val="none"/>
                <w:lang w:val="en-US" w:eastAsia="zh-CN"/>
              </w:rPr>
              <w:t>734</w:t>
            </w:r>
            <w:r>
              <w:rPr>
                <w:rFonts w:hint="eastAsia" w:ascii="Times New Roman" w:hAnsi="Times New Roman" w:cs="Times New Roman"/>
                <w:snapToGrid w:val="0"/>
                <w:color w:val="auto"/>
                <w:kern w:val="21"/>
                <w:szCs w:val="21"/>
                <w:highlight w:val="none"/>
                <w:lang w:val="en-US" w:eastAsia="zh-CN"/>
              </w:rPr>
              <w:t>t/a</w:t>
            </w:r>
          </w:p>
        </w:tc>
      </w:tr>
      <w:tr w14:paraId="3E19F9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29C6C9B6">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15BD153A">
            <w:pPr>
              <w:tabs>
                <w:tab w:val="left" w:pos="624"/>
              </w:tabs>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1602" w:type="dxa"/>
            <w:noWrap w:val="0"/>
            <w:vAlign w:val="center"/>
          </w:tcPr>
          <w:p w14:paraId="537DEC90">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6D96D367">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60EAB02A">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2AEEA309">
            <w:pPr>
              <w:spacing w:beforeLines="0" w:afterLines="0" w:line="240" w:lineRule="auto"/>
              <w:jc w:val="center"/>
              <w:rPr>
                <w:rFonts w:hint="eastAsia" w:cs="Times New Roman"/>
                <w:color w:val="auto"/>
                <w:szCs w:val="21"/>
                <w:highlight w:val="none"/>
                <w:lang w:val="en-US" w:eastAsia="zh-CN"/>
              </w:rPr>
            </w:pPr>
            <w:r>
              <w:rPr>
                <w:rFonts w:hint="eastAsia" w:cs="Times New Roman"/>
                <w:snapToGrid w:val="0"/>
                <w:color w:val="auto"/>
                <w:kern w:val="21"/>
                <w:szCs w:val="21"/>
                <w:highlight w:val="none"/>
                <w:lang w:val="en-US" w:eastAsia="zh-CN"/>
              </w:rPr>
              <w:t>1.497</w:t>
            </w:r>
            <w:r>
              <w:rPr>
                <w:rFonts w:hint="eastAsia" w:ascii="Times New Roman" w:hAnsi="Times New Roman" w:cs="Times New Roman"/>
                <w:snapToGrid w:val="0"/>
                <w:color w:val="auto"/>
                <w:kern w:val="21"/>
                <w:szCs w:val="21"/>
                <w:highlight w:val="none"/>
                <w:lang w:val="en-US" w:eastAsia="zh-CN"/>
              </w:rPr>
              <w:t>t/a</w:t>
            </w:r>
          </w:p>
        </w:tc>
        <w:tc>
          <w:tcPr>
            <w:tcW w:w="1416" w:type="dxa"/>
            <w:noWrap w:val="0"/>
            <w:vAlign w:val="center"/>
          </w:tcPr>
          <w:p w14:paraId="6F97CBB3">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710" w:type="dxa"/>
            <w:noWrap w:val="0"/>
            <w:vAlign w:val="center"/>
          </w:tcPr>
          <w:p w14:paraId="1B614F12">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1.497</w:t>
            </w:r>
            <w:r>
              <w:rPr>
                <w:rFonts w:hint="eastAsia" w:ascii="Times New Roman" w:hAnsi="Times New Roman" w:cs="Times New Roman"/>
                <w:snapToGrid w:val="0"/>
                <w:color w:val="auto"/>
                <w:kern w:val="21"/>
                <w:szCs w:val="21"/>
                <w:highlight w:val="none"/>
                <w:lang w:val="en-US" w:eastAsia="zh-CN"/>
              </w:rPr>
              <w:t>t/a</w:t>
            </w:r>
          </w:p>
        </w:tc>
        <w:tc>
          <w:tcPr>
            <w:tcW w:w="1469" w:type="dxa"/>
            <w:noWrap w:val="0"/>
            <w:vAlign w:val="center"/>
          </w:tcPr>
          <w:p w14:paraId="2731E1F9">
            <w:pPr>
              <w:spacing w:beforeLines="0" w:afterLines="0" w:line="240" w:lineRule="auto"/>
              <w:jc w:val="center"/>
              <w:rPr>
                <w:rFonts w:hint="eastAsia" w:cs="Times New Roman"/>
                <w:color w:val="auto"/>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r>
              <w:rPr>
                <w:rFonts w:hint="eastAsia" w:cs="Times New Roman"/>
                <w:snapToGrid w:val="0"/>
                <w:color w:val="auto"/>
                <w:kern w:val="21"/>
                <w:szCs w:val="21"/>
                <w:highlight w:val="none"/>
                <w:lang w:val="en-US" w:eastAsia="zh-CN"/>
              </w:rPr>
              <w:t>1.497</w:t>
            </w:r>
            <w:r>
              <w:rPr>
                <w:rFonts w:hint="eastAsia" w:ascii="Times New Roman" w:hAnsi="Times New Roman" w:cs="Times New Roman"/>
                <w:snapToGrid w:val="0"/>
                <w:color w:val="auto"/>
                <w:kern w:val="21"/>
                <w:szCs w:val="21"/>
                <w:highlight w:val="none"/>
                <w:lang w:val="en-US" w:eastAsia="zh-CN"/>
              </w:rPr>
              <w:t>t/a</w:t>
            </w:r>
          </w:p>
        </w:tc>
      </w:tr>
      <w:tr w14:paraId="14F0F2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restart"/>
            <w:noWrap w:val="0"/>
            <w:vAlign w:val="center"/>
          </w:tcPr>
          <w:p w14:paraId="15535489">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废水</w:t>
            </w:r>
          </w:p>
        </w:tc>
        <w:tc>
          <w:tcPr>
            <w:tcW w:w="1740" w:type="dxa"/>
            <w:noWrap w:val="0"/>
            <w:vAlign w:val="center"/>
          </w:tcPr>
          <w:p w14:paraId="2F35BE72">
            <w:pPr>
              <w:pStyle w:val="11"/>
              <w:keepNext w:val="0"/>
              <w:keepLines w:val="0"/>
              <w:pageBreakBefore w:val="0"/>
              <w:widowControl/>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仿宋" w:cs="Times New Roman"/>
                <w:color w:val="auto"/>
                <w:sz w:val="21"/>
                <w:szCs w:val="21"/>
                <w:highlight w:val="none"/>
                <w:vertAlign w:val="baseline"/>
                <w:lang w:val="en-US" w:eastAsia="zh-CN"/>
              </w:rPr>
              <w:t>COD</w:t>
            </w:r>
          </w:p>
        </w:tc>
        <w:tc>
          <w:tcPr>
            <w:tcW w:w="1602" w:type="dxa"/>
            <w:noWrap w:val="0"/>
            <w:vAlign w:val="center"/>
          </w:tcPr>
          <w:p w14:paraId="4F0C2FF2">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70F651F6">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7A8BE240">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5C2684D8">
            <w:pPr>
              <w:spacing w:beforeLines="0" w:afterLines="0" w:line="240" w:lineRule="auto"/>
              <w:jc w:val="center"/>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w:t>
            </w:r>
          </w:p>
        </w:tc>
        <w:tc>
          <w:tcPr>
            <w:tcW w:w="1416" w:type="dxa"/>
            <w:noWrap w:val="0"/>
            <w:vAlign w:val="center"/>
          </w:tcPr>
          <w:p w14:paraId="00AA0248">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199A95B5">
            <w:pPr>
              <w:spacing w:beforeLines="0" w:afterLines="0" w:line="240" w:lineRule="auto"/>
              <w:jc w:val="center"/>
              <w:rPr>
                <w:rFonts w:hint="default" w:ascii="Times New Roman" w:hAnsi="Times New Roman" w:cs="Times New Roman"/>
                <w:color w:val="auto"/>
                <w:szCs w:val="21"/>
                <w:highlight w:val="none"/>
              </w:rPr>
            </w:pPr>
            <w:r>
              <w:rPr>
                <w:rFonts w:hint="eastAsia" w:ascii="Times New Roman" w:hAnsi="Times New Roman" w:cs="Times New Roman"/>
                <w:snapToGrid w:val="0"/>
                <w:color w:val="auto"/>
                <w:kern w:val="21"/>
                <w:szCs w:val="21"/>
                <w:highlight w:val="none"/>
                <w:lang w:val="en-US" w:eastAsia="zh-CN"/>
              </w:rPr>
              <w:t>-</w:t>
            </w:r>
          </w:p>
        </w:tc>
        <w:tc>
          <w:tcPr>
            <w:tcW w:w="1469" w:type="dxa"/>
            <w:noWrap w:val="0"/>
            <w:vAlign w:val="center"/>
          </w:tcPr>
          <w:p w14:paraId="1739049C">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r>
      <w:tr w14:paraId="59DF64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1A956FB0">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29F49C9D">
            <w:pPr>
              <w:pStyle w:val="11"/>
              <w:keepNext w:val="0"/>
              <w:keepLines w:val="0"/>
              <w:pageBreakBefore w:val="0"/>
              <w:widowControl/>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仿宋" w:cs="Times New Roman"/>
                <w:color w:val="auto"/>
                <w:sz w:val="21"/>
                <w:szCs w:val="21"/>
                <w:highlight w:val="none"/>
                <w:vertAlign w:val="baseline"/>
                <w:lang w:val="en-US" w:eastAsia="zh-CN"/>
              </w:rPr>
              <w:t>NH</w:t>
            </w:r>
            <w:r>
              <w:rPr>
                <w:rFonts w:hint="default" w:ascii="Times New Roman" w:hAnsi="Times New Roman" w:eastAsia="仿宋" w:cs="Times New Roman"/>
                <w:color w:val="auto"/>
                <w:sz w:val="21"/>
                <w:szCs w:val="21"/>
                <w:highlight w:val="none"/>
                <w:vertAlign w:val="subscript"/>
                <w:lang w:val="en-US" w:eastAsia="zh-CN"/>
              </w:rPr>
              <w:t>3</w:t>
            </w:r>
            <w:r>
              <w:rPr>
                <w:rFonts w:hint="default" w:ascii="Times New Roman" w:hAnsi="Times New Roman" w:eastAsia="仿宋" w:cs="Times New Roman"/>
                <w:color w:val="auto"/>
                <w:sz w:val="21"/>
                <w:szCs w:val="21"/>
                <w:highlight w:val="none"/>
                <w:vertAlign w:val="baseline"/>
                <w:lang w:val="en-US" w:eastAsia="zh-CN"/>
              </w:rPr>
              <w:t>-N</w:t>
            </w:r>
          </w:p>
        </w:tc>
        <w:tc>
          <w:tcPr>
            <w:tcW w:w="1602" w:type="dxa"/>
            <w:noWrap w:val="0"/>
            <w:vAlign w:val="center"/>
          </w:tcPr>
          <w:p w14:paraId="6B26FE94">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2A676F92">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1E115977">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2E870E09">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416" w:type="dxa"/>
            <w:noWrap w:val="0"/>
            <w:vAlign w:val="center"/>
          </w:tcPr>
          <w:p w14:paraId="30D34E13">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6907D849">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469" w:type="dxa"/>
            <w:noWrap w:val="0"/>
            <w:vAlign w:val="center"/>
          </w:tcPr>
          <w:p w14:paraId="7D90F8AE">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r>
      <w:tr w14:paraId="2DFE09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restart"/>
            <w:noWrap w:val="0"/>
            <w:vAlign w:val="center"/>
          </w:tcPr>
          <w:p w14:paraId="1B70396A">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一般工业</w:t>
            </w:r>
          </w:p>
          <w:p w14:paraId="691BDBBA">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固体废物</w:t>
            </w:r>
          </w:p>
        </w:tc>
        <w:tc>
          <w:tcPr>
            <w:tcW w:w="1740" w:type="dxa"/>
            <w:noWrap w:val="0"/>
            <w:vAlign w:val="center"/>
          </w:tcPr>
          <w:p w14:paraId="08CCE2DE">
            <w:pPr>
              <w:pStyle w:val="25"/>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smallCaps w:val="0"/>
                <w:color w:val="auto"/>
                <w:sz w:val="21"/>
                <w:szCs w:val="21"/>
                <w:highlight w:val="none"/>
                <w:lang w:val="en-US" w:eastAsia="zh-CN"/>
              </w:rPr>
              <w:t>废包装袋</w:t>
            </w:r>
          </w:p>
        </w:tc>
        <w:tc>
          <w:tcPr>
            <w:tcW w:w="1602" w:type="dxa"/>
            <w:noWrap w:val="0"/>
            <w:vAlign w:val="center"/>
          </w:tcPr>
          <w:p w14:paraId="12675606">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6BD59519">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036A7491">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4D2780CB">
            <w:pPr>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0.</w:t>
            </w:r>
            <w:r>
              <w:rPr>
                <w:rFonts w:hint="eastAsia" w:cs="Times New Roman"/>
                <w:smallCaps w:val="0"/>
                <w:color w:val="auto"/>
                <w:sz w:val="21"/>
                <w:szCs w:val="21"/>
                <w:highlight w:val="none"/>
                <w:lang w:val="en-US" w:eastAsia="zh-CN"/>
              </w:rPr>
              <w:t>5</w:t>
            </w:r>
            <w:r>
              <w:rPr>
                <w:rFonts w:hint="eastAsia" w:ascii="Times New Roman" w:hAnsi="Times New Roman" w:eastAsia="宋体" w:cs="Times New Roman"/>
                <w:smallCaps w:val="0"/>
                <w:color w:val="auto"/>
                <w:sz w:val="21"/>
                <w:szCs w:val="21"/>
                <w:highlight w:val="none"/>
                <w:lang w:val="en-US" w:eastAsia="zh-CN"/>
              </w:rPr>
              <w:t>t/a</w:t>
            </w:r>
          </w:p>
        </w:tc>
        <w:tc>
          <w:tcPr>
            <w:tcW w:w="1416" w:type="dxa"/>
            <w:noWrap w:val="0"/>
            <w:vAlign w:val="center"/>
          </w:tcPr>
          <w:p w14:paraId="43E668FC">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0E958E3C">
            <w:pPr>
              <w:jc w:val="center"/>
              <w:rPr>
                <w:rFonts w:hint="default" w:ascii="Times New Roman" w:hAnsi="Times New Roman" w:cs="Times New Roman"/>
                <w:color w:val="auto"/>
                <w:sz w:val="21"/>
                <w:highlight w:val="none"/>
              </w:rPr>
            </w:pPr>
            <w:r>
              <w:rPr>
                <w:rFonts w:hint="eastAsia" w:ascii="Times New Roman" w:hAnsi="Times New Roman" w:eastAsia="宋体" w:cs="Times New Roman"/>
                <w:smallCaps w:val="0"/>
                <w:color w:val="auto"/>
                <w:sz w:val="21"/>
                <w:szCs w:val="21"/>
                <w:highlight w:val="none"/>
                <w:lang w:val="en-US" w:eastAsia="zh-CN"/>
              </w:rPr>
              <w:t>0.</w:t>
            </w:r>
            <w:r>
              <w:rPr>
                <w:rFonts w:hint="eastAsia" w:cs="Times New Roman"/>
                <w:smallCaps w:val="0"/>
                <w:color w:val="auto"/>
                <w:sz w:val="21"/>
                <w:szCs w:val="21"/>
                <w:highlight w:val="none"/>
                <w:lang w:val="en-US" w:eastAsia="zh-CN"/>
              </w:rPr>
              <w:t>5</w:t>
            </w:r>
            <w:r>
              <w:rPr>
                <w:rFonts w:hint="eastAsia" w:ascii="Times New Roman" w:hAnsi="Times New Roman" w:eastAsia="宋体" w:cs="Times New Roman"/>
                <w:smallCaps w:val="0"/>
                <w:color w:val="auto"/>
                <w:sz w:val="21"/>
                <w:szCs w:val="21"/>
                <w:highlight w:val="none"/>
                <w:lang w:val="en-US" w:eastAsia="zh-CN"/>
              </w:rPr>
              <w:t>t/a</w:t>
            </w:r>
          </w:p>
        </w:tc>
        <w:tc>
          <w:tcPr>
            <w:tcW w:w="1469" w:type="dxa"/>
            <w:noWrap w:val="0"/>
            <w:vAlign w:val="center"/>
          </w:tcPr>
          <w:p w14:paraId="1F8F4AD9">
            <w:pPr>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+0.</w:t>
            </w:r>
            <w:r>
              <w:rPr>
                <w:rFonts w:hint="eastAsia" w:cs="Times New Roman"/>
                <w:smallCaps w:val="0"/>
                <w:color w:val="auto"/>
                <w:sz w:val="21"/>
                <w:szCs w:val="21"/>
                <w:highlight w:val="none"/>
                <w:lang w:val="en-US" w:eastAsia="zh-CN"/>
              </w:rPr>
              <w:t>5</w:t>
            </w:r>
            <w:r>
              <w:rPr>
                <w:rFonts w:hint="eastAsia" w:ascii="Times New Roman" w:hAnsi="Times New Roman" w:eastAsia="宋体" w:cs="Times New Roman"/>
                <w:smallCaps w:val="0"/>
                <w:color w:val="auto"/>
                <w:sz w:val="21"/>
                <w:szCs w:val="21"/>
                <w:highlight w:val="none"/>
                <w:lang w:val="en-US" w:eastAsia="zh-CN"/>
              </w:rPr>
              <w:t>t/a</w:t>
            </w:r>
          </w:p>
        </w:tc>
      </w:tr>
      <w:tr w14:paraId="01F202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63A7F09B">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585A1AED">
            <w:pPr>
              <w:pStyle w:val="25"/>
              <w:ind w:left="0" w:leftChars="0" w:firstLine="0" w:firstLineChars="0"/>
              <w:jc w:val="center"/>
              <w:rPr>
                <w:rFonts w:hint="default" w:ascii="Times New Roman" w:hAnsi="Times New Roman" w:cs="Times New Roman"/>
                <w:color w:val="auto"/>
                <w:sz w:val="21"/>
                <w:highlight w:val="none"/>
                <w:lang w:val="en-US" w:eastAsia="zh-CN"/>
              </w:rPr>
            </w:pPr>
            <w:r>
              <w:rPr>
                <w:rFonts w:hint="eastAsia" w:ascii="Times New Roman" w:hAnsi="Times New Roman" w:cs="宋体"/>
                <w:smallCaps w:val="0"/>
                <w:color w:val="auto"/>
                <w:sz w:val="21"/>
                <w:szCs w:val="21"/>
                <w:highlight w:val="none"/>
                <w:vertAlign w:val="baseline"/>
                <w:lang w:val="en-US" w:eastAsia="zh-CN"/>
              </w:rPr>
              <w:t>废边角料</w:t>
            </w:r>
          </w:p>
        </w:tc>
        <w:tc>
          <w:tcPr>
            <w:tcW w:w="1602" w:type="dxa"/>
            <w:noWrap w:val="0"/>
            <w:vAlign w:val="center"/>
          </w:tcPr>
          <w:p w14:paraId="1D5FC64A">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6B8C3EAA">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6155F6EB">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551" w:type="dxa"/>
            <w:noWrap w:val="0"/>
            <w:vAlign w:val="center"/>
          </w:tcPr>
          <w:p w14:paraId="54DEBE9A">
            <w:pPr>
              <w:jc w:val="center"/>
              <w:rPr>
                <w:rFonts w:hint="default" w:ascii="Times New Roman" w:hAnsi="Times New Roman" w:cs="Times New Roman"/>
                <w:color w:val="auto"/>
                <w:sz w:val="21"/>
                <w:highlight w:val="none"/>
                <w:lang w:val="en-US" w:eastAsia="zh-CN"/>
              </w:rPr>
            </w:pPr>
            <w:r>
              <w:rPr>
                <w:rFonts w:hint="eastAsia" w:cs="宋体"/>
                <w:smallCaps w:val="0"/>
                <w:color w:val="auto"/>
                <w:sz w:val="21"/>
                <w:szCs w:val="21"/>
                <w:highlight w:val="none"/>
                <w:vertAlign w:val="baseline"/>
                <w:lang w:val="en-US" w:eastAsia="zh-CN"/>
              </w:rPr>
              <w:t>48</w:t>
            </w:r>
            <w:r>
              <w:rPr>
                <w:rFonts w:hint="default" w:ascii="Times New Roman" w:hAnsi="Times New Roman" w:eastAsia="宋体" w:cs="宋体"/>
                <w:smallCaps w:val="0"/>
                <w:color w:val="auto"/>
                <w:sz w:val="21"/>
                <w:szCs w:val="21"/>
                <w:highlight w:val="none"/>
                <w:vertAlign w:val="baseline"/>
                <w:lang w:val="en-US" w:eastAsia="zh-CN"/>
              </w:rPr>
              <w:t>t/a</w:t>
            </w:r>
          </w:p>
        </w:tc>
        <w:tc>
          <w:tcPr>
            <w:tcW w:w="1416" w:type="dxa"/>
            <w:noWrap w:val="0"/>
            <w:vAlign w:val="center"/>
          </w:tcPr>
          <w:p w14:paraId="58D19FD6">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710" w:type="dxa"/>
            <w:noWrap w:val="0"/>
            <w:vAlign w:val="center"/>
          </w:tcPr>
          <w:p w14:paraId="21D11834">
            <w:pPr>
              <w:jc w:val="center"/>
              <w:rPr>
                <w:rFonts w:hint="eastAsia" w:ascii="Times New Roman" w:hAnsi="Times New Roman" w:cs="Times New Roman"/>
                <w:snapToGrid w:val="0"/>
                <w:color w:val="auto"/>
                <w:kern w:val="21"/>
                <w:szCs w:val="21"/>
                <w:highlight w:val="none"/>
                <w:lang w:val="en-US" w:eastAsia="zh-CN"/>
              </w:rPr>
            </w:pPr>
            <w:r>
              <w:rPr>
                <w:rFonts w:hint="eastAsia" w:cs="宋体"/>
                <w:smallCaps w:val="0"/>
                <w:color w:val="auto"/>
                <w:sz w:val="21"/>
                <w:szCs w:val="21"/>
                <w:highlight w:val="none"/>
                <w:vertAlign w:val="baseline"/>
                <w:lang w:val="en-US" w:eastAsia="zh-CN"/>
              </w:rPr>
              <w:t>48</w:t>
            </w:r>
            <w:r>
              <w:rPr>
                <w:rFonts w:hint="default" w:ascii="Times New Roman" w:hAnsi="Times New Roman" w:eastAsia="宋体" w:cs="宋体"/>
                <w:smallCaps w:val="0"/>
                <w:color w:val="auto"/>
                <w:sz w:val="21"/>
                <w:szCs w:val="21"/>
                <w:highlight w:val="none"/>
                <w:vertAlign w:val="baseline"/>
                <w:lang w:val="en-US" w:eastAsia="zh-CN"/>
              </w:rPr>
              <w:t>t/a</w:t>
            </w:r>
          </w:p>
        </w:tc>
        <w:tc>
          <w:tcPr>
            <w:tcW w:w="1469" w:type="dxa"/>
            <w:noWrap w:val="0"/>
            <w:vAlign w:val="center"/>
          </w:tcPr>
          <w:p w14:paraId="6ED09084">
            <w:pPr>
              <w:jc w:val="center"/>
              <w:rPr>
                <w:rFonts w:hint="eastAsia" w:ascii="Times New Roman" w:hAnsi="Times New Roman" w:cs="Times New Roman"/>
                <w:snapToGrid w:val="0"/>
                <w:color w:val="auto"/>
                <w:kern w:val="21"/>
                <w:szCs w:val="21"/>
                <w:highlight w:val="none"/>
                <w:lang w:val="en-US" w:eastAsia="zh-CN"/>
              </w:rPr>
            </w:pPr>
            <w:r>
              <w:rPr>
                <w:rFonts w:hint="eastAsia" w:cs="宋体"/>
                <w:smallCaps w:val="0"/>
                <w:color w:val="auto"/>
                <w:sz w:val="21"/>
                <w:szCs w:val="21"/>
                <w:highlight w:val="none"/>
                <w:vertAlign w:val="baseline"/>
                <w:lang w:val="en-US" w:eastAsia="zh-CN"/>
              </w:rPr>
              <w:t>+48</w:t>
            </w:r>
            <w:r>
              <w:rPr>
                <w:rFonts w:hint="default" w:ascii="Times New Roman" w:hAnsi="Times New Roman" w:eastAsia="宋体" w:cs="宋体"/>
                <w:smallCaps w:val="0"/>
                <w:color w:val="auto"/>
                <w:sz w:val="21"/>
                <w:szCs w:val="21"/>
                <w:highlight w:val="none"/>
                <w:vertAlign w:val="baseline"/>
                <w:lang w:val="en-US" w:eastAsia="zh-CN"/>
              </w:rPr>
              <w:t>t/a</w:t>
            </w:r>
          </w:p>
        </w:tc>
      </w:tr>
      <w:tr w14:paraId="715304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0001E82C">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7EAF8535">
            <w:pPr>
              <w:pStyle w:val="25"/>
              <w:ind w:left="0" w:leftChars="0" w:firstLine="0" w:firstLineChars="0"/>
              <w:jc w:val="center"/>
              <w:rPr>
                <w:rFonts w:hint="default" w:ascii="Times New Roman" w:hAnsi="Times New Roman" w:cs="Times New Roman"/>
                <w:color w:val="auto"/>
                <w:sz w:val="21"/>
                <w:highlight w:val="none"/>
              </w:rPr>
            </w:pPr>
            <w:r>
              <w:rPr>
                <w:rFonts w:hint="eastAsia" w:ascii="Times New Roman" w:hAnsi="Times New Roman" w:cs="宋体"/>
                <w:smallCaps w:val="0"/>
                <w:color w:val="auto"/>
                <w:sz w:val="21"/>
                <w:szCs w:val="21"/>
                <w:highlight w:val="none"/>
                <w:vertAlign w:val="baseline"/>
                <w:lang w:val="en-US" w:eastAsia="zh-CN"/>
              </w:rPr>
              <w:t>锅炉灰渣</w:t>
            </w:r>
          </w:p>
        </w:tc>
        <w:tc>
          <w:tcPr>
            <w:tcW w:w="1602" w:type="dxa"/>
            <w:noWrap w:val="0"/>
            <w:vAlign w:val="center"/>
          </w:tcPr>
          <w:p w14:paraId="71BF0BA4">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62D7B462">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14D4B5A9">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36A50E53">
            <w:pPr>
              <w:jc w:val="center"/>
              <w:rPr>
                <w:rFonts w:hint="eastAsia" w:ascii="Times New Roman" w:hAnsi="Times New Roman" w:eastAsia="宋体" w:cs="Times New Roman"/>
                <w:color w:val="auto"/>
                <w:sz w:val="21"/>
                <w:highlight w:val="none"/>
                <w:lang w:val="en-US" w:eastAsia="zh-CN"/>
              </w:rPr>
            </w:pPr>
            <w:r>
              <w:rPr>
                <w:rFonts w:hint="eastAsia" w:cs="Times New Roman"/>
                <w:smallCaps w:val="0"/>
                <w:color w:val="auto"/>
                <w:sz w:val="21"/>
                <w:szCs w:val="21"/>
                <w:highlight w:val="none"/>
                <w:lang w:val="en-US" w:eastAsia="zh-CN"/>
              </w:rPr>
              <w:t>106.98</w:t>
            </w:r>
            <w:r>
              <w:rPr>
                <w:rFonts w:hint="eastAsia" w:ascii="Times New Roman" w:hAnsi="Times New Roman" w:eastAsia="宋体" w:cs="Times New Roman"/>
                <w:smallCaps w:val="0"/>
                <w:color w:val="auto"/>
                <w:sz w:val="21"/>
                <w:szCs w:val="21"/>
                <w:highlight w:val="none"/>
                <w:lang w:val="en-US" w:eastAsia="zh-CN"/>
              </w:rPr>
              <w:t>t/a</w:t>
            </w:r>
          </w:p>
        </w:tc>
        <w:tc>
          <w:tcPr>
            <w:tcW w:w="1416" w:type="dxa"/>
            <w:noWrap w:val="0"/>
            <w:vAlign w:val="center"/>
          </w:tcPr>
          <w:p w14:paraId="3BB92281">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33FCE319">
            <w:pPr>
              <w:jc w:val="center"/>
              <w:rPr>
                <w:rFonts w:hint="default" w:ascii="Times New Roman" w:hAnsi="Times New Roman" w:cs="Times New Roman"/>
                <w:color w:val="auto"/>
                <w:sz w:val="21"/>
                <w:highlight w:val="none"/>
              </w:rPr>
            </w:pPr>
            <w:r>
              <w:rPr>
                <w:rFonts w:hint="eastAsia" w:cs="Times New Roman"/>
                <w:smallCaps w:val="0"/>
                <w:color w:val="auto"/>
                <w:sz w:val="21"/>
                <w:szCs w:val="21"/>
                <w:highlight w:val="none"/>
                <w:lang w:val="en-US" w:eastAsia="zh-CN"/>
              </w:rPr>
              <w:t>106.98</w:t>
            </w:r>
            <w:r>
              <w:rPr>
                <w:rFonts w:hint="eastAsia" w:ascii="Times New Roman" w:hAnsi="Times New Roman" w:eastAsia="宋体" w:cs="Times New Roman"/>
                <w:smallCaps w:val="0"/>
                <w:color w:val="auto"/>
                <w:sz w:val="21"/>
                <w:szCs w:val="21"/>
                <w:highlight w:val="none"/>
                <w:lang w:val="en-US" w:eastAsia="zh-CN"/>
              </w:rPr>
              <w:t>t/a</w:t>
            </w:r>
          </w:p>
        </w:tc>
        <w:tc>
          <w:tcPr>
            <w:tcW w:w="1469" w:type="dxa"/>
            <w:noWrap w:val="0"/>
            <w:vAlign w:val="center"/>
          </w:tcPr>
          <w:p w14:paraId="2EA9B855">
            <w:pPr>
              <w:jc w:val="center"/>
              <w:rPr>
                <w:rFonts w:hint="default" w:ascii="Times New Roman" w:hAnsi="Times New Roman" w:cs="Times New Roman"/>
                <w:snapToGrid w:val="0"/>
                <w:color w:val="auto"/>
                <w:kern w:val="21"/>
                <w:szCs w:val="21"/>
                <w:highlight w:val="none"/>
                <w:lang w:val="en-US" w:eastAsia="zh-CN"/>
              </w:rPr>
            </w:pPr>
            <w:r>
              <w:rPr>
                <w:rFonts w:hint="eastAsia" w:cs="Times New Roman"/>
                <w:smallCaps w:val="0"/>
                <w:color w:val="auto"/>
                <w:sz w:val="21"/>
                <w:szCs w:val="21"/>
                <w:highlight w:val="none"/>
                <w:lang w:val="en-US" w:eastAsia="zh-CN"/>
              </w:rPr>
              <w:t>+106.98</w:t>
            </w:r>
            <w:r>
              <w:rPr>
                <w:rFonts w:hint="eastAsia" w:ascii="Times New Roman" w:hAnsi="Times New Roman" w:eastAsia="宋体" w:cs="Times New Roman"/>
                <w:smallCaps w:val="0"/>
                <w:color w:val="auto"/>
                <w:sz w:val="21"/>
                <w:szCs w:val="21"/>
                <w:highlight w:val="none"/>
                <w:lang w:val="en-US" w:eastAsia="zh-CN"/>
              </w:rPr>
              <w:t>t/a</w:t>
            </w:r>
          </w:p>
        </w:tc>
      </w:tr>
      <w:tr w14:paraId="192E7E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286CDF5B">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1D2E37B6">
            <w:pPr>
              <w:pStyle w:val="25"/>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宋体"/>
                <w:smallCaps w:val="0"/>
                <w:color w:val="auto"/>
                <w:sz w:val="21"/>
                <w:szCs w:val="21"/>
                <w:highlight w:val="none"/>
                <w:vertAlign w:val="baseline"/>
                <w:lang w:val="en-US" w:eastAsia="zh-CN"/>
              </w:rPr>
              <w:t>除尘器收集粉尘</w:t>
            </w:r>
          </w:p>
        </w:tc>
        <w:tc>
          <w:tcPr>
            <w:tcW w:w="1602" w:type="dxa"/>
            <w:noWrap w:val="0"/>
            <w:vAlign w:val="center"/>
          </w:tcPr>
          <w:p w14:paraId="09D60021">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7917C7F2">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5D6177F3">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433CE1C1">
            <w:pPr>
              <w:jc w:val="center"/>
              <w:rPr>
                <w:rFonts w:hint="default" w:ascii="Times New Roman" w:hAnsi="Times New Roman" w:eastAsia="宋体" w:cs="Times New Roman"/>
                <w:color w:val="auto"/>
                <w:sz w:val="21"/>
                <w:highlight w:val="none"/>
                <w:lang w:val="en-US" w:eastAsia="zh-CN"/>
              </w:rPr>
            </w:pPr>
            <w:r>
              <w:rPr>
                <w:rFonts w:hint="eastAsia" w:cs="Times New Roman"/>
                <w:smallCaps w:val="0"/>
                <w:color w:val="auto"/>
                <w:sz w:val="21"/>
                <w:szCs w:val="21"/>
                <w:highlight w:val="none"/>
                <w:lang w:val="en-US" w:eastAsia="zh-CN"/>
              </w:rPr>
              <w:t>25.41</w:t>
            </w:r>
            <w:r>
              <w:rPr>
                <w:rFonts w:hint="eastAsia" w:ascii="Times New Roman" w:hAnsi="Times New Roman" w:eastAsia="宋体" w:cs="Times New Roman"/>
                <w:smallCaps w:val="0"/>
                <w:color w:val="auto"/>
                <w:sz w:val="21"/>
                <w:szCs w:val="21"/>
                <w:highlight w:val="none"/>
                <w:lang w:val="en-US" w:eastAsia="zh-CN"/>
              </w:rPr>
              <w:t>t/a</w:t>
            </w:r>
          </w:p>
        </w:tc>
        <w:tc>
          <w:tcPr>
            <w:tcW w:w="1416" w:type="dxa"/>
            <w:noWrap w:val="0"/>
            <w:vAlign w:val="center"/>
          </w:tcPr>
          <w:p w14:paraId="7AD862A4">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2BF6D242">
            <w:pPr>
              <w:jc w:val="center"/>
              <w:rPr>
                <w:rFonts w:hint="default" w:ascii="Times New Roman" w:hAnsi="Times New Roman" w:cs="Times New Roman"/>
                <w:color w:val="auto"/>
                <w:sz w:val="21"/>
                <w:highlight w:val="none"/>
              </w:rPr>
            </w:pPr>
            <w:r>
              <w:rPr>
                <w:rFonts w:hint="eastAsia" w:cs="Times New Roman"/>
                <w:smallCaps w:val="0"/>
                <w:color w:val="auto"/>
                <w:sz w:val="21"/>
                <w:szCs w:val="21"/>
                <w:highlight w:val="none"/>
                <w:lang w:val="en-US" w:eastAsia="zh-CN"/>
              </w:rPr>
              <w:t>25.41</w:t>
            </w:r>
            <w:r>
              <w:rPr>
                <w:rFonts w:hint="eastAsia" w:ascii="Times New Roman" w:hAnsi="Times New Roman" w:eastAsia="宋体" w:cs="Times New Roman"/>
                <w:smallCaps w:val="0"/>
                <w:color w:val="auto"/>
                <w:sz w:val="21"/>
                <w:szCs w:val="21"/>
                <w:highlight w:val="none"/>
                <w:lang w:val="en-US" w:eastAsia="zh-CN"/>
              </w:rPr>
              <w:t>t/a</w:t>
            </w:r>
          </w:p>
        </w:tc>
        <w:tc>
          <w:tcPr>
            <w:tcW w:w="1469" w:type="dxa"/>
            <w:noWrap w:val="0"/>
            <w:vAlign w:val="center"/>
          </w:tcPr>
          <w:p w14:paraId="58BFDBD7">
            <w:pPr>
              <w:jc w:val="center"/>
              <w:rPr>
                <w:rFonts w:hint="default" w:ascii="Times New Roman" w:hAnsi="Times New Roman" w:cs="Times New Roman"/>
                <w:snapToGrid w:val="0"/>
                <w:color w:val="auto"/>
                <w:kern w:val="21"/>
                <w:szCs w:val="21"/>
                <w:highlight w:val="none"/>
                <w:lang w:val="en-US" w:eastAsia="zh-CN"/>
              </w:rPr>
            </w:pPr>
            <w:r>
              <w:rPr>
                <w:rFonts w:hint="eastAsia" w:cs="Times New Roman"/>
                <w:smallCaps w:val="0"/>
                <w:color w:val="auto"/>
                <w:sz w:val="21"/>
                <w:szCs w:val="21"/>
                <w:highlight w:val="none"/>
                <w:lang w:val="en-US" w:eastAsia="zh-CN"/>
              </w:rPr>
              <w:t>+25.41</w:t>
            </w:r>
            <w:r>
              <w:rPr>
                <w:rFonts w:hint="eastAsia" w:ascii="Times New Roman" w:hAnsi="Times New Roman" w:eastAsia="宋体" w:cs="Times New Roman"/>
                <w:smallCaps w:val="0"/>
                <w:color w:val="auto"/>
                <w:sz w:val="21"/>
                <w:szCs w:val="21"/>
                <w:highlight w:val="none"/>
                <w:lang w:val="en-US" w:eastAsia="zh-CN"/>
              </w:rPr>
              <w:t>t/a</w:t>
            </w:r>
          </w:p>
        </w:tc>
      </w:tr>
      <w:tr w14:paraId="46637C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25BAED7F">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0DE36401">
            <w:pPr>
              <w:pStyle w:val="25"/>
              <w:ind w:left="0" w:leftChars="0" w:firstLine="0" w:firstLineChars="0"/>
              <w:jc w:val="center"/>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cs="宋体"/>
                <w:smallCaps w:val="0"/>
                <w:color w:val="auto"/>
                <w:sz w:val="21"/>
                <w:szCs w:val="21"/>
                <w:highlight w:val="none"/>
                <w:vertAlign w:val="baseline"/>
                <w:lang w:val="en-US" w:eastAsia="zh-CN"/>
              </w:rPr>
              <w:t>废胶桶</w:t>
            </w:r>
          </w:p>
        </w:tc>
        <w:tc>
          <w:tcPr>
            <w:tcW w:w="1602" w:type="dxa"/>
            <w:noWrap w:val="0"/>
            <w:vAlign w:val="center"/>
          </w:tcPr>
          <w:p w14:paraId="4AC194B2">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269" w:type="dxa"/>
            <w:noWrap w:val="0"/>
            <w:vAlign w:val="center"/>
          </w:tcPr>
          <w:p w14:paraId="6F876761">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692" w:type="dxa"/>
            <w:noWrap w:val="0"/>
            <w:vAlign w:val="center"/>
          </w:tcPr>
          <w:p w14:paraId="1B47AAF1">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551" w:type="dxa"/>
            <w:noWrap w:val="0"/>
            <w:vAlign w:val="center"/>
          </w:tcPr>
          <w:p w14:paraId="6AF3AA33">
            <w:pPr>
              <w:jc w:val="center"/>
              <w:rPr>
                <w:rFonts w:hint="eastAsia"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1</w:t>
            </w:r>
            <w:r>
              <w:rPr>
                <w:rFonts w:hint="eastAsia" w:ascii="Times New Roman" w:hAnsi="Times New Roman" w:eastAsia="宋体" w:cs="Times New Roman"/>
                <w:smallCaps w:val="0"/>
                <w:color w:val="auto"/>
                <w:sz w:val="21"/>
                <w:szCs w:val="21"/>
                <w:highlight w:val="none"/>
                <w:lang w:val="en-US" w:eastAsia="zh-CN"/>
              </w:rPr>
              <w:t>.</w:t>
            </w:r>
            <w:r>
              <w:rPr>
                <w:rFonts w:hint="eastAsia" w:cs="Times New Roman"/>
                <w:smallCaps w:val="0"/>
                <w:color w:val="auto"/>
                <w:sz w:val="21"/>
                <w:szCs w:val="21"/>
                <w:highlight w:val="none"/>
                <w:lang w:val="en-US" w:eastAsia="zh-CN"/>
              </w:rPr>
              <w:t>5</w:t>
            </w:r>
            <w:r>
              <w:rPr>
                <w:rFonts w:hint="eastAsia" w:ascii="Times New Roman" w:hAnsi="Times New Roman" w:eastAsia="宋体" w:cs="Times New Roman"/>
                <w:smallCaps w:val="0"/>
                <w:color w:val="auto"/>
                <w:sz w:val="21"/>
                <w:szCs w:val="21"/>
                <w:highlight w:val="none"/>
                <w:lang w:val="en-US" w:eastAsia="zh-CN"/>
              </w:rPr>
              <w:t>t/a</w:t>
            </w:r>
          </w:p>
        </w:tc>
        <w:tc>
          <w:tcPr>
            <w:tcW w:w="1416" w:type="dxa"/>
            <w:noWrap w:val="0"/>
            <w:vAlign w:val="center"/>
          </w:tcPr>
          <w:p w14:paraId="49B3DC46">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710" w:type="dxa"/>
            <w:noWrap w:val="0"/>
            <w:vAlign w:val="center"/>
          </w:tcPr>
          <w:p w14:paraId="0BCBCD3F">
            <w:pPr>
              <w:jc w:val="center"/>
              <w:rPr>
                <w:rFonts w:hint="eastAsia"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1</w:t>
            </w:r>
            <w:r>
              <w:rPr>
                <w:rFonts w:hint="eastAsia" w:ascii="Times New Roman" w:hAnsi="Times New Roman" w:eastAsia="宋体" w:cs="Times New Roman"/>
                <w:smallCaps w:val="0"/>
                <w:color w:val="auto"/>
                <w:sz w:val="21"/>
                <w:szCs w:val="21"/>
                <w:highlight w:val="none"/>
                <w:lang w:val="en-US" w:eastAsia="zh-CN"/>
              </w:rPr>
              <w:t>.</w:t>
            </w:r>
            <w:r>
              <w:rPr>
                <w:rFonts w:hint="eastAsia" w:cs="Times New Roman"/>
                <w:smallCaps w:val="0"/>
                <w:color w:val="auto"/>
                <w:sz w:val="21"/>
                <w:szCs w:val="21"/>
                <w:highlight w:val="none"/>
                <w:lang w:val="en-US" w:eastAsia="zh-CN"/>
              </w:rPr>
              <w:t>5</w:t>
            </w:r>
            <w:r>
              <w:rPr>
                <w:rFonts w:hint="eastAsia" w:ascii="Times New Roman" w:hAnsi="Times New Roman" w:eastAsia="宋体" w:cs="Times New Roman"/>
                <w:smallCaps w:val="0"/>
                <w:color w:val="auto"/>
                <w:sz w:val="21"/>
                <w:szCs w:val="21"/>
                <w:highlight w:val="none"/>
                <w:lang w:val="en-US" w:eastAsia="zh-CN"/>
              </w:rPr>
              <w:t>t/a</w:t>
            </w:r>
          </w:p>
        </w:tc>
        <w:tc>
          <w:tcPr>
            <w:tcW w:w="1469" w:type="dxa"/>
            <w:noWrap w:val="0"/>
            <w:vAlign w:val="center"/>
          </w:tcPr>
          <w:p w14:paraId="42546299">
            <w:pPr>
              <w:jc w:val="center"/>
              <w:rPr>
                <w:rFonts w:hint="eastAsia"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+1</w:t>
            </w:r>
            <w:r>
              <w:rPr>
                <w:rFonts w:hint="eastAsia" w:ascii="Times New Roman" w:hAnsi="Times New Roman" w:eastAsia="宋体" w:cs="Times New Roman"/>
                <w:smallCaps w:val="0"/>
                <w:color w:val="auto"/>
                <w:sz w:val="21"/>
                <w:szCs w:val="21"/>
                <w:highlight w:val="none"/>
                <w:lang w:val="en-US" w:eastAsia="zh-CN"/>
              </w:rPr>
              <w:t>.</w:t>
            </w:r>
            <w:r>
              <w:rPr>
                <w:rFonts w:hint="eastAsia" w:cs="Times New Roman"/>
                <w:smallCaps w:val="0"/>
                <w:color w:val="auto"/>
                <w:sz w:val="21"/>
                <w:szCs w:val="21"/>
                <w:highlight w:val="none"/>
                <w:lang w:val="en-US" w:eastAsia="zh-CN"/>
              </w:rPr>
              <w:t>5</w:t>
            </w:r>
            <w:r>
              <w:rPr>
                <w:rFonts w:hint="eastAsia" w:ascii="Times New Roman" w:hAnsi="Times New Roman" w:eastAsia="宋体" w:cs="Times New Roman"/>
                <w:smallCaps w:val="0"/>
                <w:color w:val="auto"/>
                <w:sz w:val="21"/>
                <w:szCs w:val="21"/>
                <w:highlight w:val="none"/>
                <w:lang w:val="en-US" w:eastAsia="zh-CN"/>
              </w:rPr>
              <w:t>t/a</w:t>
            </w:r>
          </w:p>
        </w:tc>
      </w:tr>
      <w:tr w14:paraId="0CADBB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69135048">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51309D68">
            <w:pPr>
              <w:pStyle w:val="25"/>
              <w:ind w:left="0" w:leftChars="0" w:firstLine="0" w:firstLineChars="0"/>
              <w:jc w:val="center"/>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cs="Times New Roman"/>
                <w:smallCaps w:val="0"/>
                <w:color w:val="auto"/>
                <w:sz w:val="21"/>
                <w:szCs w:val="21"/>
                <w:highlight w:val="none"/>
                <w:lang w:val="en-US" w:eastAsia="zh-CN"/>
              </w:rPr>
              <w:t>废胶渣</w:t>
            </w:r>
          </w:p>
        </w:tc>
        <w:tc>
          <w:tcPr>
            <w:tcW w:w="1602" w:type="dxa"/>
            <w:noWrap w:val="0"/>
            <w:vAlign w:val="center"/>
          </w:tcPr>
          <w:p w14:paraId="42336C16">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269" w:type="dxa"/>
            <w:noWrap w:val="0"/>
            <w:vAlign w:val="center"/>
          </w:tcPr>
          <w:p w14:paraId="2B0775E8">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692" w:type="dxa"/>
            <w:noWrap w:val="0"/>
            <w:vAlign w:val="center"/>
          </w:tcPr>
          <w:p w14:paraId="24C68B9A">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551" w:type="dxa"/>
            <w:noWrap w:val="0"/>
            <w:vAlign w:val="center"/>
          </w:tcPr>
          <w:p w14:paraId="2882DA4E">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0.</w:t>
            </w:r>
            <w:r>
              <w:rPr>
                <w:rFonts w:hint="eastAsia" w:cs="Times New Roman"/>
                <w:smallCaps w:val="0"/>
                <w:color w:val="auto"/>
                <w:sz w:val="21"/>
                <w:szCs w:val="21"/>
                <w:highlight w:val="none"/>
                <w:lang w:val="en-US" w:eastAsia="zh-CN"/>
              </w:rPr>
              <w:t>03</w:t>
            </w:r>
            <w:r>
              <w:rPr>
                <w:rFonts w:hint="eastAsia" w:ascii="Times New Roman" w:hAnsi="Times New Roman" w:eastAsia="宋体" w:cs="Times New Roman"/>
                <w:smallCaps w:val="0"/>
                <w:color w:val="auto"/>
                <w:sz w:val="21"/>
                <w:szCs w:val="21"/>
                <w:highlight w:val="none"/>
                <w:lang w:val="en-US" w:eastAsia="zh-CN"/>
              </w:rPr>
              <w:t>t/a</w:t>
            </w:r>
          </w:p>
        </w:tc>
        <w:tc>
          <w:tcPr>
            <w:tcW w:w="1416" w:type="dxa"/>
            <w:noWrap w:val="0"/>
            <w:vAlign w:val="center"/>
          </w:tcPr>
          <w:p w14:paraId="13C9E54E">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710" w:type="dxa"/>
            <w:noWrap w:val="0"/>
            <w:vAlign w:val="center"/>
          </w:tcPr>
          <w:p w14:paraId="53770751">
            <w:pPr>
              <w:jc w:val="center"/>
              <w:rPr>
                <w:rFonts w:hint="eastAsia"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0.</w:t>
            </w:r>
            <w:r>
              <w:rPr>
                <w:rFonts w:hint="eastAsia" w:cs="Times New Roman"/>
                <w:smallCaps w:val="0"/>
                <w:color w:val="auto"/>
                <w:sz w:val="21"/>
                <w:szCs w:val="21"/>
                <w:highlight w:val="none"/>
                <w:lang w:val="en-US" w:eastAsia="zh-CN"/>
              </w:rPr>
              <w:t>03</w:t>
            </w:r>
            <w:r>
              <w:rPr>
                <w:rFonts w:hint="eastAsia" w:ascii="Times New Roman" w:hAnsi="Times New Roman" w:eastAsia="宋体" w:cs="Times New Roman"/>
                <w:smallCaps w:val="0"/>
                <w:color w:val="auto"/>
                <w:sz w:val="21"/>
                <w:szCs w:val="21"/>
                <w:highlight w:val="none"/>
                <w:lang w:val="en-US" w:eastAsia="zh-CN"/>
              </w:rPr>
              <w:t>t/a</w:t>
            </w:r>
          </w:p>
        </w:tc>
        <w:tc>
          <w:tcPr>
            <w:tcW w:w="1469" w:type="dxa"/>
            <w:noWrap w:val="0"/>
            <w:vAlign w:val="center"/>
          </w:tcPr>
          <w:p w14:paraId="183DC4AE">
            <w:pPr>
              <w:jc w:val="center"/>
              <w:rPr>
                <w:rFonts w:hint="eastAsia"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+0.</w:t>
            </w:r>
            <w:r>
              <w:rPr>
                <w:rFonts w:hint="eastAsia" w:cs="Times New Roman"/>
                <w:smallCaps w:val="0"/>
                <w:color w:val="auto"/>
                <w:sz w:val="21"/>
                <w:szCs w:val="21"/>
                <w:highlight w:val="none"/>
                <w:lang w:val="en-US" w:eastAsia="zh-CN"/>
              </w:rPr>
              <w:t>03</w:t>
            </w:r>
            <w:r>
              <w:rPr>
                <w:rFonts w:hint="eastAsia" w:ascii="Times New Roman" w:hAnsi="Times New Roman" w:eastAsia="宋体" w:cs="Times New Roman"/>
                <w:smallCaps w:val="0"/>
                <w:color w:val="auto"/>
                <w:sz w:val="21"/>
                <w:szCs w:val="21"/>
                <w:highlight w:val="none"/>
                <w:lang w:val="en-US" w:eastAsia="zh-CN"/>
              </w:rPr>
              <w:t>t/a</w:t>
            </w:r>
          </w:p>
        </w:tc>
      </w:tr>
      <w:tr w14:paraId="66631D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restart"/>
            <w:noWrap w:val="0"/>
            <w:vAlign w:val="center"/>
          </w:tcPr>
          <w:p w14:paraId="2A4C7C5F">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危险废物</w:t>
            </w:r>
          </w:p>
        </w:tc>
        <w:tc>
          <w:tcPr>
            <w:tcW w:w="1740" w:type="dxa"/>
            <w:noWrap w:val="0"/>
            <w:vAlign w:val="center"/>
          </w:tcPr>
          <w:p w14:paraId="3332C345">
            <w:pPr>
              <w:pStyle w:val="25"/>
              <w:ind w:left="0" w:leftChars="0" w:firstLine="0" w:firstLineChars="0"/>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废导热油</w:t>
            </w:r>
          </w:p>
        </w:tc>
        <w:tc>
          <w:tcPr>
            <w:tcW w:w="1602" w:type="dxa"/>
            <w:noWrap w:val="0"/>
            <w:vAlign w:val="center"/>
          </w:tcPr>
          <w:p w14:paraId="11D51ED6">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0BA12AF0">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2C9DA817">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2BD7234C">
            <w:pPr>
              <w:jc w:val="center"/>
              <w:rPr>
                <w:rFonts w:hint="default" w:ascii="Times New Roman" w:hAnsi="Times New Roman" w:eastAsia="宋体" w:cs="Times New Roman"/>
                <w:color w:val="auto"/>
                <w:sz w:val="21"/>
                <w:highlight w:val="none"/>
                <w:lang w:val="en-US" w:eastAsia="zh-CN"/>
              </w:rPr>
            </w:pPr>
            <w:r>
              <w:rPr>
                <w:rFonts w:hint="eastAsia" w:cs="Times New Roman"/>
                <w:smallCaps w:val="0"/>
                <w:color w:val="auto"/>
                <w:sz w:val="21"/>
                <w:szCs w:val="21"/>
                <w:highlight w:val="none"/>
                <w:lang w:val="en-US" w:eastAsia="zh-CN"/>
              </w:rPr>
              <w:t>6t/3a</w:t>
            </w:r>
          </w:p>
        </w:tc>
        <w:tc>
          <w:tcPr>
            <w:tcW w:w="1416" w:type="dxa"/>
            <w:noWrap w:val="0"/>
            <w:vAlign w:val="center"/>
          </w:tcPr>
          <w:p w14:paraId="77891B27">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01CD695F">
            <w:pPr>
              <w:jc w:val="center"/>
              <w:rPr>
                <w:rFonts w:hint="default" w:ascii="Times New Roman" w:hAnsi="Times New Roman" w:cs="Times New Roman"/>
                <w:color w:val="auto"/>
                <w:sz w:val="21"/>
                <w:highlight w:val="none"/>
              </w:rPr>
            </w:pPr>
            <w:r>
              <w:rPr>
                <w:rFonts w:hint="eastAsia" w:cs="Times New Roman"/>
                <w:smallCaps w:val="0"/>
                <w:color w:val="auto"/>
                <w:sz w:val="21"/>
                <w:szCs w:val="21"/>
                <w:highlight w:val="none"/>
                <w:lang w:val="en-US" w:eastAsia="zh-CN"/>
              </w:rPr>
              <w:t>6t/3a</w:t>
            </w:r>
          </w:p>
        </w:tc>
        <w:tc>
          <w:tcPr>
            <w:tcW w:w="1469" w:type="dxa"/>
            <w:noWrap w:val="0"/>
            <w:vAlign w:val="center"/>
          </w:tcPr>
          <w:p w14:paraId="48A94258">
            <w:pPr>
              <w:jc w:val="center"/>
              <w:rPr>
                <w:rFonts w:hint="default" w:ascii="Times New Roman" w:hAnsi="Times New Roman" w:cs="Times New Roman"/>
                <w:color w:val="auto"/>
                <w:szCs w:val="21"/>
                <w:highlight w:val="none"/>
                <w:lang w:val="en-US" w:eastAsia="zh-CN"/>
              </w:rPr>
            </w:pPr>
            <w:r>
              <w:rPr>
                <w:rFonts w:hint="eastAsia" w:cs="Times New Roman"/>
                <w:smallCaps w:val="0"/>
                <w:color w:val="auto"/>
                <w:sz w:val="21"/>
                <w:szCs w:val="21"/>
                <w:highlight w:val="none"/>
                <w:lang w:val="en-US" w:eastAsia="zh-CN"/>
              </w:rPr>
              <w:t>+6t/3a</w:t>
            </w:r>
          </w:p>
        </w:tc>
      </w:tr>
      <w:tr w14:paraId="1FA1F4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5A4C333C">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4BCDFF44">
            <w:pPr>
              <w:pStyle w:val="25"/>
              <w:ind w:left="0" w:leftChars="0" w:firstLine="0" w:firstLineChars="0"/>
              <w:jc w:val="center"/>
              <w:rPr>
                <w:rFonts w:hint="eastAsia" w:ascii="Times New Roman" w:hAnsi="Times New Roman" w:eastAsia="宋体" w:cs="Times New Roman"/>
                <w:bCs/>
                <w:color w:val="auto"/>
                <w:szCs w:val="21"/>
                <w:highlight w:val="none"/>
                <w:lang w:eastAsia="zh-CN"/>
              </w:rPr>
            </w:pPr>
            <w:r>
              <w:rPr>
                <w:rFonts w:hint="eastAsia" w:ascii="Times New Roman" w:hAnsi="Times New Roman" w:eastAsia="宋体" w:cs="Times New Roman"/>
                <w:smallCaps w:val="0"/>
                <w:color w:val="auto"/>
                <w:sz w:val="21"/>
                <w:szCs w:val="21"/>
                <w:highlight w:val="none"/>
                <w:lang w:val="en-US" w:eastAsia="zh-CN"/>
              </w:rPr>
              <w:t>废机油</w:t>
            </w:r>
          </w:p>
        </w:tc>
        <w:tc>
          <w:tcPr>
            <w:tcW w:w="1602" w:type="dxa"/>
            <w:noWrap w:val="0"/>
            <w:vAlign w:val="center"/>
          </w:tcPr>
          <w:p w14:paraId="18B5683D">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2EB30185">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5305B94A">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31FD0B41">
            <w:pPr>
              <w:jc w:val="center"/>
              <w:rPr>
                <w:rFonts w:hint="default" w:ascii="Times New Roman" w:hAnsi="Times New Roman" w:eastAsia="宋体" w:cs="Times New Roman"/>
                <w:color w:val="auto"/>
                <w:szCs w:val="21"/>
                <w:highlight w:val="none"/>
                <w:lang w:val="en-US" w:eastAsia="zh-CN"/>
              </w:rPr>
            </w:pPr>
            <w:r>
              <w:rPr>
                <w:rFonts w:hint="eastAsia" w:cs="Times New Roman"/>
                <w:smallCaps w:val="0"/>
                <w:color w:val="auto"/>
                <w:sz w:val="21"/>
                <w:szCs w:val="21"/>
                <w:highlight w:val="none"/>
                <w:lang w:val="en-US" w:eastAsia="zh-CN"/>
              </w:rPr>
              <w:t>0.1t/a</w:t>
            </w:r>
          </w:p>
        </w:tc>
        <w:tc>
          <w:tcPr>
            <w:tcW w:w="1416" w:type="dxa"/>
            <w:noWrap w:val="0"/>
            <w:vAlign w:val="center"/>
          </w:tcPr>
          <w:p w14:paraId="6DDAF664">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51FA8D0D">
            <w:pPr>
              <w:jc w:val="center"/>
              <w:rPr>
                <w:rFonts w:hint="default" w:ascii="Times New Roman" w:hAnsi="Times New Roman" w:cs="Times New Roman"/>
                <w:color w:val="auto"/>
                <w:szCs w:val="21"/>
                <w:highlight w:val="none"/>
              </w:rPr>
            </w:pPr>
            <w:r>
              <w:rPr>
                <w:rFonts w:hint="eastAsia" w:cs="Times New Roman"/>
                <w:smallCaps w:val="0"/>
                <w:color w:val="auto"/>
                <w:sz w:val="21"/>
                <w:szCs w:val="21"/>
                <w:highlight w:val="none"/>
                <w:lang w:val="en-US" w:eastAsia="zh-CN"/>
              </w:rPr>
              <w:t>0.1t/a</w:t>
            </w:r>
          </w:p>
        </w:tc>
        <w:tc>
          <w:tcPr>
            <w:tcW w:w="1469" w:type="dxa"/>
            <w:noWrap w:val="0"/>
            <w:vAlign w:val="center"/>
          </w:tcPr>
          <w:p w14:paraId="577F5A90">
            <w:pPr>
              <w:jc w:val="center"/>
              <w:rPr>
                <w:rFonts w:hint="default" w:ascii="Times New Roman" w:hAnsi="Times New Roman" w:cs="Times New Roman"/>
                <w:snapToGrid w:val="0"/>
                <w:color w:val="auto"/>
                <w:kern w:val="21"/>
                <w:szCs w:val="21"/>
                <w:highlight w:val="none"/>
                <w:lang w:val="en-US" w:eastAsia="zh-CN"/>
              </w:rPr>
            </w:pPr>
            <w:r>
              <w:rPr>
                <w:rFonts w:hint="eastAsia" w:cs="Times New Roman"/>
                <w:smallCaps w:val="0"/>
                <w:color w:val="auto"/>
                <w:sz w:val="21"/>
                <w:szCs w:val="21"/>
                <w:highlight w:val="none"/>
                <w:lang w:val="en-US" w:eastAsia="zh-CN"/>
              </w:rPr>
              <w:t>+0.1t/a</w:t>
            </w:r>
          </w:p>
        </w:tc>
      </w:tr>
      <w:tr w14:paraId="4B3DFE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7CC1C194">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6DA8C399">
            <w:pPr>
              <w:pStyle w:val="25"/>
              <w:ind w:left="0" w:leftChars="0" w:firstLine="0" w:firstLineChars="0"/>
              <w:jc w:val="center"/>
              <w:rPr>
                <w:rFonts w:hint="eastAsia" w:cs="Times New Roman"/>
                <w:smallCaps w:val="0"/>
                <w:color w:val="auto"/>
                <w:sz w:val="21"/>
                <w:szCs w:val="21"/>
                <w:highlight w:val="none"/>
                <w:lang w:val="en-US" w:eastAsia="zh-CN"/>
              </w:rPr>
            </w:pPr>
            <w:r>
              <w:rPr>
                <w:rFonts w:hint="eastAsia" w:ascii="Times New Roman" w:hAnsi="Times New Roman" w:cs="Times New Roman"/>
                <w:smallCaps w:val="0"/>
                <w:color w:val="auto"/>
                <w:sz w:val="21"/>
                <w:szCs w:val="21"/>
                <w:highlight w:val="none"/>
                <w:lang w:val="en-US" w:eastAsia="zh-CN"/>
              </w:rPr>
              <w:t>废油桶</w:t>
            </w:r>
          </w:p>
        </w:tc>
        <w:tc>
          <w:tcPr>
            <w:tcW w:w="1602" w:type="dxa"/>
            <w:noWrap w:val="0"/>
            <w:vAlign w:val="center"/>
          </w:tcPr>
          <w:p w14:paraId="015992F7">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269" w:type="dxa"/>
            <w:noWrap w:val="0"/>
            <w:vAlign w:val="center"/>
          </w:tcPr>
          <w:p w14:paraId="315FC91B">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692" w:type="dxa"/>
            <w:noWrap w:val="0"/>
            <w:vAlign w:val="center"/>
          </w:tcPr>
          <w:p w14:paraId="09861AEA">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551" w:type="dxa"/>
            <w:noWrap w:val="0"/>
            <w:vAlign w:val="center"/>
          </w:tcPr>
          <w:p w14:paraId="7C9CB454">
            <w:pPr>
              <w:jc w:val="center"/>
              <w:rPr>
                <w:rFonts w:hint="eastAsia"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0.2t/a</w:t>
            </w:r>
          </w:p>
        </w:tc>
        <w:tc>
          <w:tcPr>
            <w:tcW w:w="1416" w:type="dxa"/>
            <w:noWrap w:val="0"/>
            <w:vAlign w:val="center"/>
          </w:tcPr>
          <w:p w14:paraId="79DD5E6A">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710" w:type="dxa"/>
            <w:noWrap w:val="0"/>
            <w:vAlign w:val="center"/>
          </w:tcPr>
          <w:p w14:paraId="0BCB4827">
            <w:pPr>
              <w:jc w:val="center"/>
              <w:rPr>
                <w:rFonts w:hint="eastAsia"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0.2t/a</w:t>
            </w:r>
          </w:p>
        </w:tc>
        <w:tc>
          <w:tcPr>
            <w:tcW w:w="1469" w:type="dxa"/>
            <w:noWrap w:val="0"/>
            <w:vAlign w:val="center"/>
          </w:tcPr>
          <w:p w14:paraId="20591AD5">
            <w:pPr>
              <w:jc w:val="center"/>
              <w:rPr>
                <w:rFonts w:hint="eastAsia"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+0.2t/a</w:t>
            </w:r>
          </w:p>
        </w:tc>
      </w:tr>
      <w:tr w14:paraId="7757C1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6731225C">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58E020D0">
            <w:pPr>
              <w:pStyle w:val="25"/>
              <w:ind w:left="0" w:leftChars="0" w:firstLine="0" w:firstLineChars="0"/>
              <w:jc w:val="center"/>
              <w:rPr>
                <w:rFonts w:hint="eastAsia" w:cs="Times New Roman"/>
                <w:smallCaps w:val="0"/>
                <w:color w:val="auto"/>
                <w:sz w:val="21"/>
                <w:szCs w:val="21"/>
                <w:highlight w:val="none"/>
                <w:lang w:val="en-US" w:eastAsia="zh-CN"/>
              </w:rPr>
            </w:pPr>
            <w:r>
              <w:rPr>
                <w:rFonts w:hint="eastAsia" w:ascii="Times New Roman" w:hAnsi="Times New Roman" w:cs="Times New Roman"/>
                <w:smallCaps w:val="0"/>
                <w:color w:val="auto"/>
                <w:sz w:val="21"/>
                <w:szCs w:val="21"/>
                <w:highlight w:val="none"/>
                <w:lang w:val="en-US" w:eastAsia="zh-CN"/>
              </w:rPr>
              <w:t>废弃的含油抹布及手套</w:t>
            </w:r>
          </w:p>
        </w:tc>
        <w:tc>
          <w:tcPr>
            <w:tcW w:w="1602" w:type="dxa"/>
            <w:noWrap w:val="0"/>
            <w:vAlign w:val="center"/>
          </w:tcPr>
          <w:p w14:paraId="0B09C508">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269" w:type="dxa"/>
            <w:noWrap w:val="0"/>
            <w:vAlign w:val="center"/>
          </w:tcPr>
          <w:p w14:paraId="1009ADDF">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692" w:type="dxa"/>
            <w:noWrap w:val="0"/>
            <w:vAlign w:val="center"/>
          </w:tcPr>
          <w:p w14:paraId="0AC9CEE2">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551" w:type="dxa"/>
            <w:noWrap w:val="0"/>
            <w:vAlign w:val="center"/>
          </w:tcPr>
          <w:p w14:paraId="1901CCC6">
            <w:pPr>
              <w:jc w:val="center"/>
              <w:rPr>
                <w:rFonts w:hint="eastAsia"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0.05t/a</w:t>
            </w:r>
          </w:p>
        </w:tc>
        <w:tc>
          <w:tcPr>
            <w:tcW w:w="1416" w:type="dxa"/>
            <w:noWrap w:val="0"/>
            <w:vAlign w:val="center"/>
          </w:tcPr>
          <w:p w14:paraId="0E00DF0F">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710" w:type="dxa"/>
            <w:noWrap w:val="0"/>
            <w:vAlign w:val="center"/>
          </w:tcPr>
          <w:p w14:paraId="4B37FC88">
            <w:pPr>
              <w:jc w:val="center"/>
              <w:rPr>
                <w:rFonts w:hint="eastAsia"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0.05t/a</w:t>
            </w:r>
          </w:p>
        </w:tc>
        <w:tc>
          <w:tcPr>
            <w:tcW w:w="1469" w:type="dxa"/>
            <w:noWrap w:val="0"/>
            <w:vAlign w:val="center"/>
          </w:tcPr>
          <w:p w14:paraId="40C36E0F">
            <w:pPr>
              <w:jc w:val="center"/>
              <w:rPr>
                <w:rFonts w:hint="eastAsia"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+0.05t/a</w:t>
            </w:r>
          </w:p>
        </w:tc>
      </w:tr>
      <w:tr w14:paraId="10013E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vMerge w:val="continue"/>
            <w:noWrap w:val="0"/>
            <w:vAlign w:val="center"/>
          </w:tcPr>
          <w:p w14:paraId="73AD6A33">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740" w:type="dxa"/>
            <w:noWrap w:val="0"/>
            <w:vAlign w:val="center"/>
          </w:tcPr>
          <w:p w14:paraId="7FEC1CF2">
            <w:pPr>
              <w:pStyle w:val="25"/>
              <w:ind w:left="0" w:leftChars="0" w:firstLine="0" w:firstLineChars="0"/>
              <w:jc w:val="center"/>
              <w:rPr>
                <w:rFonts w:hint="eastAsia" w:cs="Times New Roman"/>
                <w:smallCaps w:val="0"/>
                <w:color w:val="auto"/>
                <w:sz w:val="21"/>
                <w:szCs w:val="21"/>
                <w:highlight w:val="none"/>
                <w:lang w:val="en-US" w:eastAsia="zh-CN"/>
              </w:rPr>
            </w:pPr>
            <w:r>
              <w:rPr>
                <w:rFonts w:hint="eastAsia" w:ascii="Times New Roman" w:hAnsi="Times New Roman" w:cs="Times New Roman"/>
                <w:smallCaps w:val="0"/>
                <w:color w:val="auto"/>
                <w:sz w:val="21"/>
                <w:szCs w:val="21"/>
                <w:highlight w:val="none"/>
                <w:lang w:val="en-US" w:eastAsia="zh-CN"/>
              </w:rPr>
              <w:t>废活性炭</w:t>
            </w:r>
          </w:p>
        </w:tc>
        <w:tc>
          <w:tcPr>
            <w:tcW w:w="1602" w:type="dxa"/>
            <w:noWrap w:val="0"/>
            <w:vAlign w:val="center"/>
          </w:tcPr>
          <w:p w14:paraId="0CF161A4">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269" w:type="dxa"/>
            <w:noWrap w:val="0"/>
            <w:vAlign w:val="center"/>
          </w:tcPr>
          <w:p w14:paraId="54191BAC">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692" w:type="dxa"/>
            <w:noWrap w:val="0"/>
            <w:vAlign w:val="center"/>
          </w:tcPr>
          <w:p w14:paraId="1B9E54A1">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551" w:type="dxa"/>
            <w:noWrap w:val="0"/>
            <w:vAlign w:val="center"/>
          </w:tcPr>
          <w:p w14:paraId="7A571E60">
            <w:pPr>
              <w:jc w:val="center"/>
              <w:rPr>
                <w:rFonts w:hint="eastAsia"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0.3t/a</w:t>
            </w:r>
          </w:p>
        </w:tc>
        <w:tc>
          <w:tcPr>
            <w:tcW w:w="1416" w:type="dxa"/>
            <w:noWrap w:val="0"/>
            <w:vAlign w:val="center"/>
          </w:tcPr>
          <w:p w14:paraId="1F80912D">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p>
        </w:tc>
        <w:tc>
          <w:tcPr>
            <w:tcW w:w="1710" w:type="dxa"/>
            <w:noWrap w:val="0"/>
            <w:vAlign w:val="center"/>
          </w:tcPr>
          <w:p w14:paraId="2AB457F9">
            <w:pPr>
              <w:jc w:val="center"/>
              <w:rPr>
                <w:rFonts w:hint="eastAsia"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0.3t/a</w:t>
            </w:r>
          </w:p>
        </w:tc>
        <w:tc>
          <w:tcPr>
            <w:tcW w:w="1469" w:type="dxa"/>
            <w:noWrap w:val="0"/>
            <w:vAlign w:val="center"/>
          </w:tcPr>
          <w:p w14:paraId="297813F0">
            <w:pPr>
              <w:jc w:val="center"/>
              <w:rPr>
                <w:rFonts w:hint="eastAsia"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+0.3t/a</w:t>
            </w:r>
          </w:p>
        </w:tc>
      </w:tr>
      <w:tr w14:paraId="713303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9" w:type="dxa"/>
            <w:noWrap w:val="0"/>
            <w:vAlign w:val="center"/>
          </w:tcPr>
          <w:p w14:paraId="432C54A5">
            <w:pPr>
              <w:pStyle w:val="62"/>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生活垃圾</w:t>
            </w:r>
          </w:p>
        </w:tc>
        <w:tc>
          <w:tcPr>
            <w:tcW w:w="1740" w:type="dxa"/>
            <w:noWrap w:val="0"/>
            <w:vAlign w:val="center"/>
          </w:tcPr>
          <w:p w14:paraId="5EA6AA02">
            <w:pPr>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生活垃圾</w:t>
            </w:r>
          </w:p>
        </w:tc>
        <w:tc>
          <w:tcPr>
            <w:tcW w:w="1602" w:type="dxa"/>
            <w:noWrap w:val="0"/>
            <w:vAlign w:val="center"/>
          </w:tcPr>
          <w:p w14:paraId="3076141B">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269" w:type="dxa"/>
            <w:noWrap w:val="0"/>
            <w:vAlign w:val="center"/>
          </w:tcPr>
          <w:p w14:paraId="66B29E3D">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692" w:type="dxa"/>
            <w:noWrap w:val="0"/>
            <w:vAlign w:val="center"/>
          </w:tcPr>
          <w:p w14:paraId="4DD25D1F">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551" w:type="dxa"/>
            <w:noWrap w:val="0"/>
            <w:vAlign w:val="center"/>
          </w:tcPr>
          <w:p w14:paraId="21E78A1A">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mallCaps w:val="0"/>
                <w:color w:val="auto"/>
                <w:sz w:val="21"/>
                <w:szCs w:val="21"/>
                <w:highlight w:val="none"/>
                <w:lang w:val="en-US" w:eastAsia="zh-CN"/>
              </w:rPr>
              <w:t>2.43t/a</w:t>
            </w:r>
          </w:p>
        </w:tc>
        <w:tc>
          <w:tcPr>
            <w:tcW w:w="1416" w:type="dxa"/>
            <w:noWrap w:val="0"/>
            <w:vAlign w:val="center"/>
          </w:tcPr>
          <w:p w14:paraId="1036EF4F">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ascii="Times New Roman" w:hAnsi="Times New Roman" w:cs="Times New Roman"/>
                <w:snapToGrid w:val="0"/>
                <w:color w:val="auto"/>
                <w:kern w:val="21"/>
                <w:szCs w:val="21"/>
                <w:highlight w:val="none"/>
                <w:lang w:val="en-US" w:eastAsia="zh-CN"/>
              </w:rPr>
              <w:t>-</w:t>
            </w:r>
          </w:p>
        </w:tc>
        <w:tc>
          <w:tcPr>
            <w:tcW w:w="1710" w:type="dxa"/>
            <w:noWrap w:val="0"/>
            <w:vAlign w:val="center"/>
          </w:tcPr>
          <w:p w14:paraId="5EE6053C">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cs="Times New Roman"/>
                <w:smallCaps w:val="0"/>
                <w:color w:val="auto"/>
                <w:sz w:val="21"/>
                <w:szCs w:val="21"/>
                <w:highlight w:val="none"/>
                <w:lang w:val="en-US" w:eastAsia="zh-CN"/>
              </w:rPr>
              <w:t>2.43t/a</w:t>
            </w:r>
          </w:p>
        </w:tc>
        <w:tc>
          <w:tcPr>
            <w:tcW w:w="1469" w:type="dxa"/>
            <w:noWrap w:val="0"/>
            <w:vAlign w:val="center"/>
          </w:tcPr>
          <w:p w14:paraId="796BFDCE">
            <w:pPr>
              <w:spacing w:beforeLines="0" w:afterLines="0" w:line="240" w:lineRule="auto"/>
              <w:jc w:val="center"/>
              <w:rPr>
                <w:rFonts w:hint="eastAsia" w:ascii="Times New Roman" w:hAnsi="Times New Roman" w:cs="Times New Roman"/>
                <w:snapToGrid w:val="0"/>
                <w:color w:val="auto"/>
                <w:kern w:val="21"/>
                <w:szCs w:val="21"/>
                <w:highlight w:val="none"/>
                <w:lang w:val="en-US" w:eastAsia="zh-CN"/>
              </w:rPr>
            </w:pPr>
            <w:r>
              <w:rPr>
                <w:rFonts w:hint="eastAsia" w:cs="Times New Roman"/>
                <w:smallCaps w:val="0"/>
                <w:color w:val="auto"/>
                <w:sz w:val="21"/>
                <w:szCs w:val="21"/>
                <w:highlight w:val="none"/>
                <w:lang w:val="en-US" w:eastAsia="zh-CN"/>
              </w:rPr>
              <w:t>+2.43t/a</w:t>
            </w:r>
          </w:p>
        </w:tc>
      </w:tr>
    </w:tbl>
    <w:p w14:paraId="2BAD8154">
      <w:pPr>
        <w:pStyle w:val="62"/>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2BA04B79">
      <w:pPr>
        <w:pStyle w:val="62"/>
        <w:spacing w:before="192" w:beforeLines="80" w:after="24"/>
        <w:jc w:val="left"/>
        <w:rPr>
          <w:rFonts w:hint="default" w:ascii="Times New Roman" w:hAnsi="Times New Roman" w:cs="Times New Roman"/>
          <w:snapToGrid w:val="0"/>
          <w:color w:val="auto"/>
          <w:spacing w:val="-6"/>
          <w:kern w:val="21"/>
          <w:szCs w:val="21"/>
          <w:highlight w:val="none"/>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607FBBEA">
      <w:pPr>
        <w:pStyle w:val="8"/>
        <w:ind w:left="0" w:leftChars="0" w:firstLine="0" w:firstLineChars="0"/>
        <w:jc w:val="center"/>
        <w:outlineLvl w:val="9"/>
        <w:rPr>
          <w:rFonts w:hint="default" w:ascii="黑体" w:hAnsi="黑体" w:eastAsia="黑体" w:cs="黑体"/>
          <w:color w:val="auto"/>
          <w:sz w:val="48"/>
          <w:szCs w:val="48"/>
          <w:highlight w:val="none"/>
          <w:lang w:val="en-US" w:eastAsia="zh-CN"/>
        </w:rPr>
      </w:pPr>
      <w:r>
        <w:drawing>
          <wp:inline distT="0" distB="0" distL="114300" distR="114300">
            <wp:extent cx="6584315" cy="5322570"/>
            <wp:effectExtent l="0" t="0" r="6985" b="1143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40"/>
                    <a:stretch>
                      <a:fillRect/>
                    </a:stretch>
                  </pic:blipFill>
                  <pic:spPr>
                    <a:xfrm>
                      <a:off x="0" y="0"/>
                      <a:ext cx="6584315" cy="5322570"/>
                    </a:xfrm>
                    <a:prstGeom prst="rect">
                      <a:avLst/>
                    </a:prstGeom>
                    <a:noFill/>
                    <a:ln>
                      <a:noFill/>
                    </a:ln>
                  </pic:spPr>
                </pic:pic>
              </a:graphicData>
            </a:graphic>
          </wp:inline>
        </w:drawing>
      </w:r>
    </w:p>
    <w:p w14:paraId="714587CA">
      <w:pPr>
        <w:jc w:val="center"/>
        <w:outlineLvl w:val="0"/>
        <w:rPr>
          <w:rFonts w:hint="default" w:ascii="Times New Roman" w:hAnsi="Times New Roman" w:cs="Times New Roman"/>
          <w:color w:val="auto"/>
          <w:sz w:val="24"/>
          <w:szCs w:val="24"/>
          <w:highlight w:val="none"/>
        </w:rPr>
      </w:pPr>
      <w:bookmarkStart w:id="39" w:name="_Toc23208"/>
      <w:bookmarkStart w:id="40" w:name="_Toc15692"/>
      <w:bookmarkStart w:id="41" w:name="_Toc3588"/>
      <w:r>
        <w:rPr>
          <w:rFonts w:hint="default" w:ascii="Times New Roman" w:hAnsi="Times New Roman" w:cs="Times New Roman"/>
          <w:b/>
          <w:snapToGrid w:val="0"/>
          <w:color w:val="auto"/>
          <w:sz w:val="24"/>
          <w:szCs w:val="24"/>
          <w:highlight w:val="none"/>
        </w:rPr>
        <w:t>附图1  项目地理位置图</w:t>
      </w:r>
      <w:bookmarkEnd w:id="39"/>
      <w:bookmarkEnd w:id="40"/>
      <w:bookmarkEnd w:id="41"/>
    </w:p>
    <w:p w14:paraId="202EDB7E">
      <w:pPr>
        <w:pStyle w:val="25"/>
        <w:rPr>
          <w:rFonts w:hint="default" w:ascii="Times New Roman" w:hAnsi="Times New Roman" w:cs="Times New Roman"/>
          <w:color w:val="auto"/>
          <w:sz w:val="24"/>
          <w:szCs w:val="24"/>
          <w:highlight w:val="none"/>
        </w:rPr>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598E663F">
      <w:pPr>
        <w:jc w:val="center"/>
        <w:rPr>
          <w:rFonts w:hint="eastAsia" w:ascii="Times New Roman" w:hAnsi="Times New Roman" w:eastAsia="宋体" w:cs="Times New Roman"/>
          <w:color w:val="auto"/>
          <w:sz w:val="24"/>
          <w:szCs w:val="24"/>
          <w:highlight w:val="none"/>
          <w:lang w:eastAsia="zh-CN"/>
        </w:rPr>
      </w:pPr>
      <w:r>
        <w:drawing>
          <wp:inline distT="0" distB="0" distL="114300" distR="114300">
            <wp:extent cx="6431280" cy="5391785"/>
            <wp:effectExtent l="0" t="0" r="7620" b="18415"/>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pic:cNvPicPr>
                  </pic:nvPicPr>
                  <pic:blipFill>
                    <a:blip r:embed="rId41"/>
                    <a:stretch>
                      <a:fillRect/>
                    </a:stretch>
                  </pic:blipFill>
                  <pic:spPr>
                    <a:xfrm>
                      <a:off x="0" y="0"/>
                      <a:ext cx="6431280" cy="5391785"/>
                    </a:xfrm>
                    <a:prstGeom prst="rect">
                      <a:avLst/>
                    </a:prstGeom>
                    <a:noFill/>
                    <a:ln>
                      <a:noFill/>
                    </a:ln>
                  </pic:spPr>
                </pic:pic>
              </a:graphicData>
            </a:graphic>
          </wp:inline>
        </w:drawing>
      </w:r>
    </w:p>
    <w:p w14:paraId="2B8CC913">
      <w:pPr>
        <w:jc w:val="center"/>
        <w:outlineLvl w:val="0"/>
        <w:rPr>
          <w:rFonts w:hint="eastAsia" w:ascii="Times New Roman" w:hAnsi="Times New Roman" w:eastAsia="宋体" w:cs="Times New Roman"/>
          <w:b/>
          <w:snapToGrid w:val="0"/>
          <w:color w:val="auto"/>
          <w:sz w:val="24"/>
          <w:szCs w:val="24"/>
          <w:highlight w:val="none"/>
          <w:lang w:val="en-US" w:eastAsia="zh-CN"/>
        </w:rPr>
      </w:pPr>
      <w:bookmarkStart w:id="42" w:name="_Toc16806"/>
      <w:bookmarkStart w:id="43" w:name="_Toc10855"/>
      <w:bookmarkStart w:id="44" w:name="_Toc9367"/>
      <w:r>
        <w:rPr>
          <w:rFonts w:hint="default" w:ascii="Times New Roman" w:hAnsi="Times New Roman" w:cs="Times New Roman"/>
          <w:b/>
          <w:snapToGrid w:val="0"/>
          <w:color w:val="auto"/>
          <w:sz w:val="24"/>
          <w:szCs w:val="24"/>
          <w:highlight w:val="none"/>
        </w:rPr>
        <w:t>附图2  环境保护目标图</w:t>
      </w:r>
      <w:bookmarkEnd w:id="42"/>
      <w:bookmarkEnd w:id="43"/>
      <w:bookmarkEnd w:id="44"/>
    </w:p>
    <w:p w14:paraId="4DE40844">
      <w:pPr>
        <w:pStyle w:val="11"/>
        <w:rPr>
          <w:rFonts w:hint="default" w:ascii="Times New Roman" w:hAnsi="Times New Roman" w:cs="Times New Roman"/>
          <w:color w:val="auto"/>
          <w:sz w:val="24"/>
          <w:szCs w:val="24"/>
          <w:highlight w:val="none"/>
        </w:rPr>
        <w:sectPr>
          <w:footerReference r:id="rId9"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4120DD0E">
      <w:pPr>
        <w:jc w:val="center"/>
        <w:rPr>
          <w:rFonts w:hint="eastAsia" w:eastAsia="宋体"/>
          <w:color w:val="auto"/>
          <w:sz w:val="24"/>
          <w:szCs w:val="24"/>
          <w:highlight w:val="none"/>
          <w:lang w:eastAsia="zh-CN"/>
        </w:rPr>
      </w:pPr>
      <w:r>
        <w:drawing>
          <wp:inline distT="0" distB="0" distL="114300" distR="114300">
            <wp:extent cx="5615305" cy="3764915"/>
            <wp:effectExtent l="0" t="0" r="4445" b="698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42"/>
                    <a:stretch>
                      <a:fillRect/>
                    </a:stretch>
                  </pic:blipFill>
                  <pic:spPr>
                    <a:xfrm>
                      <a:off x="0" y="0"/>
                      <a:ext cx="5615305" cy="3764915"/>
                    </a:xfrm>
                    <a:prstGeom prst="rect">
                      <a:avLst/>
                    </a:prstGeom>
                    <a:noFill/>
                    <a:ln>
                      <a:noFill/>
                    </a:ln>
                  </pic:spPr>
                </pic:pic>
              </a:graphicData>
            </a:graphic>
          </wp:inline>
        </w:drawing>
      </w:r>
    </w:p>
    <w:p w14:paraId="39400499">
      <w:pPr>
        <w:jc w:val="center"/>
        <w:outlineLvl w:val="0"/>
        <w:rPr>
          <w:rFonts w:hint="default" w:ascii="Times New Roman" w:hAnsi="Times New Roman" w:cs="Times New Roman"/>
          <w:color w:val="auto"/>
          <w:sz w:val="24"/>
          <w:szCs w:val="24"/>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45" w:name="_Toc5023"/>
      <w:bookmarkStart w:id="46" w:name="_Toc31769"/>
      <w:r>
        <w:rPr>
          <w:rFonts w:hint="default" w:ascii="Times New Roman" w:hAnsi="Times New Roman" w:cs="Times New Roman"/>
          <w:b/>
          <w:snapToGrid w:val="0"/>
          <w:color w:val="auto"/>
          <w:sz w:val="24"/>
          <w:szCs w:val="24"/>
          <w:highlight w:val="none"/>
        </w:rPr>
        <w:t xml:space="preserve">附图3  </w:t>
      </w:r>
      <w:r>
        <w:rPr>
          <w:rFonts w:hint="default" w:ascii="Times New Roman" w:hAnsi="Times New Roman" w:cs="Times New Roman"/>
          <w:b/>
          <w:snapToGrid w:val="0"/>
          <w:color w:val="auto"/>
          <w:sz w:val="24"/>
          <w:szCs w:val="24"/>
          <w:highlight w:val="none"/>
          <w:lang w:val="en-US" w:eastAsia="zh-CN"/>
        </w:rPr>
        <w:t>平面布置图</w:t>
      </w:r>
      <w:bookmarkEnd w:id="45"/>
      <w:bookmarkEnd w:id="46"/>
    </w:p>
    <w:p w14:paraId="4D43D22B">
      <w:pPr>
        <w:spacing w:after="120" w:afterLines="50"/>
        <w:jc w:val="center"/>
        <w:rPr>
          <w:rFonts w:hint="default" w:ascii="Times New Roman" w:hAnsi="Times New Roman" w:eastAsia="仿宋" w:cs="Times New Roman"/>
          <w:color w:val="auto"/>
          <w:kern w:val="0"/>
          <w:sz w:val="22"/>
          <w:highlight w:val="none"/>
        </w:rPr>
      </w:pPr>
      <w:bookmarkStart w:id="47" w:name="_Toc4986"/>
      <w:r>
        <w:rPr>
          <w:rFonts w:hint="default" w:ascii="Times New Roman" w:hAnsi="Times New Roman"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1297305</wp:posOffset>
                </wp:positionH>
                <wp:positionV relativeFrom="paragraph">
                  <wp:posOffset>1517015</wp:posOffset>
                </wp:positionV>
                <wp:extent cx="918210" cy="271780"/>
                <wp:effectExtent l="4445" t="4445" r="48895" b="619125"/>
                <wp:wrapNone/>
                <wp:docPr id="1" name="自选图形 97"/>
                <wp:cNvGraphicFramePr/>
                <a:graphic xmlns:a="http://schemas.openxmlformats.org/drawingml/2006/main">
                  <a:graphicData uri="http://schemas.microsoft.com/office/word/2010/wordprocessingShape">
                    <wps:wsp>
                      <wps:cNvSpPr/>
                      <wps:spPr>
                        <a:xfrm>
                          <a:off x="0" y="0"/>
                          <a:ext cx="918210" cy="271780"/>
                        </a:xfrm>
                        <a:prstGeom prst="wedgeRectCallout">
                          <a:avLst>
                            <a:gd name="adj1" fmla="val 52489"/>
                            <a:gd name="adj2" fmla="val 263785"/>
                          </a:avLst>
                        </a:prstGeom>
                        <a:noFill/>
                        <a:ln w="9525" cap="flat" cmpd="sng">
                          <a:solidFill>
                            <a:srgbClr val="000000"/>
                          </a:solidFill>
                          <a:prstDash val="solid"/>
                          <a:miter/>
                          <a:headEnd type="none" w="med" len="med"/>
                          <a:tailEnd type="none" w="med" len="med"/>
                        </a:ln>
                      </wps:spPr>
                      <wps:txbx>
                        <w:txbxContent>
                          <w:p w14:paraId="7BF23466">
                            <w:pPr>
                              <w:jc w:val="center"/>
                              <w:rPr>
                                <w:sz w:val="22"/>
                                <w:szCs w:val="28"/>
                              </w:rPr>
                            </w:pPr>
                            <w:r>
                              <w:rPr>
                                <w:rFonts w:hint="eastAsia"/>
                                <w:sz w:val="22"/>
                                <w:szCs w:val="28"/>
                              </w:rPr>
                              <w:t>本项目位置</w:t>
                            </w:r>
                          </w:p>
                        </w:txbxContent>
                      </wps:txbx>
                      <wps:bodyPr vert="horz" wrap="square" anchor="t" anchorCtr="0" upright="1"/>
                    </wps:wsp>
                  </a:graphicData>
                </a:graphic>
              </wp:anchor>
            </w:drawing>
          </mc:Choice>
          <mc:Fallback>
            <w:pict>
              <v:shape id="自选图形 97" o:spid="_x0000_s1026" o:spt="61" type="#_x0000_t61" style="position:absolute;left:0pt;margin-left:102.15pt;margin-top:119.45pt;height:21.4pt;width:72.3pt;z-index:251660288;mso-width-relative:page;mso-height-relative:page;" filled="f" stroked="t" coordsize="21600,21600" o:gfxdata="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0HLbv1wAAAAsBAAAP&#10;AAAAAAAAAAEAIAAAACIAAABkcnMvZG93bnJldi54bWxQSwECFAAUAAAACACHTuJAN3bQhFICAACX&#10;BAAADgAAAAAAAAABACAAAAAmAQAAZHJzL2Uyb0RvYy54bWxQSwUGAAAAAAYABgBZAQAA6gUAAAAA&#10;" adj="22138,67778">
                <v:fill on="f" focussize="0,0"/>
                <v:stroke color="#000000" joinstyle="miter"/>
                <v:imagedata o:title=""/>
                <o:lock v:ext="edit" aspectratio="f"/>
                <v:textbox>
                  <w:txbxContent>
                    <w:p w14:paraId="7BF23466">
                      <w:pPr>
                        <w:jc w:val="center"/>
                        <w:rPr>
                          <w:sz w:val="22"/>
                          <w:szCs w:val="28"/>
                        </w:rPr>
                      </w:pPr>
                      <w:r>
                        <w:rPr>
                          <w:rFonts w:hint="eastAsia"/>
                          <w:sz w:val="22"/>
                          <w:szCs w:val="28"/>
                        </w:rPr>
                        <w:t>本项目位置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2216785</wp:posOffset>
                </wp:positionH>
                <wp:positionV relativeFrom="paragraph">
                  <wp:posOffset>2355850</wp:posOffset>
                </wp:positionV>
                <wp:extent cx="118110" cy="100965"/>
                <wp:effectExtent l="15875" t="13970" r="18415" b="18415"/>
                <wp:wrapNone/>
                <wp:docPr id="2" name="自选图形 98"/>
                <wp:cNvGraphicFramePr/>
                <a:graphic xmlns:a="http://schemas.openxmlformats.org/drawingml/2006/main">
                  <a:graphicData uri="http://schemas.microsoft.com/office/word/2010/wordprocessingShape">
                    <wps:wsp>
                      <wps:cNvSpPr/>
                      <wps:spPr>
                        <a:xfrm>
                          <a:off x="0" y="0"/>
                          <a:ext cx="118110" cy="100965"/>
                        </a:xfrm>
                        <a:prstGeom prst="star5">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98" o:spid="_x0000_s1026" style="position:absolute;left:0pt;margin-left:174.55pt;margin-top:185.5pt;height:7.95pt;width:9.3pt;z-index:251661312;mso-width-relative:page;mso-height-relative:page;" fillcolor="#FF0000" filled="t" stroked="t" coordsize="118110,100965" o:gfxdata="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r30szdoAAAALAQAADwAAAAAAAAABACAAAAAiAAAAZHJzL2Rvd25yZXYueG1sUEsBAhQAFAAAAAgA&#10;h07iQC0ku7YjAgAAWAQAAA4AAAAAAAAAAQAgAAAAKQEAAGRycy9lMm9Eb2MueG1sUEsFBgAAAAAG&#10;AAYAWQEAAL4FAAAAAA==&#10;" path="m0,38565l45114,38565,59055,0,72995,38565,118109,38565,81611,62399,95552,100964,59055,77129,22557,100964,36498,62399xe">
                <v:path o:connectlocs="59055,0;0,38565;22557,100964;95552,100964;118109,38565" o:connectangles="247,164,82,82,0"/>
                <v:fill on="t" focussize="0,0"/>
                <v:stroke color="#FF0000" joinstyle="miter"/>
                <v:imagedata o:title=""/>
                <o:lock v:ext="edit" aspectratio="f"/>
              </v:shape>
            </w:pict>
          </mc:Fallback>
        </mc:AlternateContent>
      </w:r>
      <w:r>
        <w:rPr>
          <w:rFonts w:hint="eastAsia" w:ascii="仿宋_GB2312" w:hAnsi="仿宋_GB2312" w:eastAsia="仿宋_GB2312" w:cs="仿宋_GB2312"/>
          <w:color w:val="auto"/>
          <w:sz w:val="32"/>
          <w:szCs w:val="32"/>
          <w:u w:val="none"/>
          <w:lang w:bidi="ar"/>
        </w:rPr>
        <w:drawing>
          <wp:inline distT="0" distB="0" distL="114300" distR="114300">
            <wp:extent cx="6626225" cy="4161790"/>
            <wp:effectExtent l="0" t="0" r="3175" b="10160"/>
            <wp:docPr id="65" name="图片 11" descr="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descr="管控单元图"/>
                    <pic:cNvPicPr>
                      <a:picLocks noChangeAspect="1"/>
                    </pic:cNvPicPr>
                  </pic:nvPicPr>
                  <pic:blipFill>
                    <a:blip r:embed="rId43"/>
                    <a:stretch>
                      <a:fillRect/>
                    </a:stretch>
                  </pic:blipFill>
                  <pic:spPr>
                    <a:xfrm>
                      <a:off x="0" y="0"/>
                      <a:ext cx="6626225" cy="4161790"/>
                    </a:xfrm>
                    <a:prstGeom prst="rect">
                      <a:avLst/>
                    </a:prstGeom>
                    <a:noFill/>
                    <a:ln>
                      <a:noFill/>
                    </a:ln>
                  </pic:spPr>
                </pic:pic>
              </a:graphicData>
            </a:graphic>
          </wp:inline>
        </w:drawing>
      </w:r>
    </w:p>
    <w:p w14:paraId="7D9E0890">
      <w:pPr>
        <w:spacing w:after="120" w:afterLines="50"/>
        <w:jc w:val="center"/>
        <w:outlineLvl w:val="0"/>
        <w:rPr>
          <w:rFonts w:hint="eastAsia" w:ascii="Times New Roman" w:hAnsi="Times New Roman" w:cs="Times New Roman"/>
          <w:b/>
          <w:color w:val="auto"/>
          <w:sz w:val="24"/>
          <w:szCs w:val="20"/>
          <w:highlight w:val="none"/>
          <w:lang w:val="en-US" w:eastAsia="zh-CN"/>
        </w:rPr>
      </w:pPr>
      <w:bookmarkStart w:id="48" w:name="_Toc14727"/>
      <w:bookmarkStart w:id="49" w:name="_Toc13076"/>
      <w:r>
        <w:rPr>
          <w:rFonts w:hint="default" w:ascii="Times New Roman" w:hAnsi="Times New Roman" w:cs="Times New Roman"/>
          <w:b/>
          <w:color w:val="auto"/>
          <w:sz w:val="24"/>
          <w:szCs w:val="20"/>
          <w:highlight w:val="none"/>
        </w:rPr>
        <w:t>附图</w:t>
      </w:r>
      <w:r>
        <w:rPr>
          <w:rFonts w:hint="eastAsia" w:ascii="Times New Roman" w:hAnsi="Times New Roman" w:cs="Times New Roman"/>
          <w:b/>
          <w:color w:val="auto"/>
          <w:sz w:val="24"/>
          <w:szCs w:val="20"/>
          <w:highlight w:val="none"/>
          <w:lang w:val="en-US" w:eastAsia="zh-CN"/>
        </w:rPr>
        <w:t>4</w:t>
      </w:r>
      <w:r>
        <w:rPr>
          <w:rFonts w:hint="default" w:ascii="Times New Roman" w:hAnsi="Times New Roman" w:cs="Times New Roman"/>
          <w:b/>
          <w:color w:val="auto"/>
          <w:sz w:val="24"/>
          <w:szCs w:val="20"/>
          <w:highlight w:val="none"/>
        </w:rPr>
        <w:t xml:space="preserve">  </w:t>
      </w:r>
      <w:r>
        <w:rPr>
          <w:rFonts w:hint="default" w:ascii="Times New Roman" w:hAnsi="Times New Roman" w:cs="Times New Roman"/>
          <w:b/>
          <w:color w:val="auto"/>
          <w:sz w:val="24"/>
          <w:szCs w:val="20"/>
          <w:highlight w:val="none"/>
          <w:lang w:eastAsia="zh-CN"/>
        </w:rPr>
        <w:t>双鸭山市</w:t>
      </w:r>
      <w:r>
        <w:rPr>
          <w:rFonts w:hint="eastAsia" w:ascii="Times New Roman" w:hAnsi="Times New Roman" w:cs="Times New Roman"/>
          <w:b/>
          <w:color w:val="auto"/>
          <w:sz w:val="24"/>
          <w:szCs w:val="20"/>
          <w:highlight w:val="none"/>
          <w:lang w:val="en-US" w:eastAsia="zh-CN"/>
        </w:rPr>
        <w:t>生态环境保护单元分布图</w:t>
      </w:r>
      <w:bookmarkEnd w:id="48"/>
      <w:bookmarkEnd w:id="49"/>
    </w:p>
    <w:p w14:paraId="038E2FCC">
      <w:pPr>
        <w:pStyle w:val="2"/>
        <w:jc w:val="center"/>
        <w:rPr>
          <w:rFonts w:hint="default" w:ascii="Times New Roman" w:hAnsi="Times New Roman" w:eastAsia="宋体" w:cs="Times New Roman"/>
          <w:b/>
          <w:bCs w:val="0"/>
          <w:snapToGrid w:val="0"/>
          <w:color w:val="auto"/>
          <w:kern w:val="2"/>
          <w:sz w:val="24"/>
          <w:szCs w:val="24"/>
          <w:highlight w:val="none"/>
          <w:lang w:val="en-US" w:eastAsia="zh-CN" w:bidi="ar-SA"/>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3A87AAF4">
      <w:pPr>
        <w:bidi w:val="0"/>
        <w:jc w:val="center"/>
        <w:rPr>
          <w:rFonts w:hint="eastAsia"/>
          <w:color w:val="auto"/>
          <w:highlight w:val="none"/>
          <w:lang w:val="en-US" w:eastAsia="zh-CN"/>
        </w:rPr>
      </w:pPr>
    </w:p>
    <w:p w14:paraId="55AF1060">
      <w:pPr>
        <w:bidi w:val="0"/>
        <w:jc w:val="center"/>
        <w:rPr>
          <w:rFonts w:hint="eastAsia"/>
          <w:color w:val="auto"/>
          <w:highlight w:val="none"/>
          <w:lang w:val="en-US" w:eastAsia="zh-CN"/>
        </w:rPr>
      </w:pPr>
      <w:r>
        <w:rPr>
          <w:color w:val="auto"/>
          <w:sz w:val="21"/>
        </w:rPr>
        <mc:AlternateContent>
          <mc:Choice Requires="wpg">
            <w:drawing>
              <wp:anchor distT="0" distB="0" distL="114300" distR="114300" simplePos="0" relativeHeight="251662336" behindDoc="0" locked="0" layoutInCell="1" allowOverlap="1">
                <wp:simplePos x="0" y="0"/>
                <wp:positionH relativeFrom="column">
                  <wp:posOffset>1769110</wp:posOffset>
                </wp:positionH>
                <wp:positionV relativeFrom="paragraph">
                  <wp:posOffset>3211195</wp:posOffset>
                </wp:positionV>
                <wp:extent cx="1402080" cy="889635"/>
                <wp:effectExtent l="15875" t="4445" r="10795" b="20320"/>
                <wp:wrapNone/>
                <wp:docPr id="157" name="组合 157"/>
                <wp:cNvGraphicFramePr/>
                <a:graphic xmlns:a="http://schemas.openxmlformats.org/drawingml/2006/main">
                  <a:graphicData uri="http://schemas.microsoft.com/office/word/2010/wordprocessingGroup">
                    <wpg:wgp>
                      <wpg:cNvGrpSpPr/>
                      <wpg:grpSpPr>
                        <a:xfrm>
                          <a:off x="0" y="0"/>
                          <a:ext cx="1402080" cy="889635"/>
                          <a:chOff x="5576" y="1599342"/>
                          <a:chExt cx="2208" cy="1401"/>
                        </a:xfrm>
                      </wpg:grpSpPr>
                      <wps:wsp>
                        <wps:cNvPr id="6" name="自选图形 179"/>
                        <wps:cNvSpPr/>
                        <wps:spPr>
                          <a:xfrm>
                            <a:off x="6338" y="1599342"/>
                            <a:ext cx="1446" cy="428"/>
                          </a:xfrm>
                          <a:prstGeom prst="wedgeRectCallout">
                            <a:avLst>
                              <a:gd name="adj1" fmla="val -89349"/>
                              <a:gd name="adj2" fmla="val 238551"/>
                            </a:avLst>
                          </a:prstGeom>
                          <a:noFill/>
                          <a:ln w="9525" cap="flat" cmpd="sng">
                            <a:solidFill>
                              <a:srgbClr val="000000"/>
                            </a:solidFill>
                            <a:prstDash val="solid"/>
                            <a:miter/>
                            <a:headEnd type="none" w="med" len="med"/>
                            <a:tailEnd type="none" w="med" len="med"/>
                          </a:ln>
                        </wps:spPr>
                        <wps:txbx>
                          <w:txbxContent>
                            <w:p w14:paraId="386ECEF3">
                              <w:pPr>
                                <w:jc w:val="center"/>
                                <w:rPr>
                                  <w:sz w:val="22"/>
                                  <w:szCs w:val="28"/>
                                </w:rPr>
                              </w:pPr>
                              <w:r>
                                <w:rPr>
                                  <w:rFonts w:hint="eastAsia"/>
                                  <w:sz w:val="22"/>
                                  <w:szCs w:val="28"/>
                                </w:rPr>
                                <w:t>本项目位置</w:t>
                              </w:r>
                            </w:p>
                          </w:txbxContent>
                        </wps:txbx>
                        <wps:bodyPr wrap="square" upright="1"/>
                      </wps:wsp>
                      <wps:wsp>
                        <wps:cNvPr id="7" name="自选图形 180"/>
                        <wps:cNvSpPr/>
                        <wps:spPr>
                          <a:xfrm>
                            <a:off x="5576" y="1600584"/>
                            <a:ext cx="186" cy="159"/>
                          </a:xfrm>
                          <a:prstGeom prst="star5">
                            <a:avLst/>
                          </a:prstGeom>
                          <a:solidFill>
                            <a:srgbClr val="FF0000"/>
                          </a:solidFill>
                          <a:ln w="9525" cap="flat" cmpd="sng">
                            <a:solidFill>
                              <a:srgbClr val="FF0000"/>
                            </a:solidFill>
                            <a:prstDash val="solid"/>
                            <a:miter/>
                            <a:headEnd type="none" w="med" len="med"/>
                            <a:tailEnd type="none" w="med" len="med"/>
                          </a:ln>
                        </wps:spPr>
                        <wps:bodyPr wrap="square" upright="1"/>
                      </wps:wsp>
                    </wpg:wgp>
                  </a:graphicData>
                </a:graphic>
              </wp:anchor>
            </w:drawing>
          </mc:Choice>
          <mc:Fallback>
            <w:pict>
              <v:group id="_x0000_s1026" o:spid="_x0000_s1026" o:spt="203" style="position:absolute;left:0pt;margin-left:139.3pt;margin-top:252.85pt;height:70.05pt;width:110.4pt;z-index:251662336;mso-width-relative:page;mso-height-relative:page;" coordorigin="5576,1599342" coordsize="2208,1401" o:gfxdata="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vDGUzdwAAAALAQAADwAAAAAAAAABACAAAAAiAAAAZHJzL2Rvd25yZXYueG1sUEsBAhQA&#10;FAAAAAgAh07iQHFOlOQLAwAACAgAAA4AAAAAAAAAAQAgAAAAKwEAAGRycy9lMm9Eb2MueG1sUEsF&#10;BgAAAAAGAAYAWQEAAKgGAAAAAA==&#10;">
                <o:lock v:ext="edit" aspectratio="f"/>
                <v:shape id="自选图形 179" o:spid="_x0000_s1026" o:spt="61" type="#_x0000_t61" style="position:absolute;left:6338;top:1599342;height:428;width:1446;" filled="f" stroked="t" coordsize="21600,21600" o:gfxdata="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O373ugAAANoA&#10;AAAPAAAAAAAAAAEAIAAAACIAAABkcnMvZG93bnJldi54bWxQSwECFAAUAAAACACHTuJAMy8FnjsA&#10;AAA5AAAAEAAAAAAAAAABACAAAAAJAQAAZHJzL3NoYXBleG1sLnhtbFBLBQYAAAAABgAGAFsBAACz&#10;AwAAAAA=&#10;" adj="-8499,62327">
                  <v:fill on="f" focussize="0,0"/>
                  <v:stroke color="#000000" joinstyle="miter"/>
                  <v:imagedata o:title=""/>
                  <o:lock v:ext="edit" aspectratio="f"/>
                  <v:textbox>
                    <w:txbxContent>
                      <w:p w14:paraId="386ECEF3">
                        <w:pPr>
                          <w:jc w:val="center"/>
                          <w:rPr>
                            <w:sz w:val="22"/>
                            <w:szCs w:val="28"/>
                          </w:rPr>
                        </w:pPr>
                        <w:r>
                          <w:rPr>
                            <w:rFonts w:hint="eastAsia"/>
                            <w:sz w:val="22"/>
                            <w:szCs w:val="28"/>
                          </w:rPr>
                          <w:t>本项目位置</w:t>
                        </w:r>
                      </w:p>
                    </w:txbxContent>
                  </v:textbox>
                </v:shape>
                <v:shape id="自选图形 180" o:spid="_x0000_s1026" style="position:absolute;left:5576;top:1600584;height:159;width:186;" fillcolor="#FF0000" filled="t" stroked="t" coordsize="186,159" o:gfxdata="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lLJXL4A&#10;AADaAAAADwAAAAAAAAABACAAAAAiAAAAZHJzL2Rvd25yZXYueG1sUEsBAhQAFAAAAAgAh07iQDMv&#10;BZ47AAAAOQAAABAAAAAAAAAAAQAgAAAADQEAAGRycy9zaGFwZXhtbC54bWxQSwUGAAAAAAYABgBb&#10;AQAAtwMAAAAA&#10;" path="m0,60l71,60,93,0,114,60,185,60,128,98,150,158,93,121,35,158,57,98xe">
                  <v:path o:connectlocs="93,0;0,60;35,158;150,158;185,60" o:connectangles="247,164,82,82,0"/>
                  <v:fill on="t" focussize="0,0"/>
                  <v:stroke color="#FF0000" joinstyle="miter"/>
                  <v:imagedata o:title=""/>
                  <o:lock v:ext="edit" aspectratio="f"/>
                </v:shape>
              </v:group>
            </w:pict>
          </mc:Fallback>
        </mc:AlternateContent>
      </w:r>
      <w:r>
        <w:rPr>
          <w:color w:val="auto"/>
        </w:rPr>
        <w:drawing>
          <wp:inline distT="0" distB="0" distL="114300" distR="114300">
            <wp:extent cx="5391150" cy="6086475"/>
            <wp:effectExtent l="0" t="0" r="0" b="9525"/>
            <wp:docPr id="1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8"/>
                    <pic:cNvPicPr>
                      <a:picLocks noChangeAspect="1"/>
                    </pic:cNvPicPr>
                  </pic:nvPicPr>
                  <pic:blipFill>
                    <a:blip r:embed="rId44"/>
                    <a:stretch>
                      <a:fillRect/>
                    </a:stretch>
                  </pic:blipFill>
                  <pic:spPr>
                    <a:xfrm>
                      <a:off x="0" y="0"/>
                      <a:ext cx="5391150" cy="6086475"/>
                    </a:xfrm>
                    <a:prstGeom prst="rect">
                      <a:avLst/>
                    </a:prstGeom>
                    <a:noFill/>
                    <a:ln>
                      <a:noFill/>
                    </a:ln>
                  </pic:spPr>
                </pic:pic>
              </a:graphicData>
            </a:graphic>
          </wp:inline>
        </w:drawing>
      </w:r>
    </w:p>
    <w:p w14:paraId="7768A01F">
      <w:pPr>
        <w:pStyle w:val="2"/>
        <w:jc w:val="center"/>
        <w:rPr>
          <w:rFonts w:hint="eastAsia" w:ascii="Times New Roman" w:hAnsi="Times New Roman" w:eastAsia="宋体" w:cs="Times New Roman"/>
          <w:b/>
          <w:bCs w:val="0"/>
          <w:snapToGrid w:val="0"/>
          <w:color w:val="auto"/>
          <w:kern w:val="2"/>
          <w:sz w:val="24"/>
          <w:szCs w:val="24"/>
          <w:highlight w:val="none"/>
          <w:lang w:val="en-US" w:eastAsia="zh-CN" w:bidi="ar-SA"/>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0" w:name="_Toc26368"/>
      <w:bookmarkStart w:id="51" w:name="_Toc26638"/>
      <w:r>
        <w:rPr>
          <w:rFonts w:hint="eastAsia" w:ascii="Times New Roman" w:hAnsi="Times New Roman" w:eastAsia="宋体" w:cs="Times New Roman"/>
          <w:b/>
          <w:bCs w:val="0"/>
          <w:snapToGrid w:val="0"/>
          <w:color w:val="auto"/>
          <w:kern w:val="2"/>
          <w:sz w:val="24"/>
          <w:szCs w:val="24"/>
          <w:highlight w:val="none"/>
          <w:lang w:val="en-US" w:eastAsia="zh-CN" w:bidi="ar-SA"/>
        </w:rPr>
        <w:t>附图</w:t>
      </w:r>
      <w:r>
        <w:rPr>
          <w:rFonts w:hint="eastAsia" w:eastAsia="宋体" w:cs="Times New Roman"/>
          <w:b/>
          <w:bCs w:val="0"/>
          <w:snapToGrid w:val="0"/>
          <w:color w:val="auto"/>
          <w:kern w:val="2"/>
          <w:sz w:val="24"/>
          <w:szCs w:val="24"/>
          <w:highlight w:val="none"/>
          <w:lang w:val="en-US" w:eastAsia="zh-CN" w:bidi="ar-SA"/>
        </w:rPr>
        <w:t>5</w:t>
      </w:r>
      <w:r>
        <w:rPr>
          <w:rFonts w:hint="eastAsia" w:ascii="Times New Roman" w:hAnsi="Times New Roman" w:eastAsia="宋体" w:cs="Times New Roman"/>
          <w:b/>
          <w:bCs w:val="0"/>
          <w:snapToGrid w:val="0"/>
          <w:color w:val="auto"/>
          <w:kern w:val="2"/>
          <w:sz w:val="24"/>
          <w:szCs w:val="24"/>
          <w:highlight w:val="none"/>
          <w:lang w:val="en-US" w:eastAsia="zh-CN" w:bidi="ar-SA"/>
        </w:rPr>
        <w:t xml:space="preserve">  双鸭山声环境功能区划图</w:t>
      </w:r>
      <w:bookmarkEnd w:id="50"/>
      <w:bookmarkEnd w:id="51"/>
    </w:p>
    <w:bookmarkEnd w:id="47"/>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4530"/>
        <w:gridCol w:w="4530"/>
      </w:tblGrid>
      <w:tr w14:paraId="4483B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530" w:type="dxa"/>
          </w:tcPr>
          <w:p w14:paraId="7354EADB">
            <w:pPr>
              <w:bidi w:val="0"/>
              <w:jc w:val="center"/>
              <w:rPr>
                <w:rFonts w:hint="eastAsia"/>
                <w:color w:val="auto"/>
                <w:highlight w:val="none"/>
                <w:vertAlign w:val="baseline"/>
                <w:lang w:val="en-US" w:eastAsia="zh-CN"/>
              </w:rPr>
            </w:pPr>
            <w:bookmarkStart w:id="52" w:name="_Toc26035"/>
            <w:bookmarkStart w:id="53" w:name="_Toc15199"/>
            <w:r>
              <w:rPr>
                <w:rFonts w:hint="eastAsia"/>
                <w:color w:val="auto"/>
                <w:highlight w:val="none"/>
                <w:vertAlign w:val="baseline"/>
                <w:lang w:val="en-US" w:eastAsia="zh-CN"/>
              </w:rPr>
              <w:drawing>
                <wp:inline distT="0" distB="0" distL="114300" distR="114300">
                  <wp:extent cx="2724785" cy="1532890"/>
                  <wp:effectExtent l="0" t="0" r="18415" b="10160"/>
                  <wp:docPr id="38" name="图片 38" descr="369b376ea498982bfd81af58f915a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369b376ea498982bfd81af58f915a637"/>
                          <pic:cNvPicPr>
                            <a:picLocks noChangeAspect="1"/>
                          </pic:cNvPicPr>
                        </pic:nvPicPr>
                        <pic:blipFill>
                          <a:blip r:embed="rId45"/>
                          <a:stretch>
                            <a:fillRect/>
                          </a:stretch>
                        </pic:blipFill>
                        <pic:spPr>
                          <a:xfrm>
                            <a:off x="0" y="0"/>
                            <a:ext cx="2724785" cy="1532890"/>
                          </a:xfrm>
                          <a:prstGeom prst="rect">
                            <a:avLst/>
                          </a:prstGeom>
                        </pic:spPr>
                      </pic:pic>
                    </a:graphicData>
                  </a:graphic>
                </wp:inline>
              </w:drawing>
            </w:r>
          </w:p>
        </w:tc>
        <w:tc>
          <w:tcPr>
            <w:tcW w:w="4530" w:type="dxa"/>
          </w:tcPr>
          <w:p w14:paraId="745A37CC">
            <w:pPr>
              <w:bidi w:val="0"/>
              <w:jc w:val="center"/>
              <w:rPr>
                <w:rFonts w:hint="eastAsia"/>
                <w:color w:val="auto"/>
                <w:highlight w:val="none"/>
                <w:vertAlign w:val="baseline"/>
                <w:lang w:val="en-US" w:eastAsia="zh-CN"/>
              </w:rPr>
            </w:pPr>
            <w:r>
              <w:rPr>
                <w:rFonts w:hint="eastAsia"/>
                <w:color w:val="auto"/>
                <w:highlight w:val="none"/>
                <w:vertAlign w:val="baseline"/>
                <w:lang w:val="en-US" w:eastAsia="zh-CN"/>
              </w:rPr>
              <w:drawing>
                <wp:inline distT="0" distB="0" distL="114300" distR="114300">
                  <wp:extent cx="2724785" cy="1532890"/>
                  <wp:effectExtent l="0" t="0" r="18415" b="10160"/>
                  <wp:docPr id="39" name="图片 39" descr="6dde15ca209e65202593669efdafc5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6dde15ca209e65202593669efdafc59b"/>
                          <pic:cNvPicPr>
                            <a:picLocks noChangeAspect="1"/>
                          </pic:cNvPicPr>
                        </pic:nvPicPr>
                        <pic:blipFill>
                          <a:blip r:embed="rId46"/>
                          <a:stretch>
                            <a:fillRect/>
                          </a:stretch>
                        </pic:blipFill>
                        <pic:spPr>
                          <a:xfrm>
                            <a:off x="0" y="0"/>
                            <a:ext cx="2724785" cy="1532890"/>
                          </a:xfrm>
                          <a:prstGeom prst="rect">
                            <a:avLst/>
                          </a:prstGeom>
                        </pic:spPr>
                      </pic:pic>
                    </a:graphicData>
                  </a:graphic>
                </wp:inline>
              </w:drawing>
            </w:r>
          </w:p>
        </w:tc>
      </w:tr>
      <w:tr w14:paraId="6C3AC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530" w:type="dxa"/>
          </w:tcPr>
          <w:p w14:paraId="1C682D41">
            <w:pPr>
              <w:bidi w:val="0"/>
              <w:jc w:val="center"/>
              <w:rPr>
                <w:rFonts w:hint="default"/>
                <w:color w:val="auto"/>
                <w:highlight w:val="none"/>
                <w:vertAlign w:val="baseline"/>
                <w:lang w:val="en-US" w:eastAsia="zh-CN"/>
              </w:rPr>
            </w:pPr>
            <w:r>
              <w:rPr>
                <w:rFonts w:hint="eastAsia"/>
                <w:color w:val="auto"/>
                <w:highlight w:val="none"/>
                <w:vertAlign w:val="baseline"/>
                <w:lang w:val="en-US" w:eastAsia="zh-CN"/>
              </w:rPr>
              <w:t>东侧窑地路</w:t>
            </w:r>
          </w:p>
        </w:tc>
        <w:tc>
          <w:tcPr>
            <w:tcW w:w="4530" w:type="dxa"/>
          </w:tcPr>
          <w:p w14:paraId="2949E6F7">
            <w:pPr>
              <w:bidi w:val="0"/>
              <w:jc w:val="center"/>
              <w:rPr>
                <w:rFonts w:hint="default"/>
                <w:color w:val="auto"/>
                <w:highlight w:val="none"/>
                <w:vertAlign w:val="baseline"/>
                <w:lang w:val="en-US" w:eastAsia="zh-CN"/>
              </w:rPr>
            </w:pPr>
            <w:r>
              <w:rPr>
                <w:rFonts w:hint="eastAsia"/>
                <w:color w:val="auto"/>
                <w:highlight w:val="none"/>
                <w:vertAlign w:val="baseline"/>
                <w:lang w:val="en-US" w:eastAsia="zh-CN"/>
              </w:rPr>
              <w:t>南侧宝成家具厂</w:t>
            </w:r>
          </w:p>
        </w:tc>
      </w:tr>
      <w:tr w14:paraId="7BE46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530" w:type="dxa"/>
          </w:tcPr>
          <w:p w14:paraId="75B109A7">
            <w:pPr>
              <w:bidi w:val="0"/>
              <w:jc w:val="center"/>
              <w:rPr>
                <w:rFonts w:hint="eastAsia"/>
                <w:color w:val="auto"/>
                <w:highlight w:val="none"/>
                <w:vertAlign w:val="baseline"/>
                <w:lang w:val="en-US" w:eastAsia="zh-CN"/>
              </w:rPr>
            </w:pPr>
            <w:r>
              <w:rPr>
                <w:rFonts w:hint="eastAsia"/>
                <w:color w:val="auto"/>
                <w:highlight w:val="none"/>
                <w:vertAlign w:val="baseline"/>
                <w:lang w:val="en-US" w:eastAsia="zh-CN"/>
              </w:rPr>
              <w:drawing>
                <wp:inline distT="0" distB="0" distL="114300" distR="114300">
                  <wp:extent cx="2724785" cy="1532890"/>
                  <wp:effectExtent l="0" t="0" r="18415" b="10160"/>
                  <wp:docPr id="40" name="图片 40" descr="088d451b43460540129e1fb8807fc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88d451b43460540129e1fb8807fc967"/>
                          <pic:cNvPicPr>
                            <a:picLocks noChangeAspect="1"/>
                          </pic:cNvPicPr>
                        </pic:nvPicPr>
                        <pic:blipFill>
                          <a:blip r:embed="rId47"/>
                          <a:stretch>
                            <a:fillRect/>
                          </a:stretch>
                        </pic:blipFill>
                        <pic:spPr>
                          <a:xfrm>
                            <a:off x="0" y="0"/>
                            <a:ext cx="2724785" cy="1532890"/>
                          </a:xfrm>
                          <a:prstGeom prst="rect">
                            <a:avLst/>
                          </a:prstGeom>
                        </pic:spPr>
                      </pic:pic>
                    </a:graphicData>
                  </a:graphic>
                </wp:inline>
              </w:drawing>
            </w:r>
          </w:p>
        </w:tc>
        <w:tc>
          <w:tcPr>
            <w:tcW w:w="4530" w:type="dxa"/>
          </w:tcPr>
          <w:p w14:paraId="605F74A6">
            <w:pPr>
              <w:bidi w:val="0"/>
              <w:jc w:val="center"/>
              <w:rPr>
                <w:rFonts w:hint="eastAsia"/>
                <w:color w:val="auto"/>
                <w:highlight w:val="none"/>
                <w:vertAlign w:val="baseline"/>
                <w:lang w:val="en-US" w:eastAsia="zh-CN"/>
              </w:rPr>
            </w:pPr>
            <w:r>
              <w:rPr>
                <w:rFonts w:hint="eastAsia"/>
                <w:color w:val="auto"/>
                <w:highlight w:val="none"/>
                <w:vertAlign w:val="baseline"/>
                <w:lang w:val="en-US" w:eastAsia="zh-CN"/>
              </w:rPr>
              <w:drawing>
                <wp:inline distT="0" distB="0" distL="114300" distR="114300">
                  <wp:extent cx="2736850" cy="1480185"/>
                  <wp:effectExtent l="0" t="0" r="6350" b="5715"/>
                  <wp:docPr id="42" name="图片 42" descr="9b3296020275dd7eb692433d195101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9b3296020275dd7eb692433d195101ff"/>
                          <pic:cNvPicPr>
                            <a:picLocks noChangeAspect="1"/>
                          </pic:cNvPicPr>
                        </pic:nvPicPr>
                        <pic:blipFill>
                          <a:blip r:embed="rId48"/>
                          <a:stretch>
                            <a:fillRect/>
                          </a:stretch>
                        </pic:blipFill>
                        <pic:spPr>
                          <a:xfrm>
                            <a:off x="0" y="0"/>
                            <a:ext cx="2736850" cy="1480185"/>
                          </a:xfrm>
                          <a:prstGeom prst="rect">
                            <a:avLst/>
                          </a:prstGeom>
                        </pic:spPr>
                      </pic:pic>
                    </a:graphicData>
                  </a:graphic>
                </wp:inline>
              </w:drawing>
            </w:r>
          </w:p>
        </w:tc>
      </w:tr>
      <w:tr w14:paraId="42A30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530" w:type="dxa"/>
          </w:tcPr>
          <w:p w14:paraId="4116B317">
            <w:pPr>
              <w:bidi w:val="0"/>
              <w:jc w:val="center"/>
              <w:rPr>
                <w:rFonts w:hint="default"/>
                <w:color w:val="auto"/>
                <w:highlight w:val="none"/>
                <w:vertAlign w:val="baseline"/>
                <w:lang w:val="en-US" w:eastAsia="zh-CN"/>
              </w:rPr>
            </w:pPr>
            <w:r>
              <w:rPr>
                <w:rFonts w:hint="eastAsia"/>
                <w:color w:val="auto"/>
                <w:highlight w:val="none"/>
                <w:vertAlign w:val="baseline"/>
                <w:lang w:val="en-US" w:eastAsia="zh-CN"/>
              </w:rPr>
              <w:t>西侧大蒜厂</w:t>
            </w:r>
          </w:p>
        </w:tc>
        <w:tc>
          <w:tcPr>
            <w:tcW w:w="4530" w:type="dxa"/>
          </w:tcPr>
          <w:p w14:paraId="3FDFBFBC">
            <w:pPr>
              <w:bidi w:val="0"/>
              <w:jc w:val="center"/>
              <w:rPr>
                <w:rFonts w:hint="default"/>
                <w:color w:val="auto"/>
                <w:highlight w:val="none"/>
                <w:vertAlign w:val="baseline"/>
                <w:lang w:val="en-US" w:eastAsia="zh-CN"/>
              </w:rPr>
            </w:pPr>
            <w:r>
              <w:rPr>
                <w:rFonts w:hint="eastAsia"/>
                <w:color w:val="auto"/>
                <w:highlight w:val="none"/>
                <w:vertAlign w:val="baseline"/>
                <w:lang w:val="en-US" w:eastAsia="zh-CN"/>
              </w:rPr>
              <w:t>北侧空地</w:t>
            </w:r>
          </w:p>
        </w:tc>
      </w:tr>
    </w:tbl>
    <w:p w14:paraId="43AB5C1F">
      <w:pPr>
        <w:bidi w:val="0"/>
        <w:jc w:val="center"/>
        <w:rPr>
          <w:rFonts w:hint="eastAsia"/>
          <w:color w:val="auto"/>
          <w:highlight w:val="none"/>
          <w:lang w:val="en-US" w:eastAsia="zh-CN"/>
        </w:rPr>
      </w:pPr>
    </w:p>
    <w:p w14:paraId="4998D1FB">
      <w:pPr>
        <w:pStyle w:val="2"/>
        <w:jc w:val="center"/>
        <w:rPr>
          <w:rFonts w:hint="eastAsia" w:ascii="Times New Roman" w:hAnsi="Times New Roman" w:eastAsia="宋体" w:cs="Times New Roman"/>
          <w:b/>
          <w:bCs w:val="0"/>
          <w:snapToGrid w:val="0"/>
          <w:color w:val="auto"/>
          <w:kern w:val="2"/>
          <w:sz w:val="24"/>
          <w:szCs w:val="24"/>
          <w:highlight w:val="none"/>
          <w:lang w:val="en-US" w:eastAsia="zh-CN" w:bidi="ar-SA"/>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4" w:name="_Toc17424"/>
      <w:r>
        <w:rPr>
          <w:rFonts w:hint="eastAsia" w:ascii="Times New Roman" w:hAnsi="Times New Roman" w:eastAsia="宋体" w:cs="Times New Roman"/>
          <w:b/>
          <w:bCs w:val="0"/>
          <w:snapToGrid w:val="0"/>
          <w:color w:val="auto"/>
          <w:kern w:val="2"/>
          <w:sz w:val="24"/>
          <w:szCs w:val="24"/>
          <w:highlight w:val="none"/>
          <w:lang w:val="en-US" w:eastAsia="zh-CN" w:bidi="ar-SA"/>
        </w:rPr>
        <w:t>附图</w:t>
      </w:r>
      <w:r>
        <w:rPr>
          <w:rFonts w:hint="eastAsia" w:eastAsia="宋体" w:cs="Times New Roman"/>
          <w:b/>
          <w:bCs w:val="0"/>
          <w:snapToGrid w:val="0"/>
          <w:color w:val="auto"/>
          <w:kern w:val="2"/>
          <w:sz w:val="24"/>
          <w:szCs w:val="24"/>
          <w:highlight w:val="none"/>
          <w:lang w:val="en-US" w:eastAsia="zh-CN" w:bidi="ar-SA"/>
        </w:rPr>
        <w:t>6</w:t>
      </w:r>
      <w:r>
        <w:rPr>
          <w:rFonts w:hint="eastAsia" w:ascii="Times New Roman" w:hAnsi="Times New Roman" w:eastAsia="宋体" w:cs="Times New Roman"/>
          <w:b/>
          <w:bCs w:val="0"/>
          <w:snapToGrid w:val="0"/>
          <w:color w:val="auto"/>
          <w:kern w:val="2"/>
          <w:sz w:val="24"/>
          <w:szCs w:val="24"/>
          <w:highlight w:val="none"/>
          <w:lang w:val="en-US" w:eastAsia="zh-CN" w:bidi="ar-SA"/>
        </w:rPr>
        <w:t xml:space="preserve">  </w:t>
      </w:r>
      <w:r>
        <w:rPr>
          <w:rFonts w:hint="eastAsia" w:eastAsia="宋体" w:cs="Times New Roman"/>
          <w:b/>
          <w:bCs w:val="0"/>
          <w:snapToGrid w:val="0"/>
          <w:color w:val="auto"/>
          <w:kern w:val="2"/>
          <w:sz w:val="24"/>
          <w:szCs w:val="24"/>
          <w:highlight w:val="none"/>
          <w:lang w:val="en-US" w:eastAsia="zh-CN" w:bidi="ar-SA"/>
        </w:rPr>
        <w:t>项目周边环境关系</w:t>
      </w:r>
      <w:r>
        <w:rPr>
          <w:rFonts w:hint="eastAsia" w:ascii="Times New Roman" w:hAnsi="Times New Roman" w:eastAsia="宋体" w:cs="Times New Roman"/>
          <w:b/>
          <w:bCs w:val="0"/>
          <w:snapToGrid w:val="0"/>
          <w:color w:val="auto"/>
          <w:kern w:val="2"/>
          <w:sz w:val="24"/>
          <w:szCs w:val="24"/>
          <w:highlight w:val="none"/>
          <w:lang w:val="en-US" w:eastAsia="zh-CN" w:bidi="ar-SA"/>
        </w:rPr>
        <w:t>图</w:t>
      </w:r>
      <w:bookmarkEnd w:id="54"/>
    </w:p>
    <w:p w14:paraId="1459F33B">
      <w:pPr>
        <w:spacing w:after="120" w:afterLines="50"/>
        <w:jc w:val="both"/>
        <w:outlineLvl w:val="0"/>
        <w:rPr>
          <w:rFonts w:hint="default" w:ascii="Times New Roman" w:hAnsi="Times New Roman" w:eastAsia="宋体" w:cs="Times New Roman"/>
          <w:b/>
          <w:color w:val="auto"/>
          <w:sz w:val="24"/>
          <w:szCs w:val="20"/>
          <w:highlight w:val="none"/>
          <w:lang w:val="en-US" w:eastAsia="zh-CN"/>
        </w:rPr>
      </w:pPr>
      <w:bookmarkStart w:id="55" w:name="_Toc25895"/>
      <w:r>
        <w:rPr>
          <w:rFonts w:hint="default" w:ascii="Times New Roman" w:hAnsi="Times New Roman" w:eastAsia="宋体" w:cs="Times New Roman"/>
          <w:b/>
          <w:color w:val="auto"/>
          <w:sz w:val="24"/>
          <w:szCs w:val="20"/>
          <w:highlight w:val="none"/>
          <w:lang w:val="en-US" w:eastAsia="zh-CN"/>
        </w:rPr>
        <w:t>附件</w:t>
      </w:r>
      <w:r>
        <w:rPr>
          <w:rFonts w:hint="eastAsia" w:cs="Times New Roman"/>
          <w:b/>
          <w:color w:val="auto"/>
          <w:sz w:val="24"/>
          <w:szCs w:val="20"/>
          <w:highlight w:val="none"/>
          <w:lang w:val="en-US" w:eastAsia="zh-CN"/>
        </w:rPr>
        <w:t>1</w:t>
      </w:r>
      <w:r>
        <w:rPr>
          <w:rFonts w:hint="default" w:ascii="Times New Roman" w:hAnsi="Times New Roman" w:eastAsia="宋体" w:cs="Times New Roman"/>
          <w:b/>
          <w:color w:val="auto"/>
          <w:sz w:val="24"/>
          <w:szCs w:val="20"/>
          <w:highlight w:val="none"/>
          <w:lang w:val="en-US" w:eastAsia="zh-CN"/>
        </w:rPr>
        <w:t xml:space="preserve"> 燃料分析单</w:t>
      </w:r>
      <w:bookmarkEnd w:id="52"/>
      <w:bookmarkEnd w:id="53"/>
      <w:bookmarkEnd w:id="55"/>
    </w:p>
    <w:p w14:paraId="0A37A848">
      <w:pPr>
        <w:bidi w:val="0"/>
        <w:rPr>
          <w:rFonts w:hint="default"/>
          <w:color w:val="auto"/>
          <w:lang w:val="en-US" w:eastAsia="zh-CN"/>
        </w:rPr>
      </w:pPr>
      <w:r>
        <w:rPr>
          <w:color w:val="auto"/>
        </w:rPr>
        <w:drawing>
          <wp:inline distT="0" distB="0" distL="114300" distR="114300">
            <wp:extent cx="5581650" cy="7915275"/>
            <wp:effectExtent l="0" t="0" r="0" b="9525"/>
            <wp:docPr id="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0"/>
                    <pic:cNvPicPr>
                      <a:picLocks noChangeAspect="1"/>
                    </pic:cNvPicPr>
                  </pic:nvPicPr>
                  <pic:blipFill>
                    <a:blip r:embed="rId49"/>
                    <a:stretch>
                      <a:fillRect/>
                    </a:stretch>
                  </pic:blipFill>
                  <pic:spPr>
                    <a:xfrm>
                      <a:off x="0" y="0"/>
                      <a:ext cx="5581650" cy="7915275"/>
                    </a:xfrm>
                    <a:prstGeom prst="rect">
                      <a:avLst/>
                    </a:prstGeom>
                    <a:noFill/>
                    <a:ln>
                      <a:noFill/>
                    </a:ln>
                  </pic:spPr>
                </pic:pic>
              </a:graphicData>
            </a:graphic>
          </wp:inline>
        </w:drawing>
      </w:r>
    </w:p>
    <w:p w14:paraId="50599BEA">
      <w:pPr>
        <w:rPr>
          <w:rFonts w:hint="default" w:ascii="Times New Roman" w:hAnsi="Times New Roman" w:cs="Times New Roman"/>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5CA99162">
      <w:pPr>
        <w:spacing w:after="120" w:afterLines="50"/>
        <w:jc w:val="both"/>
        <w:outlineLvl w:val="0"/>
        <w:rPr>
          <w:rFonts w:hint="default" w:ascii="Times New Roman" w:hAnsi="Times New Roman" w:eastAsia="宋体" w:cs="Times New Roman"/>
          <w:b/>
          <w:color w:val="auto"/>
          <w:sz w:val="24"/>
          <w:szCs w:val="20"/>
          <w:highlight w:val="none"/>
          <w:lang w:val="en-US" w:eastAsia="zh-CN"/>
        </w:rPr>
      </w:pPr>
      <w:bookmarkStart w:id="56" w:name="_Toc851"/>
      <w:bookmarkStart w:id="57" w:name="_Toc12473"/>
      <w:bookmarkStart w:id="58" w:name="_Toc21854"/>
      <w:r>
        <w:rPr>
          <w:rFonts w:hint="default" w:ascii="Times New Roman" w:hAnsi="Times New Roman" w:eastAsia="宋体" w:cs="Times New Roman"/>
          <w:b/>
          <w:color w:val="auto"/>
          <w:sz w:val="24"/>
          <w:szCs w:val="20"/>
          <w:highlight w:val="none"/>
          <w:lang w:val="en-US" w:eastAsia="zh-CN"/>
        </w:rPr>
        <w:t>附件</w:t>
      </w:r>
      <w:r>
        <w:rPr>
          <w:rFonts w:hint="eastAsia" w:cs="Times New Roman"/>
          <w:b/>
          <w:color w:val="auto"/>
          <w:sz w:val="24"/>
          <w:szCs w:val="20"/>
          <w:highlight w:val="none"/>
          <w:lang w:val="en-US" w:eastAsia="zh-CN"/>
        </w:rPr>
        <w:t>2</w:t>
      </w:r>
      <w:r>
        <w:rPr>
          <w:rFonts w:hint="eastAsia" w:ascii="Times New Roman" w:hAnsi="Times New Roman" w:eastAsia="宋体" w:cs="Times New Roman"/>
          <w:b/>
          <w:color w:val="auto"/>
          <w:sz w:val="24"/>
          <w:szCs w:val="20"/>
          <w:highlight w:val="none"/>
          <w:lang w:val="en-US" w:eastAsia="zh-CN"/>
        </w:rPr>
        <w:t xml:space="preserve"> </w:t>
      </w:r>
      <w:bookmarkEnd w:id="56"/>
      <w:r>
        <w:rPr>
          <w:rFonts w:hint="eastAsia" w:cs="Times New Roman"/>
          <w:b/>
          <w:color w:val="auto"/>
          <w:sz w:val="24"/>
          <w:szCs w:val="20"/>
          <w:highlight w:val="none"/>
          <w:lang w:val="en-US" w:eastAsia="zh-CN"/>
        </w:rPr>
        <w:t>总量核算及其排放总量认定的函</w:t>
      </w:r>
      <w:bookmarkEnd w:id="57"/>
    </w:p>
    <w:p w14:paraId="439CCD90">
      <w:pPr>
        <w:adjustRightInd w:val="0"/>
        <w:snapToGrid w:val="0"/>
        <w:spacing w:line="360" w:lineRule="auto"/>
        <w:ind w:firstLine="420" w:firstLineChars="200"/>
        <w:rPr>
          <w:snapToGrid w:val="0"/>
          <w:color w:val="auto"/>
          <w:kern w:val="0"/>
          <w:szCs w:val="21"/>
        </w:rPr>
      </w:pPr>
      <w:r>
        <w:rPr>
          <w:snapToGrid w:val="0"/>
          <w:color w:val="auto"/>
          <w:kern w:val="0"/>
          <w:szCs w:val="21"/>
        </w:rPr>
        <w:t>1、</w:t>
      </w:r>
      <w:r>
        <w:rPr>
          <w:rFonts w:hint="eastAsia"/>
          <w:snapToGrid w:val="0"/>
          <w:color w:val="auto"/>
          <w:kern w:val="0"/>
          <w:szCs w:val="21"/>
          <w:lang w:val="en-US" w:eastAsia="zh-CN"/>
        </w:rPr>
        <w:t>锅炉</w:t>
      </w:r>
      <w:r>
        <w:rPr>
          <w:snapToGrid w:val="0"/>
          <w:color w:val="auto"/>
          <w:kern w:val="0"/>
          <w:szCs w:val="21"/>
        </w:rPr>
        <w:t>废气</w:t>
      </w:r>
    </w:p>
    <w:p w14:paraId="5E92338F">
      <w:pPr>
        <w:tabs>
          <w:tab w:val="left" w:pos="-210"/>
        </w:tabs>
        <w:adjustRightInd w:val="0"/>
        <w:snapToGrid w:val="0"/>
        <w:spacing w:line="360" w:lineRule="auto"/>
        <w:ind w:firstLine="420" w:firstLineChars="200"/>
        <w:jc w:val="left"/>
        <w:rPr>
          <w:rFonts w:hint="eastAsia" w:eastAsia="宋体"/>
          <w:snapToGrid w:val="0"/>
          <w:color w:val="auto"/>
          <w:kern w:val="0"/>
          <w:szCs w:val="21"/>
          <w:lang w:eastAsia="zh-CN"/>
        </w:rPr>
      </w:pPr>
      <w:r>
        <w:rPr>
          <w:snapToGrid w:val="0"/>
          <w:color w:val="auto"/>
          <w:kern w:val="0"/>
          <w:szCs w:val="21"/>
        </w:rPr>
        <w:t>本项目生物质颗粒燃料热水锅炉废气按《排污许可证申请与核发技术规范锅炉》（HJ953-2018）计算许可排放量。执行《锅炉大气污染物排放标准》（GB13271-2014）的锅炉计算公式根据《排污许可证申请与核发技术规范锅炉》（HJ953-2018）可知</w:t>
      </w:r>
      <w:r>
        <w:rPr>
          <w:rFonts w:hint="eastAsia"/>
          <w:snapToGrid w:val="0"/>
          <w:color w:val="auto"/>
          <w:kern w:val="0"/>
          <w:szCs w:val="21"/>
          <w:lang w:eastAsia="zh-CN"/>
        </w:rPr>
        <w:t>：</w:t>
      </w:r>
    </w:p>
    <w:p w14:paraId="2DDA6C6B">
      <w:pPr>
        <w:widowControl/>
        <w:adjustRightInd w:val="0"/>
        <w:snapToGrid w:val="0"/>
        <w:spacing w:line="360" w:lineRule="auto"/>
        <w:ind w:firstLine="420" w:firstLineChars="200"/>
        <w:jc w:val="left"/>
        <w:rPr>
          <w:snapToGrid w:val="0"/>
          <w:color w:val="auto"/>
          <w:kern w:val="0"/>
          <w:szCs w:val="21"/>
        </w:rPr>
      </w:pPr>
      <w:r>
        <w:rPr>
          <w:snapToGrid w:val="0"/>
          <w:color w:val="auto"/>
          <w:kern w:val="0"/>
          <w:szCs w:val="21"/>
        </w:rPr>
        <w:drawing>
          <wp:inline distT="0" distB="0" distL="114300" distR="114300">
            <wp:extent cx="5264150" cy="3614420"/>
            <wp:effectExtent l="0" t="0" r="12700" b="508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50"/>
                    <a:stretch>
                      <a:fillRect/>
                    </a:stretch>
                  </pic:blipFill>
                  <pic:spPr>
                    <a:xfrm>
                      <a:off x="0" y="0"/>
                      <a:ext cx="5264150" cy="3614420"/>
                    </a:xfrm>
                    <a:prstGeom prst="rect">
                      <a:avLst/>
                    </a:prstGeom>
                    <a:noFill/>
                    <a:ln>
                      <a:noFill/>
                    </a:ln>
                  </pic:spPr>
                </pic:pic>
              </a:graphicData>
            </a:graphic>
          </wp:inline>
        </w:drawing>
      </w:r>
    </w:p>
    <w:p w14:paraId="4C9D0E8D">
      <w:pPr>
        <w:adjustRightInd w:val="0"/>
        <w:snapToGrid w:val="0"/>
        <w:spacing w:line="360" w:lineRule="auto"/>
        <w:ind w:firstLine="420" w:firstLineChars="200"/>
        <w:rPr>
          <w:snapToGrid w:val="0"/>
          <w:color w:val="auto"/>
          <w:kern w:val="0"/>
        </w:rPr>
      </w:pPr>
      <w:r>
        <w:rPr>
          <w:snapToGrid w:val="0"/>
          <w:color w:val="auto"/>
          <w:kern w:val="0"/>
        </w:rPr>
        <w:t>本项目生物质Q</w:t>
      </w:r>
      <w:r>
        <w:rPr>
          <w:snapToGrid w:val="0"/>
          <w:color w:val="auto"/>
          <w:kern w:val="0"/>
          <w:vertAlign w:val="subscript"/>
        </w:rPr>
        <w:t>net,ar</w:t>
      </w:r>
      <w:r>
        <w:rPr>
          <w:snapToGrid w:val="0"/>
          <w:color w:val="auto"/>
          <w:kern w:val="0"/>
        </w:rPr>
        <w:t>=11.116MJ/kg＜12.54MJ/kg</w:t>
      </w:r>
    </w:p>
    <w:p w14:paraId="1090CDC7">
      <w:pPr>
        <w:adjustRightInd w:val="0"/>
        <w:snapToGrid w:val="0"/>
        <w:spacing w:line="360" w:lineRule="auto"/>
        <w:ind w:firstLine="420" w:firstLineChars="200"/>
        <w:rPr>
          <w:snapToGrid w:val="0"/>
          <w:color w:val="auto"/>
          <w:kern w:val="0"/>
        </w:rPr>
      </w:pPr>
      <w:r>
        <w:rPr>
          <w:snapToGrid w:val="0"/>
          <w:color w:val="auto"/>
          <w:kern w:val="0"/>
        </w:rPr>
        <w:t>其本项目基准烟气量计算如下：</w:t>
      </w:r>
    </w:p>
    <w:p w14:paraId="63D0706A">
      <w:pPr>
        <w:widowControl/>
        <w:adjustRightInd w:val="0"/>
        <w:snapToGrid w:val="0"/>
        <w:spacing w:line="360" w:lineRule="auto"/>
        <w:ind w:firstLine="420" w:firstLineChars="200"/>
        <w:jc w:val="center"/>
        <w:rPr>
          <w:snapToGrid w:val="0"/>
          <w:color w:val="auto"/>
          <w:kern w:val="0"/>
          <w:sz w:val="21"/>
          <w:szCs w:val="21"/>
        </w:rPr>
      </w:pPr>
      <w:r>
        <w:rPr>
          <w:snapToGrid w:val="0"/>
          <w:color w:val="auto"/>
          <w:kern w:val="0"/>
          <w:sz w:val="21"/>
          <w:szCs w:val="21"/>
        </w:rPr>
        <w:t>Vgy=0.3</w:t>
      </w:r>
      <w:r>
        <w:rPr>
          <w:rFonts w:hint="eastAsia"/>
          <w:snapToGrid w:val="0"/>
          <w:color w:val="auto"/>
          <w:kern w:val="0"/>
          <w:sz w:val="21"/>
          <w:szCs w:val="21"/>
          <w:lang w:val="en-US" w:eastAsia="zh-CN"/>
        </w:rPr>
        <w:t>93</w:t>
      </w:r>
      <w:r>
        <w:rPr>
          <w:snapToGrid w:val="0"/>
          <w:color w:val="auto"/>
          <w:kern w:val="0"/>
          <w:sz w:val="21"/>
          <w:szCs w:val="21"/>
        </w:rPr>
        <w:t>Qnet,ar+0.</w:t>
      </w:r>
      <w:r>
        <w:rPr>
          <w:rFonts w:hint="eastAsia"/>
          <w:snapToGrid w:val="0"/>
          <w:color w:val="auto"/>
          <w:kern w:val="0"/>
          <w:sz w:val="21"/>
          <w:szCs w:val="21"/>
          <w:lang w:val="en-US" w:eastAsia="zh-CN"/>
        </w:rPr>
        <w:t>876</w:t>
      </w:r>
      <w:r>
        <w:rPr>
          <w:snapToGrid w:val="0"/>
          <w:color w:val="auto"/>
          <w:kern w:val="0"/>
          <w:sz w:val="21"/>
          <w:szCs w:val="21"/>
        </w:rPr>
        <w:t>=0.3</w:t>
      </w:r>
      <w:r>
        <w:rPr>
          <w:rFonts w:hint="eastAsia"/>
          <w:snapToGrid w:val="0"/>
          <w:color w:val="auto"/>
          <w:kern w:val="0"/>
          <w:sz w:val="21"/>
          <w:szCs w:val="21"/>
          <w:lang w:val="en-US" w:eastAsia="zh-CN"/>
        </w:rPr>
        <w:t>93</w:t>
      </w:r>
      <w:r>
        <w:rPr>
          <w:snapToGrid w:val="0"/>
          <w:color w:val="auto"/>
          <w:kern w:val="0"/>
          <w:sz w:val="21"/>
          <w:szCs w:val="21"/>
        </w:rPr>
        <w:t>×11.116MJ/kg+0.</w:t>
      </w:r>
      <w:r>
        <w:rPr>
          <w:rFonts w:hint="eastAsia"/>
          <w:snapToGrid w:val="0"/>
          <w:color w:val="auto"/>
          <w:kern w:val="0"/>
          <w:sz w:val="21"/>
          <w:szCs w:val="21"/>
          <w:lang w:val="en-US" w:eastAsia="zh-CN"/>
        </w:rPr>
        <w:t>876</w:t>
      </w:r>
      <w:r>
        <w:rPr>
          <w:snapToGrid w:val="0"/>
          <w:color w:val="auto"/>
          <w:kern w:val="0"/>
          <w:sz w:val="21"/>
          <w:szCs w:val="21"/>
        </w:rPr>
        <w:t>=5.</w:t>
      </w:r>
      <w:r>
        <w:rPr>
          <w:rFonts w:hint="eastAsia"/>
          <w:snapToGrid w:val="0"/>
          <w:color w:val="auto"/>
          <w:kern w:val="0"/>
          <w:sz w:val="21"/>
          <w:szCs w:val="21"/>
          <w:lang w:val="en-US" w:eastAsia="zh-CN"/>
        </w:rPr>
        <w:t>2446</w:t>
      </w:r>
      <w:r>
        <w:rPr>
          <w:snapToGrid w:val="0"/>
          <w:color w:val="auto"/>
          <w:kern w:val="0"/>
          <w:sz w:val="21"/>
          <w:szCs w:val="21"/>
        </w:rPr>
        <w:t>Nm</w:t>
      </w:r>
      <w:r>
        <w:rPr>
          <w:snapToGrid w:val="0"/>
          <w:color w:val="auto"/>
          <w:kern w:val="0"/>
          <w:sz w:val="21"/>
          <w:szCs w:val="21"/>
          <w:vertAlign w:val="superscript"/>
        </w:rPr>
        <w:t>3</w:t>
      </w:r>
      <w:r>
        <w:rPr>
          <w:snapToGrid w:val="0"/>
          <w:color w:val="auto"/>
          <w:kern w:val="0"/>
          <w:sz w:val="21"/>
          <w:szCs w:val="21"/>
        </w:rPr>
        <w:t>/kg；</w:t>
      </w:r>
    </w:p>
    <w:p w14:paraId="34C63A02">
      <w:pPr>
        <w:widowControl/>
        <w:adjustRightInd w:val="0"/>
        <w:snapToGrid w:val="0"/>
        <w:spacing w:line="360" w:lineRule="auto"/>
        <w:ind w:firstLine="420" w:firstLineChars="200"/>
        <w:jc w:val="center"/>
        <w:rPr>
          <w:snapToGrid w:val="0"/>
          <w:color w:val="auto"/>
          <w:kern w:val="0"/>
          <w:szCs w:val="21"/>
        </w:rPr>
      </w:pPr>
      <w:r>
        <w:rPr>
          <w:snapToGrid w:val="0"/>
          <w:color w:val="auto"/>
          <w:kern w:val="0"/>
          <w:szCs w:val="21"/>
        </w:rPr>
        <w:object>
          <v:shape id="_x0000_i1033" o:spt="75" type="#_x0000_t75" style="height:18.5pt;width:167.15pt;" o:ole="t" filled="f" o:preferrelative="t" stroked="f" coordsize="21600,21600">
            <v:path/>
            <v:fill on="f" focussize="0,0"/>
            <v:stroke on="f"/>
            <v:imagedata r:id="rId52" o:title=""/>
            <o:lock v:ext="edit" aspectratio="t"/>
            <w10:wrap type="none"/>
            <w10:anchorlock/>
          </v:shape>
          <o:OLEObject Type="Embed" ProgID="Equations" ShapeID="_x0000_i1033" DrawAspect="Content" ObjectID="_1468075733" r:id="rId51">
            <o:LockedField>false</o:LockedField>
          </o:OLEObject>
        </w:object>
      </w:r>
    </w:p>
    <w:p w14:paraId="113D4953">
      <w:pPr>
        <w:adjustRightInd w:val="0"/>
        <w:snapToGrid w:val="0"/>
        <w:spacing w:line="360" w:lineRule="auto"/>
        <w:ind w:firstLine="420" w:firstLineChars="200"/>
        <w:rPr>
          <w:snapToGrid w:val="0"/>
          <w:color w:val="auto"/>
          <w:kern w:val="0"/>
          <w:szCs w:val="21"/>
        </w:rPr>
      </w:pPr>
      <w:r>
        <w:rPr>
          <w:snapToGrid w:val="0"/>
          <w:color w:val="auto"/>
          <w:kern w:val="0"/>
          <w:szCs w:val="21"/>
        </w:rPr>
        <w:t>式中：</w:t>
      </w:r>
      <w:r>
        <w:rPr>
          <w:i/>
          <w:snapToGrid w:val="0"/>
          <w:color w:val="auto"/>
          <w:kern w:val="0"/>
          <w:szCs w:val="21"/>
        </w:rPr>
        <w:t>E</w:t>
      </w:r>
      <w:r>
        <w:rPr>
          <w:snapToGrid w:val="0"/>
          <w:color w:val="auto"/>
          <w:kern w:val="0"/>
          <w:szCs w:val="21"/>
          <w:vertAlign w:val="subscript"/>
        </w:rPr>
        <w:t>年许可</w:t>
      </w:r>
      <w:r>
        <w:rPr>
          <w:snapToGrid w:val="0"/>
          <w:color w:val="auto"/>
          <w:kern w:val="0"/>
          <w:szCs w:val="21"/>
        </w:rPr>
        <w:t>——锅炉排污单位污染物年许可排放量，吨；</w:t>
      </w:r>
    </w:p>
    <w:p w14:paraId="62A94CC5">
      <w:pPr>
        <w:adjustRightInd w:val="0"/>
        <w:snapToGrid w:val="0"/>
        <w:spacing w:line="360" w:lineRule="auto"/>
        <w:ind w:firstLine="420" w:firstLineChars="200"/>
        <w:rPr>
          <w:snapToGrid w:val="0"/>
          <w:color w:val="auto"/>
          <w:kern w:val="0"/>
          <w:szCs w:val="21"/>
        </w:rPr>
      </w:pPr>
      <w:r>
        <w:rPr>
          <w:i/>
          <w:snapToGrid w:val="0"/>
          <w:color w:val="auto"/>
          <w:kern w:val="0"/>
          <w:szCs w:val="21"/>
        </w:rPr>
        <w:t>Ci</w:t>
      </w:r>
      <w:r>
        <w:rPr>
          <w:snapToGrid w:val="0"/>
          <w:color w:val="auto"/>
          <w:kern w:val="0"/>
          <w:szCs w:val="21"/>
        </w:rPr>
        <w:t>——第</w:t>
      </w:r>
      <w:r>
        <w:rPr>
          <w:i/>
          <w:iCs/>
          <w:snapToGrid w:val="0"/>
          <w:color w:val="auto"/>
          <w:kern w:val="0"/>
          <w:szCs w:val="21"/>
        </w:rPr>
        <w:t>i</w:t>
      </w:r>
      <w:r>
        <w:rPr>
          <w:snapToGrid w:val="0"/>
          <w:color w:val="auto"/>
          <w:kern w:val="0"/>
          <w:szCs w:val="21"/>
        </w:rPr>
        <w:t>个主要排放口污染物排放标准浓度限值，mg/m</w:t>
      </w:r>
      <w:r>
        <w:rPr>
          <w:snapToGrid w:val="0"/>
          <w:color w:val="auto"/>
          <w:kern w:val="0"/>
          <w:szCs w:val="21"/>
          <w:vertAlign w:val="superscript"/>
        </w:rPr>
        <w:t>3</w:t>
      </w:r>
      <w:r>
        <w:rPr>
          <w:snapToGrid w:val="0"/>
          <w:color w:val="auto"/>
          <w:kern w:val="0"/>
          <w:szCs w:val="21"/>
        </w:rPr>
        <w:t>，颗粒物</w:t>
      </w:r>
      <w:r>
        <w:rPr>
          <w:rFonts w:hint="eastAsia"/>
          <w:snapToGrid w:val="0"/>
          <w:color w:val="auto"/>
          <w:kern w:val="0"/>
          <w:szCs w:val="21"/>
          <w:lang w:val="en-US" w:eastAsia="zh-CN"/>
        </w:rPr>
        <w:t>5</w:t>
      </w:r>
      <w:r>
        <w:rPr>
          <w:snapToGrid w:val="0"/>
          <w:color w:val="auto"/>
          <w:kern w:val="0"/>
          <w:szCs w:val="21"/>
        </w:rPr>
        <w:t>0，SO</w:t>
      </w:r>
      <w:r>
        <w:rPr>
          <w:snapToGrid w:val="0"/>
          <w:color w:val="auto"/>
          <w:kern w:val="0"/>
          <w:szCs w:val="21"/>
          <w:vertAlign w:val="subscript"/>
        </w:rPr>
        <w:t xml:space="preserve">2 </w:t>
      </w:r>
      <w:r>
        <w:rPr>
          <w:rFonts w:hint="eastAsia"/>
          <w:snapToGrid w:val="0"/>
          <w:color w:val="auto"/>
          <w:kern w:val="0"/>
          <w:szCs w:val="21"/>
          <w:lang w:val="en-US" w:eastAsia="zh-CN"/>
        </w:rPr>
        <w:t>3</w:t>
      </w:r>
      <w:r>
        <w:rPr>
          <w:snapToGrid w:val="0"/>
          <w:color w:val="auto"/>
          <w:kern w:val="0"/>
          <w:szCs w:val="21"/>
        </w:rPr>
        <w:t xml:space="preserve">00，NOx </w:t>
      </w:r>
      <w:r>
        <w:rPr>
          <w:rFonts w:hint="eastAsia"/>
          <w:snapToGrid w:val="0"/>
          <w:color w:val="auto"/>
          <w:kern w:val="0"/>
          <w:szCs w:val="21"/>
          <w:lang w:val="en-US" w:eastAsia="zh-CN"/>
        </w:rPr>
        <w:t>3</w:t>
      </w:r>
      <w:r>
        <w:rPr>
          <w:snapToGrid w:val="0"/>
          <w:color w:val="auto"/>
          <w:kern w:val="0"/>
          <w:szCs w:val="21"/>
        </w:rPr>
        <w:t>00；</w:t>
      </w:r>
    </w:p>
    <w:p w14:paraId="58861387">
      <w:pPr>
        <w:adjustRightInd w:val="0"/>
        <w:snapToGrid w:val="0"/>
        <w:spacing w:line="360" w:lineRule="auto"/>
        <w:ind w:firstLine="420" w:firstLineChars="200"/>
        <w:rPr>
          <w:snapToGrid w:val="0"/>
          <w:color w:val="auto"/>
          <w:kern w:val="0"/>
          <w:szCs w:val="21"/>
        </w:rPr>
      </w:pPr>
      <w:r>
        <w:rPr>
          <w:i/>
          <w:snapToGrid w:val="0"/>
          <w:color w:val="auto"/>
          <w:kern w:val="0"/>
          <w:szCs w:val="21"/>
        </w:rPr>
        <w:t>Vi</w:t>
      </w:r>
      <w:r>
        <w:rPr>
          <w:snapToGrid w:val="0"/>
          <w:color w:val="auto"/>
          <w:kern w:val="0"/>
          <w:szCs w:val="21"/>
        </w:rPr>
        <w:t>——第</w:t>
      </w:r>
      <w:r>
        <w:rPr>
          <w:i/>
          <w:iCs/>
          <w:snapToGrid w:val="0"/>
          <w:color w:val="auto"/>
          <w:kern w:val="0"/>
          <w:szCs w:val="21"/>
        </w:rPr>
        <w:t>i</w:t>
      </w:r>
      <w:r>
        <w:rPr>
          <w:snapToGrid w:val="0"/>
          <w:color w:val="auto"/>
          <w:kern w:val="0"/>
          <w:szCs w:val="21"/>
        </w:rPr>
        <w:t>个主要排放口基准烟气量，Nm</w:t>
      </w:r>
      <w:r>
        <w:rPr>
          <w:snapToGrid w:val="0"/>
          <w:color w:val="auto"/>
          <w:kern w:val="0"/>
          <w:szCs w:val="21"/>
          <w:vertAlign w:val="superscript"/>
        </w:rPr>
        <w:t>3</w:t>
      </w:r>
      <w:r>
        <w:rPr>
          <w:snapToGrid w:val="0"/>
          <w:color w:val="auto"/>
          <w:kern w:val="0"/>
          <w:szCs w:val="21"/>
        </w:rPr>
        <w:t>/kg，取</w:t>
      </w:r>
      <w:r>
        <w:rPr>
          <w:snapToGrid w:val="0"/>
          <w:color w:val="auto"/>
          <w:kern w:val="0"/>
        </w:rPr>
        <w:t>5.</w:t>
      </w:r>
      <w:r>
        <w:rPr>
          <w:rFonts w:hint="eastAsia"/>
          <w:snapToGrid w:val="0"/>
          <w:color w:val="auto"/>
          <w:kern w:val="0"/>
          <w:lang w:val="en-US" w:eastAsia="zh-CN"/>
        </w:rPr>
        <w:t>2446</w:t>
      </w:r>
      <w:r>
        <w:rPr>
          <w:snapToGrid w:val="0"/>
          <w:color w:val="auto"/>
          <w:kern w:val="0"/>
          <w:szCs w:val="21"/>
        </w:rPr>
        <w:t>；</w:t>
      </w:r>
    </w:p>
    <w:p w14:paraId="4A62DA71">
      <w:pPr>
        <w:adjustRightInd w:val="0"/>
        <w:snapToGrid w:val="0"/>
        <w:spacing w:line="360" w:lineRule="auto"/>
        <w:ind w:firstLine="420" w:firstLineChars="200"/>
        <w:textAlignment w:val="center"/>
        <w:rPr>
          <w:snapToGrid w:val="0"/>
          <w:color w:val="auto"/>
          <w:kern w:val="0"/>
          <w:szCs w:val="21"/>
        </w:rPr>
      </w:pPr>
      <w:r>
        <w:rPr>
          <w:i/>
          <w:snapToGrid w:val="0"/>
          <w:color w:val="auto"/>
          <w:kern w:val="0"/>
          <w:szCs w:val="21"/>
        </w:rPr>
        <w:t>Ri</w:t>
      </w:r>
      <w:r>
        <w:rPr>
          <w:snapToGrid w:val="0"/>
          <w:color w:val="auto"/>
          <w:kern w:val="0"/>
          <w:szCs w:val="21"/>
        </w:rPr>
        <w:t>——第</w:t>
      </w:r>
      <w:r>
        <w:rPr>
          <w:i/>
          <w:iCs/>
          <w:snapToGrid w:val="0"/>
          <w:color w:val="auto"/>
          <w:kern w:val="0"/>
          <w:szCs w:val="21"/>
        </w:rPr>
        <w:t>i</w:t>
      </w:r>
      <w:r>
        <w:rPr>
          <w:snapToGrid w:val="0"/>
          <w:color w:val="auto"/>
          <w:kern w:val="0"/>
          <w:szCs w:val="21"/>
        </w:rPr>
        <w:t>个主要排放口所对应的锅炉前三年年平均燃料使用量，本项目取设计值</w:t>
      </w:r>
      <w:r>
        <w:rPr>
          <w:rFonts w:hint="eastAsia"/>
          <w:bCs/>
          <w:snapToGrid w:val="0"/>
          <w:color w:val="auto"/>
          <w:kern w:val="0"/>
          <w:szCs w:val="21"/>
          <w:lang w:val="en-US" w:eastAsia="zh-CN"/>
        </w:rPr>
        <w:t>1530</w:t>
      </w:r>
      <w:r>
        <w:rPr>
          <w:snapToGrid w:val="0"/>
          <w:color w:val="auto"/>
          <w:kern w:val="0"/>
          <w:szCs w:val="21"/>
        </w:rPr>
        <w:t>t；</w:t>
      </w:r>
    </w:p>
    <w:p w14:paraId="03AB203D">
      <w:pPr>
        <w:adjustRightInd w:val="0"/>
        <w:snapToGrid w:val="0"/>
        <w:spacing w:line="360" w:lineRule="auto"/>
        <w:ind w:firstLine="420" w:firstLineChars="200"/>
        <w:rPr>
          <w:snapToGrid w:val="0"/>
          <w:color w:val="auto"/>
          <w:kern w:val="0"/>
          <w:szCs w:val="21"/>
        </w:rPr>
      </w:pPr>
      <w:r>
        <w:rPr>
          <w:i/>
          <w:snapToGrid w:val="0"/>
          <w:color w:val="auto"/>
          <w:kern w:val="0"/>
          <w:szCs w:val="21"/>
        </w:rPr>
        <w:t>δi</w:t>
      </w:r>
      <w:r>
        <w:rPr>
          <w:snapToGrid w:val="0"/>
          <w:color w:val="auto"/>
          <w:kern w:val="0"/>
          <w:szCs w:val="21"/>
        </w:rPr>
        <w:t>——第</w:t>
      </w:r>
      <w:r>
        <w:rPr>
          <w:i/>
          <w:iCs/>
          <w:snapToGrid w:val="0"/>
          <w:color w:val="auto"/>
          <w:kern w:val="0"/>
          <w:szCs w:val="21"/>
        </w:rPr>
        <w:t>i</w:t>
      </w:r>
      <w:r>
        <w:rPr>
          <w:snapToGrid w:val="0"/>
          <w:color w:val="auto"/>
          <w:kern w:val="0"/>
          <w:szCs w:val="21"/>
        </w:rPr>
        <w:t>个主要排放口所对应的大气污染物许可排放量调整系数，按下表取值，颗粒物1，二氧化硫0.8，氮氧化物1；</w:t>
      </w:r>
    </w:p>
    <w:p w14:paraId="64A7609E">
      <w:pPr>
        <w:widowControl/>
        <w:adjustRightInd w:val="0"/>
        <w:snapToGrid w:val="0"/>
        <w:spacing w:line="360" w:lineRule="auto"/>
        <w:ind w:firstLine="420" w:firstLineChars="200"/>
        <w:rPr>
          <w:snapToGrid w:val="0"/>
          <w:color w:val="auto"/>
          <w:kern w:val="0"/>
          <w:szCs w:val="21"/>
        </w:rPr>
      </w:pPr>
      <w:r>
        <w:rPr>
          <w:snapToGrid w:val="0"/>
          <w:color w:val="auto"/>
          <w:kern w:val="0"/>
          <w:szCs w:val="21"/>
        </w:rPr>
        <w:drawing>
          <wp:inline distT="0" distB="0" distL="114300" distR="114300">
            <wp:extent cx="4900930" cy="1952625"/>
            <wp:effectExtent l="0" t="0" r="13970" b="952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53"/>
                    <a:stretch>
                      <a:fillRect/>
                    </a:stretch>
                  </pic:blipFill>
                  <pic:spPr>
                    <a:xfrm>
                      <a:off x="0" y="0"/>
                      <a:ext cx="4900930" cy="1952625"/>
                    </a:xfrm>
                    <a:prstGeom prst="rect">
                      <a:avLst/>
                    </a:prstGeom>
                    <a:noFill/>
                    <a:ln>
                      <a:noFill/>
                    </a:ln>
                  </pic:spPr>
                </pic:pic>
              </a:graphicData>
            </a:graphic>
          </wp:inline>
        </w:drawing>
      </w:r>
    </w:p>
    <w:p w14:paraId="477DD238">
      <w:pPr>
        <w:widowControl/>
        <w:adjustRightInd w:val="0"/>
        <w:snapToGrid w:val="0"/>
        <w:spacing w:line="360" w:lineRule="auto"/>
        <w:ind w:firstLine="420" w:firstLineChars="200"/>
        <w:rPr>
          <w:snapToGrid w:val="0"/>
          <w:color w:val="auto"/>
          <w:kern w:val="0"/>
          <w:szCs w:val="21"/>
        </w:rPr>
      </w:pPr>
      <w:r>
        <w:rPr>
          <w:snapToGrid w:val="0"/>
          <w:color w:val="auto"/>
          <w:kern w:val="0"/>
          <w:szCs w:val="21"/>
        </w:rPr>
        <w:t>本项目执行《锅炉大气污染物排放标准》（GB13271-2014）表2新建锅炉大气污染物浓度限值要求（SO</w:t>
      </w:r>
      <w:r>
        <w:rPr>
          <w:snapToGrid w:val="0"/>
          <w:color w:val="auto"/>
          <w:kern w:val="0"/>
          <w:szCs w:val="21"/>
          <w:vertAlign w:val="subscript"/>
        </w:rPr>
        <w:t>2</w:t>
      </w:r>
      <w:r>
        <w:rPr>
          <w:snapToGrid w:val="0"/>
          <w:color w:val="auto"/>
          <w:kern w:val="0"/>
          <w:szCs w:val="21"/>
        </w:rPr>
        <w:t>取值300mg/m</w:t>
      </w:r>
      <w:r>
        <w:rPr>
          <w:snapToGrid w:val="0"/>
          <w:color w:val="auto"/>
          <w:kern w:val="0"/>
          <w:szCs w:val="21"/>
          <w:vertAlign w:val="superscript"/>
        </w:rPr>
        <w:t>3</w:t>
      </w:r>
      <w:r>
        <w:rPr>
          <w:snapToGrid w:val="0"/>
          <w:color w:val="auto"/>
          <w:kern w:val="0"/>
          <w:szCs w:val="21"/>
        </w:rPr>
        <w:t>，NO</w:t>
      </w:r>
      <w:r>
        <w:rPr>
          <w:snapToGrid w:val="0"/>
          <w:color w:val="auto"/>
          <w:kern w:val="0"/>
          <w:szCs w:val="21"/>
          <w:vertAlign w:val="subscript"/>
        </w:rPr>
        <w:t>2</w:t>
      </w:r>
      <w:r>
        <w:rPr>
          <w:snapToGrid w:val="0"/>
          <w:color w:val="auto"/>
          <w:kern w:val="0"/>
          <w:szCs w:val="21"/>
        </w:rPr>
        <w:t>取值300mg/m</w:t>
      </w:r>
      <w:r>
        <w:rPr>
          <w:snapToGrid w:val="0"/>
          <w:color w:val="auto"/>
          <w:kern w:val="0"/>
          <w:szCs w:val="21"/>
          <w:vertAlign w:val="superscript"/>
        </w:rPr>
        <w:t>3</w:t>
      </w:r>
      <w:r>
        <w:rPr>
          <w:snapToGrid w:val="0"/>
          <w:color w:val="auto"/>
          <w:kern w:val="0"/>
          <w:szCs w:val="21"/>
        </w:rPr>
        <w:t>，颗粒物取值50mg/m</w:t>
      </w:r>
      <w:r>
        <w:rPr>
          <w:snapToGrid w:val="0"/>
          <w:color w:val="auto"/>
          <w:kern w:val="0"/>
          <w:szCs w:val="21"/>
          <w:vertAlign w:val="superscript"/>
        </w:rPr>
        <w:t>3</w:t>
      </w:r>
      <w:r>
        <w:rPr>
          <w:snapToGrid w:val="0"/>
          <w:color w:val="auto"/>
          <w:kern w:val="0"/>
          <w:szCs w:val="21"/>
        </w:rPr>
        <w:t>）。</w:t>
      </w:r>
    </w:p>
    <w:p w14:paraId="2C97D565">
      <w:pPr>
        <w:widowControl/>
        <w:adjustRightInd w:val="0"/>
        <w:snapToGrid w:val="0"/>
        <w:spacing w:line="360" w:lineRule="auto"/>
        <w:ind w:firstLine="420" w:firstLineChars="200"/>
        <w:rPr>
          <w:snapToGrid w:val="0"/>
          <w:color w:val="auto"/>
          <w:kern w:val="0"/>
          <w:szCs w:val="21"/>
        </w:rPr>
      </w:pPr>
      <w:r>
        <w:rPr>
          <w:snapToGrid w:val="0"/>
          <w:color w:val="auto"/>
          <w:kern w:val="0"/>
          <w:szCs w:val="21"/>
        </w:rPr>
        <w:t>本项目锅炉年燃生物质用量为</w:t>
      </w:r>
      <w:r>
        <w:rPr>
          <w:rFonts w:hint="eastAsia"/>
          <w:bCs/>
          <w:snapToGrid w:val="0"/>
          <w:color w:val="auto"/>
          <w:kern w:val="0"/>
          <w:szCs w:val="21"/>
          <w:lang w:val="en-US" w:eastAsia="zh-CN"/>
        </w:rPr>
        <w:t>1785</w:t>
      </w:r>
      <w:r>
        <w:rPr>
          <w:bCs/>
          <w:snapToGrid w:val="0"/>
          <w:color w:val="auto"/>
          <w:kern w:val="0"/>
          <w:szCs w:val="21"/>
        </w:rPr>
        <w:t>t</w:t>
      </w:r>
      <w:r>
        <w:rPr>
          <w:snapToGrid w:val="0"/>
          <w:color w:val="auto"/>
          <w:kern w:val="0"/>
          <w:szCs w:val="21"/>
        </w:rPr>
        <w:t xml:space="preserve">，经计算： </w:t>
      </w:r>
    </w:p>
    <w:p w14:paraId="52A21519">
      <w:pPr>
        <w:widowControl/>
        <w:adjustRightInd w:val="0"/>
        <w:snapToGrid w:val="0"/>
        <w:spacing w:line="360" w:lineRule="auto"/>
        <w:ind w:firstLine="420" w:firstLineChars="200"/>
        <w:rPr>
          <w:snapToGrid w:val="0"/>
          <w:color w:val="auto"/>
          <w:kern w:val="0"/>
          <w:szCs w:val="21"/>
        </w:rPr>
      </w:pPr>
      <w:r>
        <w:rPr>
          <w:snapToGrid w:val="0"/>
          <w:color w:val="auto"/>
          <w:kern w:val="0"/>
          <w:szCs w:val="21"/>
        </w:rPr>
        <w:t>E（SO</w:t>
      </w:r>
      <w:r>
        <w:rPr>
          <w:snapToGrid w:val="0"/>
          <w:color w:val="auto"/>
          <w:kern w:val="0"/>
          <w:szCs w:val="21"/>
          <w:vertAlign w:val="subscript"/>
        </w:rPr>
        <w:t>2</w:t>
      </w:r>
      <w:r>
        <w:rPr>
          <w:snapToGrid w:val="0"/>
          <w:color w:val="auto"/>
          <w:kern w:val="0"/>
          <w:szCs w:val="21"/>
        </w:rPr>
        <w:t>）=300×</w:t>
      </w:r>
      <w:r>
        <w:rPr>
          <w:snapToGrid w:val="0"/>
          <w:color w:val="auto"/>
          <w:kern w:val="0"/>
        </w:rPr>
        <w:t>5.</w:t>
      </w:r>
      <w:r>
        <w:rPr>
          <w:rFonts w:hint="eastAsia"/>
          <w:snapToGrid w:val="0"/>
          <w:color w:val="auto"/>
          <w:kern w:val="0"/>
          <w:lang w:val="en-US" w:eastAsia="zh-CN"/>
        </w:rPr>
        <w:t>2446</w:t>
      </w:r>
      <w:r>
        <w:rPr>
          <w:snapToGrid w:val="0"/>
          <w:color w:val="auto"/>
          <w:kern w:val="0"/>
          <w:szCs w:val="21"/>
        </w:rPr>
        <w:t>×</w:t>
      </w:r>
      <w:r>
        <w:rPr>
          <w:rFonts w:hint="eastAsia"/>
          <w:snapToGrid w:val="0"/>
          <w:color w:val="auto"/>
          <w:kern w:val="0"/>
          <w:szCs w:val="21"/>
          <w:lang w:val="en-US" w:eastAsia="zh-CN"/>
        </w:rPr>
        <w:t>1530</w:t>
      </w:r>
      <w:r>
        <w:rPr>
          <w:snapToGrid w:val="0"/>
          <w:color w:val="auto"/>
          <w:kern w:val="0"/>
          <w:szCs w:val="21"/>
        </w:rPr>
        <w:t>×0.8×10</w:t>
      </w:r>
      <w:r>
        <w:rPr>
          <w:snapToGrid w:val="0"/>
          <w:color w:val="auto"/>
          <w:kern w:val="0"/>
          <w:szCs w:val="21"/>
          <w:vertAlign w:val="superscript"/>
        </w:rPr>
        <w:t>-6</w:t>
      </w:r>
      <w:r>
        <w:rPr>
          <w:snapToGrid w:val="0"/>
          <w:color w:val="auto"/>
          <w:kern w:val="0"/>
          <w:szCs w:val="21"/>
        </w:rPr>
        <w:t>≈</w:t>
      </w:r>
      <w:r>
        <w:rPr>
          <w:rFonts w:hint="eastAsia"/>
          <w:snapToGrid w:val="0"/>
          <w:color w:val="auto"/>
          <w:kern w:val="0"/>
          <w:szCs w:val="21"/>
          <w:lang w:val="en-US" w:eastAsia="zh-CN"/>
        </w:rPr>
        <w:t>1.93</w:t>
      </w:r>
      <w:r>
        <w:rPr>
          <w:snapToGrid w:val="0"/>
          <w:color w:val="auto"/>
          <w:kern w:val="0"/>
          <w:szCs w:val="21"/>
        </w:rPr>
        <w:t>t；</w:t>
      </w:r>
    </w:p>
    <w:p w14:paraId="41225DBF">
      <w:pPr>
        <w:widowControl/>
        <w:adjustRightInd w:val="0"/>
        <w:snapToGrid w:val="0"/>
        <w:spacing w:line="360" w:lineRule="auto"/>
        <w:ind w:firstLine="420" w:firstLineChars="200"/>
        <w:rPr>
          <w:snapToGrid w:val="0"/>
          <w:color w:val="auto"/>
          <w:kern w:val="0"/>
          <w:szCs w:val="21"/>
        </w:rPr>
      </w:pPr>
      <w:r>
        <w:rPr>
          <w:snapToGrid w:val="0"/>
          <w:color w:val="auto"/>
          <w:kern w:val="0"/>
          <w:szCs w:val="21"/>
        </w:rPr>
        <w:t>E（NO</w:t>
      </w:r>
      <w:r>
        <w:rPr>
          <w:snapToGrid w:val="0"/>
          <w:color w:val="auto"/>
          <w:kern w:val="0"/>
          <w:szCs w:val="21"/>
          <w:vertAlign w:val="subscript"/>
        </w:rPr>
        <w:t>x</w:t>
      </w:r>
      <w:r>
        <w:rPr>
          <w:snapToGrid w:val="0"/>
          <w:color w:val="auto"/>
          <w:kern w:val="0"/>
          <w:szCs w:val="21"/>
        </w:rPr>
        <w:t>）=300×</w:t>
      </w:r>
      <w:r>
        <w:rPr>
          <w:snapToGrid w:val="0"/>
          <w:color w:val="auto"/>
          <w:kern w:val="0"/>
        </w:rPr>
        <w:t>5.</w:t>
      </w:r>
      <w:r>
        <w:rPr>
          <w:rFonts w:hint="eastAsia"/>
          <w:snapToGrid w:val="0"/>
          <w:color w:val="auto"/>
          <w:kern w:val="0"/>
          <w:lang w:val="en-US" w:eastAsia="zh-CN"/>
        </w:rPr>
        <w:t>2446</w:t>
      </w:r>
      <w:r>
        <w:rPr>
          <w:snapToGrid w:val="0"/>
          <w:color w:val="auto"/>
          <w:kern w:val="0"/>
          <w:szCs w:val="21"/>
        </w:rPr>
        <w:t>×</w:t>
      </w:r>
      <w:r>
        <w:rPr>
          <w:rFonts w:hint="eastAsia"/>
          <w:snapToGrid w:val="0"/>
          <w:color w:val="auto"/>
          <w:kern w:val="0"/>
          <w:szCs w:val="21"/>
          <w:lang w:val="en-US" w:eastAsia="zh-CN"/>
        </w:rPr>
        <w:t>1530</w:t>
      </w:r>
      <w:r>
        <w:rPr>
          <w:snapToGrid w:val="0"/>
          <w:color w:val="auto"/>
          <w:kern w:val="0"/>
          <w:szCs w:val="21"/>
        </w:rPr>
        <w:t>×1×10</w:t>
      </w:r>
      <w:r>
        <w:rPr>
          <w:snapToGrid w:val="0"/>
          <w:color w:val="auto"/>
          <w:kern w:val="0"/>
          <w:szCs w:val="21"/>
          <w:vertAlign w:val="superscript"/>
        </w:rPr>
        <w:t>-6</w:t>
      </w:r>
      <w:r>
        <w:rPr>
          <w:snapToGrid w:val="0"/>
          <w:color w:val="auto"/>
          <w:kern w:val="0"/>
          <w:szCs w:val="21"/>
        </w:rPr>
        <w:t>≈</w:t>
      </w:r>
      <w:r>
        <w:rPr>
          <w:rFonts w:hint="eastAsia"/>
          <w:snapToGrid w:val="0"/>
          <w:color w:val="auto"/>
          <w:kern w:val="0"/>
          <w:szCs w:val="21"/>
          <w:lang w:val="en-US" w:eastAsia="zh-CN"/>
        </w:rPr>
        <w:t>2.41</w:t>
      </w:r>
      <w:r>
        <w:rPr>
          <w:snapToGrid w:val="0"/>
          <w:color w:val="auto"/>
          <w:kern w:val="0"/>
          <w:szCs w:val="21"/>
        </w:rPr>
        <w:t>t；</w:t>
      </w:r>
    </w:p>
    <w:p w14:paraId="72C6E743">
      <w:pPr>
        <w:widowControl/>
        <w:adjustRightInd w:val="0"/>
        <w:snapToGrid w:val="0"/>
        <w:spacing w:line="360" w:lineRule="auto"/>
        <w:ind w:firstLine="420" w:firstLineChars="200"/>
        <w:rPr>
          <w:snapToGrid w:val="0"/>
          <w:color w:val="auto"/>
          <w:kern w:val="0"/>
          <w:szCs w:val="21"/>
        </w:rPr>
      </w:pPr>
      <w:r>
        <w:rPr>
          <w:snapToGrid w:val="0"/>
          <w:color w:val="auto"/>
          <w:kern w:val="0"/>
          <w:szCs w:val="21"/>
        </w:rPr>
        <w:t>E（颗粒物）=50×</w:t>
      </w:r>
      <w:r>
        <w:rPr>
          <w:snapToGrid w:val="0"/>
          <w:color w:val="auto"/>
          <w:kern w:val="0"/>
        </w:rPr>
        <w:t>5.</w:t>
      </w:r>
      <w:r>
        <w:rPr>
          <w:rFonts w:hint="eastAsia"/>
          <w:snapToGrid w:val="0"/>
          <w:color w:val="auto"/>
          <w:kern w:val="0"/>
          <w:lang w:val="en-US" w:eastAsia="zh-CN"/>
        </w:rPr>
        <w:t>2446</w:t>
      </w:r>
      <w:r>
        <w:rPr>
          <w:snapToGrid w:val="0"/>
          <w:color w:val="auto"/>
          <w:kern w:val="0"/>
          <w:szCs w:val="21"/>
        </w:rPr>
        <w:t>×</w:t>
      </w:r>
      <w:r>
        <w:rPr>
          <w:rFonts w:hint="eastAsia"/>
          <w:snapToGrid w:val="0"/>
          <w:color w:val="auto"/>
          <w:kern w:val="0"/>
          <w:szCs w:val="21"/>
          <w:lang w:val="en-US" w:eastAsia="zh-CN"/>
        </w:rPr>
        <w:t>1530</w:t>
      </w:r>
      <w:r>
        <w:rPr>
          <w:snapToGrid w:val="0"/>
          <w:color w:val="auto"/>
          <w:kern w:val="0"/>
          <w:szCs w:val="21"/>
        </w:rPr>
        <w:t>×1×10</w:t>
      </w:r>
      <w:r>
        <w:rPr>
          <w:snapToGrid w:val="0"/>
          <w:color w:val="auto"/>
          <w:kern w:val="0"/>
          <w:szCs w:val="21"/>
          <w:vertAlign w:val="superscript"/>
        </w:rPr>
        <w:t>-6</w:t>
      </w:r>
      <w:r>
        <w:rPr>
          <w:snapToGrid w:val="0"/>
          <w:color w:val="auto"/>
          <w:kern w:val="0"/>
          <w:szCs w:val="21"/>
        </w:rPr>
        <w:t>≈0.</w:t>
      </w:r>
      <w:r>
        <w:rPr>
          <w:rFonts w:hint="eastAsia"/>
          <w:snapToGrid w:val="0"/>
          <w:color w:val="auto"/>
          <w:kern w:val="0"/>
          <w:szCs w:val="21"/>
          <w:lang w:val="en-US" w:eastAsia="zh-CN"/>
        </w:rPr>
        <w:t>40</w:t>
      </w:r>
      <w:r>
        <w:rPr>
          <w:snapToGrid w:val="0"/>
          <w:color w:val="auto"/>
          <w:kern w:val="0"/>
          <w:szCs w:val="21"/>
        </w:rPr>
        <w:t>t。</w:t>
      </w:r>
    </w:p>
    <w:p w14:paraId="5559F92C">
      <w:pPr>
        <w:adjustRightInd w:val="0"/>
        <w:snapToGrid w:val="0"/>
        <w:spacing w:line="360" w:lineRule="auto"/>
        <w:ind w:firstLine="420" w:firstLineChars="200"/>
        <w:rPr>
          <w:rFonts w:hint="eastAsia" w:eastAsia="宋体"/>
          <w:snapToGrid w:val="0"/>
          <w:color w:val="auto"/>
          <w:kern w:val="0"/>
          <w:szCs w:val="21"/>
          <w:lang w:eastAsia="zh-CN"/>
        </w:rPr>
      </w:pPr>
      <w:r>
        <w:rPr>
          <w:snapToGrid w:val="0"/>
          <w:color w:val="auto"/>
          <w:kern w:val="0"/>
          <w:szCs w:val="21"/>
        </w:rPr>
        <w:t>根据上述统计，本项目运营期SO</w:t>
      </w:r>
      <w:r>
        <w:rPr>
          <w:snapToGrid w:val="0"/>
          <w:color w:val="auto"/>
          <w:kern w:val="0"/>
          <w:szCs w:val="21"/>
          <w:vertAlign w:val="subscript"/>
        </w:rPr>
        <w:t>2</w:t>
      </w:r>
      <w:r>
        <w:rPr>
          <w:snapToGrid w:val="0"/>
          <w:color w:val="auto"/>
          <w:kern w:val="0"/>
          <w:szCs w:val="21"/>
        </w:rPr>
        <w:t>许可排放量</w:t>
      </w:r>
      <w:r>
        <w:rPr>
          <w:rFonts w:hint="eastAsia"/>
          <w:snapToGrid w:val="0"/>
          <w:color w:val="auto"/>
          <w:kern w:val="0"/>
          <w:szCs w:val="21"/>
          <w:lang w:val="en-US" w:eastAsia="zh-CN"/>
        </w:rPr>
        <w:t>1.93</w:t>
      </w:r>
      <w:r>
        <w:rPr>
          <w:snapToGrid w:val="0"/>
          <w:color w:val="auto"/>
          <w:kern w:val="0"/>
          <w:szCs w:val="21"/>
        </w:rPr>
        <w:t>t，NO</w:t>
      </w:r>
      <w:r>
        <w:rPr>
          <w:snapToGrid w:val="0"/>
          <w:color w:val="auto"/>
          <w:kern w:val="0"/>
          <w:szCs w:val="21"/>
          <w:vertAlign w:val="subscript"/>
        </w:rPr>
        <w:t>X</w:t>
      </w:r>
      <w:r>
        <w:rPr>
          <w:snapToGrid w:val="0"/>
          <w:color w:val="auto"/>
          <w:kern w:val="0"/>
          <w:szCs w:val="21"/>
        </w:rPr>
        <w:t>许可排放量</w:t>
      </w:r>
      <w:r>
        <w:rPr>
          <w:rFonts w:hint="eastAsia"/>
          <w:snapToGrid w:val="0"/>
          <w:color w:val="auto"/>
          <w:kern w:val="0"/>
          <w:szCs w:val="21"/>
          <w:lang w:val="en-US" w:eastAsia="zh-CN"/>
        </w:rPr>
        <w:t>2.41</w:t>
      </w:r>
      <w:r>
        <w:rPr>
          <w:snapToGrid w:val="0"/>
          <w:color w:val="auto"/>
          <w:kern w:val="0"/>
          <w:szCs w:val="21"/>
        </w:rPr>
        <w:t>t</w:t>
      </w:r>
      <w:r>
        <w:rPr>
          <w:rFonts w:hint="eastAsia"/>
          <w:snapToGrid w:val="0"/>
          <w:color w:val="auto"/>
          <w:kern w:val="0"/>
          <w:szCs w:val="21"/>
          <w:lang w:eastAsia="zh-CN"/>
        </w:rPr>
        <w:t>，</w:t>
      </w:r>
      <w:r>
        <w:rPr>
          <w:snapToGrid w:val="0"/>
          <w:color w:val="auto"/>
          <w:kern w:val="0"/>
          <w:szCs w:val="21"/>
        </w:rPr>
        <w:t>颗粒物许可排放量</w:t>
      </w:r>
      <w:r>
        <w:rPr>
          <w:rFonts w:hint="eastAsia"/>
          <w:snapToGrid w:val="0"/>
          <w:color w:val="auto"/>
          <w:kern w:val="0"/>
          <w:szCs w:val="21"/>
          <w:lang w:val="en-US" w:eastAsia="zh-CN"/>
        </w:rPr>
        <w:t>0.40</w:t>
      </w:r>
      <w:r>
        <w:rPr>
          <w:snapToGrid w:val="0"/>
          <w:color w:val="auto"/>
          <w:kern w:val="0"/>
          <w:szCs w:val="21"/>
        </w:rPr>
        <w:t>t</w:t>
      </w:r>
      <w:r>
        <w:rPr>
          <w:rFonts w:hint="eastAsia"/>
          <w:snapToGrid w:val="0"/>
          <w:color w:val="auto"/>
          <w:kern w:val="0"/>
          <w:szCs w:val="21"/>
          <w:lang w:eastAsia="zh-CN"/>
        </w:rPr>
        <w:t>。</w:t>
      </w:r>
    </w:p>
    <w:p w14:paraId="421E6A5C">
      <w:pPr>
        <w:spacing w:line="360" w:lineRule="auto"/>
        <w:ind w:firstLine="420" w:firstLineChars="200"/>
        <w:jc w:val="left"/>
        <w:rPr>
          <w:szCs w:val="21"/>
        </w:rPr>
      </w:pPr>
    </w:p>
    <w:p w14:paraId="6F0A5F47">
      <w:pPr>
        <w:spacing w:line="360" w:lineRule="auto"/>
        <w:ind w:firstLine="420" w:firstLineChars="200"/>
        <w:jc w:val="left"/>
        <w:rPr>
          <w:rFonts w:hint="eastAsia" w:ascii="Times New Roman" w:hAnsi="Times New Roman" w:eastAsia="宋体" w:cs="Times New Roman"/>
          <w:szCs w:val="21"/>
          <w:lang w:eastAsia="zh-CN"/>
        </w:rPr>
      </w:pPr>
      <w:r>
        <w:rPr>
          <w:szCs w:val="21"/>
        </w:rPr>
        <w:t>本项目</w:t>
      </w:r>
      <w:r>
        <w:rPr>
          <w:rFonts w:hint="eastAsia"/>
          <w:szCs w:val="21"/>
          <w:lang w:val="en-US" w:eastAsia="zh-CN"/>
        </w:rPr>
        <w:t>年使用大豆胶16t/a，根据大豆胶检测报告，总挥发性有机物含量为18g/L，按全部挥发计，环保型大豆蛋白胶密度为1.1kg/L，则本项目产生的挥发性有机物（非甲烷总烃）产生量为0.262t/a。即</w:t>
      </w:r>
      <w:r>
        <w:rPr>
          <w:szCs w:val="21"/>
        </w:rPr>
        <w:t>非甲烷总烃核定排放量E</w:t>
      </w:r>
      <w:r>
        <w:rPr>
          <w:rFonts w:hint="eastAsia"/>
          <w:szCs w:val="21"/>
          <w:vertAlign w:val="baseline"/>
          <w:lang w:eastAsia="zh-CN"/>
        </w:rPr>
        <w:t>（</w:t>
      </w:r>
      <w:r>
        <w:rPr>
          <w:rFonts w:hint="eastAsia"/>
          <w:szCs w:val="21"/>
          <w:vertAlign w:val="baseline"/>
          <w:lang w:val="en-US" w:eastAsia="zh-CN"/>
        </w:rPr>
        <w:t>非甲烷总烃</w:t>
      </w:r>
      <w:r>
        <w:rPr>
          <w:rFonts w:hint="eastAsia"/>
          <w:szCs w:val="21"/>
          <w:vertAlign w:val="baseline"/>
          <w:lang w:eastAsia="zh-CN"/>
        </w:rPr>
        <w:t>）</w:t>
      </w:r>
      <w:r>
        <w:rPr>
          <w:szCs w:val="21"/>
        </w:rPr>
        <w:t>=</w:t>
      </w:r>
      <w:r>
        <w:rPr>
          <w:rFonts w:hint="eastAsia"/>
          <w:szCs w:val="21"/>
          <w:lang w:val="en-US" w:eastAsia="zh-CN"/>
        </w:rPr>
        <w:t>0.262t</w:t>
      </w:r>
      <w:r>
        <w:rPr>
          <w:szCs w:val="21"/>
        </w:rPr>
        <w:t>/a</w:t>
      </w:r>
      <w:r>
        <w:rPr>
          <w:rFonts w:hint="eastAsia"/>
          <w:szCs w:val="21"/>
          <w:lang w:eastAsia="zh-CN"/>
        </w:rPr>
        <w:t>。</w:t>
      </w:r>
    </w:p>
    <w:p w14:paraId="7D7A7C71">
      <w:pPr>
        <w:widowControl/>
        <w:adjustRightInd w:val="0"/>
        <w:snapToGrid w:val="0"/>
        <w:spacing w:line="360" w:lineRule="auto"/>
        <w:ind w:firstLine="420" w:firstLineChars="200"/>
        <w:rPr>
          <w:rFonts w:hint="default" w:ascii="Times New Roman" w:hAnsi="Times New Roman" w:eastAsia="宋体" w:cs="Times New Roman"/>
          <w:snapToGrid w:val="0"/>
          <w:color w:val="auto"/>
          <w:kern w:val="0"/>
          <w:szCs w:val="21"/>
          <w:lang w:val="en-US" w:eastAsia="zh-CN"/>
        </w:rPr>
      </w:pPr>
    </w:p>
    <w:p w14:paraId="17275FF3">
      <w:pPr>
        <w:adjustRightInd w:val="0"/>
        <w:snapToGrid w:val="0"/>
        <w:spacing w:line="360" w:lineRule="auto"/>
        <w:ind w:firstLine="420" w:firstLineChars="200"/>
        <w:rPr>
          <w:rFonts w:hint="eastAsia" w:eastAsia="宋体"/>
          <w:color w:val="auto"/>
          <w:kern w:val="0"/>
          <w:szCs w:val="21"/>
          <w:lang w:eastAsia="zh-CN" w:bidi="ar"/>
        </w:rPr>
      </w:pPr>
    </w:p>
    <w:p w14:paraId="77B28CA4">
      <w:pPr>
        <w:adjustRightInd w:val="0"/>
        <w:snapToGrid w:val="0"/>
        <w:spacing w:line="360" w:lineRule="auto"/>
        <w:ind w:firstLine="420" w:firstLineChars="200"/>
        <w:rPr>
          <w:snapToGrid w:val="0"/>
          <w:color w:val="auto"/>
          <w:kern w:val="0"/>
          <w:szCs w:val="21"/>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bookmarkEnd w:id="58"/>
    <w:p w14:paraId="49B0EBB6">
      <w:pPr>
        <w:spacing w:after="120" w:afterLines="50"/>
        <w:jc w:val="both"/>
        <w:outlineLvl w:val="0"/>
        <w:rPr>
          <w:rFonts w:hint="default" w:ascii="Times New Roman" w:hAnsi="Times New Roman" w:eastAsia="宋体" w:cs="Times New Roman"/>
          <w:b/>
          <w:color w:val="auto"/>
          <w:sz w:val="24"/>
          <w:szCs w:val="20"/>
          <w:highlight w:val="none"/>
          <w:lang w:val="en-US" w:eastAsia="zh-CN"/>
        </w:rPr>
      </w:pPr>
      <w:bookmarkStart w:id="59" w:name="_Toc17249"/>
      <w:bookmarkStart w:id="60" w:name="_Toc5873"/>
      <w:r>
        <w:rPr>
          <w:rFonts w:hint="eastAsia" w:ascii="Times New Roman" w:hAnsi="Times New Roman" w:eastAsia="宋体" w:cs="Times New Roman"/>
          <w:b/>
          <w:color w:val="auto"/>
          <w:sz w:val="24"/>
          <w:szCs w:val="20"/>
          <w:highlight w:val="none"/>
          <w:lang w:val="en-US" w:eastAsia="zh-CN"/>
        </w:rPr>
        <w:t>附件</w:t>
      </w:r>
      <w:bookmarkEnd w:id="59"/>
      <w:r>
        <w:rPr>
          <w:rFonts w:hint="eastAsia" w:eastAsia="宋体" w:cs="Times New Roman"/>
          <w:b/>
          <w:color w:val="auto"/>
          <w:sz w:val="24"/>
          <w:szCs w:val="20"/>
          <w:highlight w:val="none"/>
          <w:lang w:val="en-US" w:eastAsia="zh-CN"/>
        </w:rPr>
        <w:t xml:space="preserve">3 </w:t>
      </w:r>
      <w:r>
        <w:rPr>
          <w:rFonts w:hint="eastAsia" w:ascii="Times New Roman" w:hAnsi="Times New Roman" w:eastAsia="宋体" w:cs="Times New Roman"/>
          <w:b/>
          <w:color w:val="auto"/>
          <w:sz w:val="24"/>
          <w:szCs w:val="20"/>
          <w:highlight w:val="none"/>
          <w:lang w:val="en-US" w:eastAsia="zh-CN"/>
        </w:rPr>
        <w:t>引用监测报告</w:t>
      </w:r>
      <w:bookmarkEnd w:id="60"/>
    </w:p>
    <w:p w14:paraId="7924E3BB">
      <w:pPr>
        <w:adjustRightInd w:val="0"/>
        <w:snapToGrid w:val="0"/>
        <w:spacing w:line="360" w:lineRule="auto"/>
        <w:jc w:val="center"/>
        <w:rPr>
          <w:color w:val="auto"/>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5614035" cy="7935595"/>
            <wp:effectExtent l="0" t="0" r="5715" b="8255"/>
            <wp:docPr id="108" name="图片 108" descr="黑龙江森柏岚图家具制造有限公司扩建锅炉房项目-2511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黑龙江森柏岚图家具制造有限公司扩建锅炉房项目-251111_01"/>
                    <pic:cNvPicPr>
                      <a:picLocks noChangeAspect="1"/>
                    </pic:cNvPicPr>
                  </pic:nvPicPr>
                  <pic:blipFill>
                    <a:blip r:embed="rId54"/>
                    <a:stretch>
                      <a:fillRect/>
                    </a:stretch>
                  </pic:blipFill>
                  <pic:spPr>
                    <a:xfrm>
                      <a:off x="0" y="0"/>
                      <a:ext cx="5614035" cy="7935595"/>
                    </a:xfrm>
                    <a:prstGeom prst="rect">
                      <a:avLst/>
                    </a:prstGeom>
                  </pic:spPr>
                </pic:pic>
              </a:graphicData>
            </a:graphic>
          </wp:inline>
        </w:drawing>
      </w:r>
    </w:p>
    <w:p w14:paraId="6F19A010">
      <w:pPr>
        <w:adjustRightInd w:val="0"/>
        <w:snapToGrid w:val="0"/>
        <w:spacing w:line="360" w:lineRule="auto"/>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drawing>
          <wp:inline distT="0" distB="0" distL="114300" distR="114300">
            <wp:extent cx="5614035" cy="7935595"/>
            <wp:effectExtent l="0" t="0" r="5715" b="8255"/>
            <wp:docPr id="110" name="图片 110" descr="黑龙江森柏岚图家具制造有限公司扩建锅炉房项目-2511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黑龙江森柏岚图家具制造有限公司扩建锅炉房项目-251111_03"/>
                    <pic:cNvPicPr>
                      <a:picLocks noChangeAspect="1"/>
                    </pic:cNvPicPr>
                  </pic:nvPicPr>
                  <pic:blipFill>
                    <a:blip r:embed="rId55"/>
                    <a:stretch>
                      <a:fillRect/>
                    </a:stretch>
                  </pic:blipFill>
                  <pic:spPr>
                    <a:xfrm>
                      <a:off x="0" y="0"/>
                      <a:ext cx="5614035" cy="7935595"/>
                    </a:xfrm>
                    <a:prstGeom prst="rect">
                      <a:avLst/>
                    </a:prstGeom>
                  </pic:spPr>
                </pic:pic>
              </a:graphicData>
            </a:graphic>
          </wp:inline>
        </w:drawing>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5614035" cy="7935595"/>
            <wp:effectExtent l="0" t="0" r="5715" b="8255"/>
            <wp:docPr id="9" name="图片 9" descr="黑龙江森柏岚图家具制造有限公司扩建锅炉房项目-25111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黑龙江森柏岚图家具制造有限公司扩建锅炉房项目-251111_04"/>
                    <pic:cNvPicPr>
                      <a:picLocks noChangeAspect="1"/>
                    </pic:cNvPicPr>
                  </pic:nvPicPr>
                  <pic:blipFill>
                    <a:blip r:embed="rId56"/>
                    <a:stretch>
                      <a:fillRect/>
                    </a:stretch>
                  </pic:blipFill>
                  <pic:spPr>
                    <a:xfrm>
                      <a:off x="0" y="0"/>
                      <a:ext cx="5614035" cy="7935595"/>
                    </a:xfrm>
                    <a:prstGeom prst="rect">
                      <a:avLst/>
                    </a:prstGeom>
                  </pic:spPr>
                </pic:pic>
              </a:graphicData>
            </a:graphic>
          </wp:inline>
        </w:drawing>
      </w:r>
    </w:p>
    <w:p w14:paraId="29BD95BF">
      <w:pPr>
        <w:spacing w:after="120" w:afterLines="50"/>
        <w:jc w:val="both"/>
        <w:outlineLvl w:val="0"/>
        <w:rPr>
          <w:rFonts w:hint="default" w:ascii="Times New Roman" w:hAnsi="Times New Roman" w:eastAsia="宋体" w:cs="Times New Roman"/>
          <w:b/>
          <w:color w:val="auto"/>
          <w:sz w:val="24"/>
          <w:szCs w:val="20"/>
          <w:highlight w:val="none"/>
          <w:lang w:val="en-US" w:eastAsia="zh-CN"/>
        </w:rPr>
      </w:pPr>
      <w:bookmarkStart w:id="61" w:name="_Toc7579"/>
      <w:bookmarkStart w:id="62" w:name="_Toc18738"/>
      <w:r>
        <w:rPr>
          <w:rFonts w:hint="eastAsia" w:ascii="Times New Roman" w:hAnsi="Times New Roman" w:eastAsia="宋体" w:cs="Times New Roman"/>
          <w:b/>
          <w:color w:val="auto"/>
          <w:sz w:val="24"/>
          <w:szCs w:val="20"/>
          <w:highlight w:val="none"/>
          <w:lang w:val="en-US" w:eastAsia="zh-CN"/>
        </w:rPr>
        <w:t>附件</w:t>
      </w:r>
      <w:r>
        <w:rPr>
          <w:rFonts w:hint="eastAsia" w:cs="Times New Roman"/>
          <w:b/>
          <w:color w:val="auto"/>
          <w:sz w:val="24"/>
          <w:szCs w:val="20"/>
          <w:highlight w:val="none"/>
          <w:lang w:val="en-US" w:eastAsia="zh-CN"/>
        </w:rPr>
        <w:t xml:space="preserve">4 </w:t>
      </w:r>
      <w:bookmarkEnd w:id="61"/>
      <w:r>
        <w:rPr>
          <w:rFonts w:hint="eastAsia" w:cs="Times New Roman"/>
          <w:b/>
          <w:color w:val="auto"/>
          <w:sz w:val="24"/>
          <w:szCs w:val="20"/>
          <w:highlight w:val="none"/>
          <w:lang w:val="en-US" w:eastAsia="zh-CN"/>
        </w:rPr>
        <w:t>土地证</w:t>
      </w:r>
      <w:bookmarkEnd w:id="62"/>
    </w:p>
    <w:p w14:paraId="5016F24A">
      <w:pPr>
        <w:pStyle w:val="25"/>
        <w:ind w:left="0" w:leftChars="0" w:firstLine="0" w:firstLineChars="0"/>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3971925" cy="5612130"/>
            <wp:effectExtent l="0" t="0" r="7620" b="9525"/>
            <wp:docPr id="45" name="图片 45" descr="cea0b0b753dc75c81fe46143ca495b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ea0b0b753dc75c81fe46143ca495bd9"/>
                    <pic:cNvPicPr>
                      <a:picLocks noChangeAspect="1"/>
                    </pic:cNvPicPr>
                  </pic:nvPicPr>
                  <pic:blipFill>
                    <a:blip r:embed="rId57"/>
                    <a:srcRect t="1647" b="18873"/>
                    <a:stretch>
                      <a:fillRect/>
                    </a:stretch>
                  </pic:blipFill>
                  <pic:spPr>
                    <a:xfrm rot="16200000">
                      <a:off x="0" y="0"/>
                      <a:ext cx="3971925" cy="5612130"/>
                    </a:xfrm>
                    <a:prstGeom prst="rect">
                      <a:avLst/>
                    </a:prstGeom>
                  </pic:spPr>
                </pic:pic>
              </a:graphicData>
            </a:graphic>
          </wp:inline>
        </w:drawing>
      </w:r>
    </w:p>
    <w:p w14:paraId="34B37EAE">
      <w:pPr>
        <w:bidi w:val="0"/>
        <w:rPr>
          <w:rFonts w:hint="eastAsia"/>
          <w:color w:val="auto"/>
          <w:lang w:val="en-US" w:eastAsia="zh-CN"/>
        </w:rPr>
      </w:pPr>
      <w:r>
        <w:rPr>
          <w:rFonts w:hint="eastAsia"/>
          <w:color w:val="auto"/>
          <w:lang w:val="en-US" w:eastAsia="zh-CN"/>
        </w:rPr>
        <w:drawing>
          <wp:inline distT="0" distB="0" distL="114300" distR="114300">
            <wp:extent cx="5614670" cy="3157855"/>
            <wp:effectExtent l="0" t="0" r="5080" b="4445"/>
            <wp:docPr id="47" name="图片 47" descr="248cd384ff2420cc533eb592bde09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48cd384ff2420cc533eb592bde09454"/>
                    <pic:cNvPicPr>
                      <a:picLocks noChangeAspect="1"/>
                    </pic:cNvPicPr>
                  </pic:nvPicPr>
                  <pic:blipFill>
                    <a:blip r:embed="rId58"/>
                    <a:stretch>
                      <a:fillRect/>
                    </a:stretch>
                  </pic:blipFill>
                  <pic:spPr>
                    <a:xfrm>
                      <a:off x="0" y="0"/>
                      <a:ext cx="5614670" cy="3157855"/>
                    </a:xfrm>
                    <a:prstGeom prst="rect">
                      <a:avLst/>
                    </a:prstGeom>
                  </pic:spPr>
                </pic:pic>
              </a:graphicData>
            </a:graphic>
          </wp:inline>
        </w:drawing>
      </w:r>
    </w:p>
    <w:p w14:paraId="77C7D7E8">
      <w:pPr>
        <w:bidi w:val="0"/>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lang w:val="en-US" w:eastAsia="zh-CN"/>
        </w:rPr>
        <w:drawing>
          <wp:inline distT="0" distB="0" distL="114300" distR="114300">
            <wp:extent cx="8324215" cy="5495290"/>
            <wp:effectExtent l="0" t="0" r="10160" b="635"/>
            <wp:docPr id="49" name="图片 49" descr="d351004e7e9059e5d2fee7fbfac51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51004e7e9059e5d2fee7fbfac5108a"/>
                    <pic:cNvPicPr>
                      <a:picLocks noChangeAspect="1"/>
                    </pic:cNvPicPr>
                  </pic:nvPicPr>
                  <pic:blipFill>
                    <a:blip r:embed="rId59"/>
                    <a:srcRect l="15243" r="5621" b="7118"/>
                    <a:stretch>
                      <a:fillRect/>
                    </a:stretch>
                  </pic:blipFill>
                  <pic:spPr>
                    <a:xfrm rot="5400000">
                      <a:off x="0" y="0"/>
                      <a:ext cx="8324215" cy="5495290"/>
                    </a:xfrm>
                    <a:prstGeom prst="rect">
                      <a:avLst/>
                    </a:prstGeom>
                  </pic:spPr>
                </pic:pic>
              </a:graphicData>
            </a:graphic>
          </wp:inline>
        </w:drawing>
      </w:r>
    </w:p>
    <w:p w14:paraId="3809C4CA">
      <w:pPr>
        <w:spacing w:after="120" w:afterLines="50"/>
        <w:jc w:val="both"/>
        <w:outlineLvl w:val="0"/>
        <w:rPr>
          <w:rFonts w:hint="default" w:ascii="Times New Roman" w:hAnsi="Times New Roman" w:eastAsia="宋体" w:cs="Times New Roman"/>
          <w:b/>
          <w:color w:val="auto"/>
          <w:sz w:val="24"/>
          <w:szCs w:val="20"/>
          <w:highlight w:val="none"/>
          <w:lang w:val="en-US" w:eastAsia="zh-CN"/>
        </w:rPr>
      </w:pPr>
      <w:bookmarkStart w:id="63" w:name="_Toc1182"/>
      <w:r>
        <w:rPr>
          <w:rFonts w:hint="eastAsia" w:ascii="Times New Roman" w:hAnsi="Times New Roman" w:eastAsia="宋体" w:cs="Times New Roman"/>
          <w:b/>
          <w:color w:val="auto"/>
          <w:sz w:val="24"/>
          <w:szCs w:val="20"/>
          <w:highlight w:val="none"/>
          <w:lang w:val="en-US" w:eastAsia="zh-CN"/>
        </w:rPr>
        <w:t>附件</w:t>
      </w:r>
      <w:r>
        <w:rPr>
          <w:rFonts w:hint="eastAsia" w:cs="Times New Roman"/>
          <w:b/>
          <w:color w:val="auto"/>
          <w:sz w:val="24"/>
          <w:szCs w:val="20"/>
          <w:highlight w:val="none"/>
          <w:lang w:val="en-US" w:eastAsia="zh-CN"/>
        </w:rPr>
        <w:t>5</w:t>
      </w:r>
      <w:r>
        <w:rPr>
          <w:rFonts w:hint="eastAsia" w:ascii="Times New Roman" w:hAnsi="Times New Roman" w:eastAsia="宋体" w:cs="Times New Roman"/>
          <w:b/>
          <w:color w:val="auto"/>
          <w:sz w:val="24"/>
          <w:szCs w:val="20"/>
          <w:highlight w:val="none"/>
          <w:lang w:val="en-US" w:eastAsia="zh-CN"/>
        </w:rPr>
        <w:t xml:space="preserve"> </w:t>
      </w:r>
      <w:r>
        <w:rPr>
          <w:rFonts w:hint="eastAsia" w:cs="Times New Roman"/>
          <w:b/>
          <w:color w:val="auto"/>
          <w:sz w:val="24"/>
          <w:szCs w:val="20"/>
          <w:highlight w:val="none"/>
          <w:lang w:val="en-US" w:eastAsia="zh-CN"/>
        </w:rPr>
        <w:t>生态环境分区管控分析报告</w:t>
      </w:r>
      <w:bookmarkEnd w:id="63"/>
    </w:p>
    <w:p w14:paraId="337181F2">
      <w:pPr>
        <w:jc w:val="cente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6436360" cy="5106670"/>
            <wp:effectExtent l="0" t="0" r="2540" b="17780"/>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60"/>
                    <a:stretch>
                      <a:fillRect/>
                    </a:stretch>
                  </pic:blipFill>
                  <pic:spPr>
                    <a:xfrm>
                      <a:off x="0" y="0"/>
                      <a:ext cx="6436360" cy="5106670"/>
                    </a:xfrm>
                    <a:prstGeom prst="rect">
                      <a:avLst/>
                    </a:prstGeom>
                    <a:noFill/>
                    <a:ln>
                      <a:noFill/>
                    </a:ln>
                  </pic:spPr>
                </pic:pic>
              </a:graphicData>
            </a:graphic>
          </wp:inline>
        </w:drawing>
      </w:r>
      <w:r>
        <w:rPr>
          <w:color w:val="auto"/>
        </w:rPr>
        <w:drawing>
          <wp:inline distT="0" distB="0" distL="114300" distR="114300">
            <wp:extent cx="7844155" cy="5507990"/>
            <wp:effectExtent l="0" t="0" r="4445" b="16510"/>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61"/>
                    <a:stretch>
                      <a:fillRect/>
                    </a:stretch>
                  </pic:blipFill>
                  <pic:spPr>
                    <a:xfrm>
                      <a:off x="0" y="0"/>
                      <a:ext cx="7844155" cy="5507990"/>
                    </a:xfrm>
                    <a:prstGeom prst="rect">
                      <a:avLst/>
                    </a:prstGeom>
                    <a:noFill/>
                    <a:ln>
                      <a:noFill/>
                    </a:ln>
                  </pic:spPr>
                </pic:pic>
              </a:graphicData>
            </a:graphic>
          </wp:inline>
        </w:drawing>
      </w:r>
      <w:r>
        <w:drawing>
          <wp:inline distT="0" distB="0" distL="114300" distR="114300">
            <wp:extent cx="8028940" cy="5448935"/>
            <wp:effectExtent l="0" t="0" r="10160" b="18415"/>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62"/>
                    <a:stretch>
                      <a:fillRect/>
                    </a:stretch>
                  </pic:blipFill>
                  <pic:spPr>
                    <a:xfrm>
                      <a:off x="0" y="0"/>
                      <a:ext cx="8028940" cy="5448935"/>
                    </a:xfrm>
                    <a:prstGeom prst="rect">
                      <a:avLst/>
                    </a:prstGeom>
                    <a:noFill/>
                    <a:ln>
                      <a:noFill/>
                    </a:ln>
                  </pic:spPr>
                </pic:pic>
              </a:graphicData>
            </a:graphic>
          </wp:inline>
        </w:drawing>
      </w:r>
      <w:r>
        <w:drawing>
          <wp:inline distT="0" distB="0" distL="114300" distR="114300">
            <wp:extent cx="8084820" cy="5460365"/>
            <wp:effectExtent l="0" t="0" r="11430"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3"/>
                    <a:stretch>
                      <a:fillRect/>
                    </a:stretch>
                  </pic:blipFill>
                  <pic:spPr>
                    <a:xfrm>
                      <a:off x="0" y="0"/>
                      <a:ext cx="8084820" cy="5460365"/>
                    </a:xfrm>
                    <a:prstGeom prst="rect">
                      <a:avLst/>
                    </a:prstGeom>
                    <a:noFill/>
                    <a:ln>
                      <a:noFill/>
                    </a:ln>
                  </pic:spPr>
                </pic:pic>
              </a:graphicData>
            </a:graphic>
          </wp:inline>
        </w:drawing>
      </w:r>
      <w:r>
        <w:drawing>
          <wp:inline distT="0" distB="0" distL="114300" distR="114300">
            <wp:extent cx="8096250" cy="5431790"/>
            <wp:effectExtent l="0" t="0" r="0" b="16510"/>
            <wp:docPr id="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pic:cNvPicPr>
                      <a:picLocks noChangeAspect="1"/>
                    </pic:cNvPicPr>
                  </pic:nvPicPr>
                  <pic:blipFill>
                    <a:blip r:embed="rId64"/>
                    <a:stretch>
                      <a:fillRect/>
                    </a:stretch>
                  </pic:blipFill>
                  <pic:spPr>
                    <a:xfrm>
                      <a:off x="0" y="0"/>
                      <a:ext cx="8096250" cy="5431790"/>
                    </a:xfrm>
                    <a:prstGeom prst="rect">
                      <a:avLst/>
                    </a:prstGeom>
                    <a:noFill/>
                    <a:ln>
                      <a:noFill/>
                    </a:ln>
                  </pic:spPr>
                </pic:pic>
              </a:graphicData>
            </a:graphic>
          </wp:inline>
        </w:drawing>
      </w:r>
      <w:r>
        <w:drawing>
          <wp:inline distT="0" distB="0" distL="114300" distR="114300">
            <wp:extent cx="8114030" cy="5502275"/>
            <wp:effectExtent l="0" t="0" r="1270" b="3175"/>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65"/>
                    <a:stretch>
                      <a:fillRect/>
                    </a:stretch>
                  </pic:blipFill>
                  <pic:spPr>
                    <a:xfrm>
                      <a:off x="0" y="0"/>
                      <a:ext cx="8114030" cy="5502275"/>
                    </a:xfrm>
                    <a:prstGeom prst="rect">
                      <a:avLst/>
                    </a:prstGeom>
                    <a:noFill/>
                    <a:ln>
                      <a:noFill/>
                    </a:ln>
                  </pic:spPr>
                </pic:pic>
              </a:graphicData>
            </a:graphic>
          </wp:inline>
        </w:drawing>
      </w:r>
      <w:r>
        <w:drawing>
          <wp:inline distT="0" distB="0" distL="114300" distR="114300">
            <wp:extent cx="8301355" cy="5524500"/>
            <wp:effectExtent l="0" t="0" r="4445" b="0"/>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66"/>
                    <a:stretch>
                      <a:fillRect/>
                    </a:stretch>
                  </pic:blipFill>
                  <pic:spPr>
                    <a:xfrm>
                      <a:off x="0" y="0"/>
                      <a:ext cx="8301355" cy="5524500"/>
                    </a:xfrm>
                    <a:prstGeom prst="rect">
                      <a:avLst/>
                    </a:prstGeom>
                    <a:noFill/>
                    <a:ln>
                      <a:noFill/>
                    </a:ln>
                  </pic:spPr>
                </pic:pic>
              </a:graphicData>
            </a:graphic>
          </wp:inline>
        </w:drawing>
      </w:r>
      <w:r>
        <w:drawing>
          <wp:inline distT="0" distB="0" distL="114300" distR="114300">
            <wp:extent cx="8025130" cy="5523230"/>
            <wp:effectExtent l="0" t="0" r="13970" b="1270"/>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pic:cNvPicPr>
                      <a:picLocks noChangeAspect="1"/>
                    </pic:cNvPicPr>
                  </pic:nvPicPr>
                  <pic:blipFill>
                    <a:blip r:embed="rId67"/>
                    <a:stretch>
                      <a:fillRect/>
                    </a:stretch>
                  </pic:blipFill>
                  <pic:spPr>
                    <a:xfrm>
                      <a:off x="0" y="0"/>
                      <a:ext cx="8025130" cy="5523230"/>
                    </a:xfrm>
                    <a:prstGeom prst="rect">
                      <a:avLst/>
                    </a:prstGeom>
                    <a:noFill/>
                    <a:ln>
                      <a:noFill/>
                    </a:ln>
                  </pic:spPr>
                </pic:pic>
              </a:graphicData>
            </a:graphic>
          </wp:inline>
        </w:drawing>
      </w:r>
      <w:r>
        <w:drawing>
          <wp:inline distT="0" distB="0" distL="114300" distR="114300">
            <wp:extent cx="8526780" cy="5531485"/>
            <wp:effectExtent l="0" t="0" r="7620" b="12065"/>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68"/>
                    <a:stretch>
                      <a:fillRect/>
                    </a:stretch>
                  </pic:blipFill>
                  <pic:spPr>
                    <a:xfrm>
                      <a:off x="0" y="0"/>
                      <a:ext cx="8526780" cy="5531485"/>
                    </a:xfrm>
                    <a:prstGeom prst="rect">
                      <a:avLst/>
                    </a:prstGeom>
                    <a:noFill/>
                    <a:ln>
                      <a:noFill/>
                    </a:ln>
                  </pic:spPr>
                </pic:pic>
              </a:graphicData>
            </a:graphic>
          </wp:inline>
        </w:drawing>
      </w:r>
      <w:r>
        <w:drawing>
          <wp:inline distT="0" distB="0" distL="114300" distR="114300">
            <wp:extent cx="8378190" cy="5532120"/>
            <wp:effectExtent l="0" t="0" r="3810" b="11430"/>
            <wp:docPr id="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pic:cNvPicPr>
                      <a:picLocks noChangeAspect="1"/>
                    </pic:cNvPicPr>
                  </pic:nvPicPr>
                  <pic:blipFill>
                    <a:blip r:embed="rId69"/>
                    <a:stretch>
                      <a:fillRect/>
                    </a:stretch>
                  </pic:blipFill>
                  <pic:spPr>
                    <a:xfrm>
                      <a:off x="0" y="0"/>
                      <a:ext cx="8378190" cy="5532120"/>
                    </a:xfrm>
                    <a:prstGeom prst="rect">
                      <a:avLst/>
                    </a:prstGeom>
                    <a:noFill/>
                    <a:ln>
                      <a:noFill/>
                    </a:ln>
                  </pic:spPr>
                </pic:pic>
              </a:graphicData>
            </a:graphic>
          </wp:inline>
        </w:drawing>
      </w:r>
    </w:p>
    <w:p w14:paraId="20DBA673">
      <w:pPr>
        <w:spacing w:after="120" w:afterLines="50"/>
        <w:jc w:val="both"/>
        <w:outlineLvl w:val="0"/>
        <w:rPr>
          <w:rFonts w:hint="default" w:ascii="Times New Roman" w:hAnsi="Times New Roman" w:eastAsia="宋体" w:cs="Times New Roman"/>
          <w:b/>
          <w:color w:val="auto"/>
          <w:sz w:val="24"/>
          <w:szCs w:val="20"/>
          <w:highlight w:val="none"/>
          <w:lang w:val="en-US" w:eastAsia="zh-CN"/>
        </w:rPr>
      </w:pPr>
      <w:bookmarkStart w:id="64" w:name="_Toc6403"/>
      <w:r>
        <w:rPr>
          <w:rFonts w:hint="eastAsia" w:ascii="Times New Roman" w:hAnsi="Times New Roman" w:eastAsia="宋体" w:cs="Times New Roman"/>
          <w:b/>
          <w:color w:val="auto"/>
          <w:sz w:val="24"/>
          <w:szCs w:val="20"/>
          <w:highlight w:val="none"/>
          <w:lang w:val="en-US" w:eastAsia="zh-CN"/>
        </w:rPr>
        <w:t>附件</w:t>
      </w:r>
      <w:r>
        <w:rPr>
          <w:rFonts w:hint="eastAsia" w:cs="Times New Roman"/>
          <w:b/>
          <w:color w:val="auto"/>
          <w:sz w:val="24"/>
          <w:szCs w:val="20"/>
          <w:highlight w:val="none"/>
          <w:lang w:val="en-US" w:eastAsia="zh-CN"/>
        </w:rPr>
        <w:t>6</w:t>
      </w:r>
      <w:r>
        <w:rPr>
          <w:rFonts w:hint="eastAsia" w:ascii="Times New Roman" w:hAnsi="Times New Roman" w:eastAsia="宋体" w:cs="Times New Roman"/>
          <w:b/>
          <w:color w:val="auto"/>
          <w:sz w:val="24"/>
          <w:szCs w:val="20"/>
          <w:highlight w:val="none"/>
          <w:lang w:val="en-US" w:eastAsia="zh-CN"/>
        </w:rPr>
        <w:t xml:space="preserve"> </w:t>
      </w:r>
      <w:r>
        <w:rPr>
          <w:rFonts w:hint="eastAsia" w:cs="Times New Roman"/>
          <w:b/>
          <w:color w:val="auto"/>
          <w:sz w:val="24"/>
          <w:szCs w:val="20"/>
          <w:highlight w:val="none"/>
          <w:lang w:val="en-US" w:eastAsia="zh-CN"/>
        </w:rPr>
        <w:t>大豆胶检测报告</w:t>
      </w:r>
      <w:bookmarkEnd w:id="64"/>
    </w:p>
    <w:p w14:paraId="716E87A8">
      <w:pPr>
        <w:jc w:val="center"/>
        <w:rPr>
          <w:rFonts w:hint="default"/>
          <w:lang w:val="en-US" w:eastAsia="zh-CN"/>
        </w:rPr>
      </w:pPr>
      <w:r>
        <w:rPr>
          <w:rFonts w:hint="default"/>
          <w:lang w:val="en-US" w:eastAsia="zh-CN"/>
        </w:rPr>
        <w:drawing>
          <wp:inline distT="0" distB="0" distL="114300" distR="114300">
            <wp:extent cx="4962525" cy="7353300"/>
            <wp:effectExtent l="0" t="0" r="9525" b="0"/>
            <wp:docPr id="27" name="图片 27" descr="5d81106e144644378cfa5b94525d8b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5d81106e144644378cfa5b94525d8bea"/>
                    <pic:cNvPicPr>
                      <a:picLocks noChangeAspect="1"/>
                    </pic:cNvPicPr>
                  </pic:nvPicPr>
                  <pic:blipFill>
                    <a:blip r:embed="rId70"/>
                    <a:stretch>
                      <a:fillRect/>
                    </a:stretch>
                  </pic:blipFill>
                  <pic:spPr>
                    <a:xfrm>
                      <a:off x="0" y="0"/>
                      <a:ext cx="4962525" cy="7353300"/>
                    </a:xfrm>
                    <a:prstGeom prst="rect">
                      <a:avLst/>
                    </a:prstGeom>
                  </pic:spPr>
                </pic:pic>
              </a:graphicData>
            </a:graphic>
          </wp:inline>
        </w:drawing>
      </w:r>
      <w:r>
        <w:drawing>
          <wp:inline distT="0" distB="0" distL="114300" distR="114300">
            <wp:extent cx="5613400" cy="7447915"/>
            <wp:effectExtent l="0" t="0" r="6350" b="635"/>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71"/>
                    <a:stretch>
                      <a:fillRect/>
                    </a:stretch>
                  </pic:blipFill>
                  <pic:spPr>
                    <a:xfrm>
                      <a:off x="0" y="0"/>
                      <a:ext cx="5613400" cy="7447915"/>
                    </a:xfrm>
                    <a:prstGeom prst="rect">
                      <a:avLst/>
                    </a:prstGeom>
                    <a:noFill/>
                    <a:ln>
                      <a:noFill/>
                    </a:ln>
                  </pic:spPr>
                </pic:pic>
              </a:graphicData>
            </a:graphic>
          </wp:inline>
        </w:drawing>
      </w:r>
      <w:r>
        <w:drawing>
          <wp:inline distT="0" distB="0" distL="114300" distR="114300">
            <wp:extent cx="5611495" cy="6700520"/>
            <wp:effectExtent l="0" t="0" r="8255" b="5080"/>
            <wp:docPr id="3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1"/>
                    <pic:cNvPicPr>
                      <a:picLocks noChangeAspect="1"/>
                    </pic:cNvPicPr>
                  </pic:nvPicPr>
                  <pic:blipFill>
                    <a:blip r:embed="rId72"/>
                    <a:stretch>
                      <a:fillRect/>
                    </a:stretch>
                  </pic:blipFill>
                  <pic:spPr>
                    <a:xfrm>
                      <a:off x="0" y="0"/>
                      <a:ext cx="5611495" cy="6700520"/>
                    </a:xfrm>
                    <a:prstGeom prst="rect">
                      <a:avLst/>
                    </a:prstGeom>
                    <a:noFill/>
                    <a:ln>
                      <a:noFill/>
                    </a:ln>
                  </pic:spPr>
                </pic:pic>
              </a:graphicData>
            </a:graphic>
          </wp:inline>
        </w:drawing>
      </w:r>
      <w:r>
        <w:drawing>
          <wp:inline distT="0" distB="0" distL="114300" distR="114300">
            <wp:extent cx="5612765" cy="7520940"/>
            <wp:effectExtent l="0" t="0" r="6985" b="3810"/>
            <wp:docPr id="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2"/>
                    <pic:cNvPicPr>
                      <a:picLocks noChangeAspect="1"/>
                    </pic:cNvPicPr>
                  </pic:nvPicPr>
                  <pic:blipFill>
                    <a:blip r:embed="rId73"/>
                    <a:stretch>
                      <a:fillRect/>
                    </a:stretch>
                  </pic:blipFill>
                  <pic:spPr>
                    <a:xfrm>
                      <a:off x="0" y="0"/>
                      <a:ext cx="5612765" cy="7520940"/>
                    </a:xfrm>
                    <a:prstGeom prst="rect">
                      <a:avLst/>
                    </a:prstGeom>
                    <a:noFill/>
                    <a:ln>
                      <a:noFill/>
                    </a:ln>
                  </pic:spPr>
                </pic:pic>
              </a:graphicData>
            </a:graphic>
          </wp:inline>
        </w:drawing>
      </w:r>
      <w:r>
        <w:drawing>
          <wp:inline distT="0" distB="0" distL="114300" distR="114300">
            <wp:extent cx="5467350" cy="7677150"/>
            <wp:effectExtent l="0" t="0" r="0" b="0"/>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74"/>
                    <a:stretch>
                      <a:fillRect/>
                    </a:stretch>
                  </pic:blipFill>
                  <pic:spPr>
                    <a:xfrm>
                      <a:off x="0" y="0"/>
                      <a:ext cx="5467350" cy="7677150"/>
                    </a:xfrm>
                    <a:prstGeom prst="rect">
                      <a:avLst/>
                    </a:prstGeom>
                    <a:noFill/>
                    <a:ln>
                      <a:noFill/>
                    </a:ln>
                  </pic:spPr>
                </pic:pic>
              </a:graphicData>
            </a:graphic>
          </wp:inline>
        </w:drawing>
      </w:r>
      <w:r>
        <w:drawing>
          <wp:inline distT="0" distB="0" distL="114300" distR="114300">
            <wp:extent cx="5514975" cy="7543800"/>
            <wp:effectExtent l="0" t="0" r="9525" b="0"/>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75"/>
                    <a:stretch>
                      <a:fillRect/>
                    </a:stretch>
                  </pic:blipFill>
                  <pic:spPr>
                    <a:xfrm>
                      <a:off x="0" y="0"/>
                      <a:ext cx="5514975" cy="7543800"/>
                    </a:xfrm>
                    <a:prstGeom prst="rect">
                      <a:avLst/>
                    </a:prstGeom>
                    <a:noFill/>
                    <a:ln>
                      <a:noFill/>
                    </a:ln>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行楷">
    <w:panose1 w:val="02010800040101010101"/>
    <w:charset w:val="86"/>
    <w:family w:val="auto"/>
    <w:pitch w:val="default"/>
    <w:sig w:usb0="00000001" w:usb1="080F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方正小标宋_GBK">
    <w:altName w:val="Arial Unicode MS"/>
    <w:panose1 w:val="02000000000000000000"/>
    <w:charset w:val="86"/>
    <w:family w:val="script"/>
    <w:pitch w:val="default"/>
    <w:sig w:usb0="00000000" w:usb1="00000000" w:usb2="00082016" w:usb3="00000000" w:csb0="00040001" w:csb1="00000000"/>
  </w:font>
  <w:font w:name="Arial Unicode MS">
    <w:panose1 w:val="020B0604020202020204"/>
    <w:charset w:val="86"/>
    <w:family w:val="auto"/>
    <w:pitch w:val="default"/>
    <w:sig w:usb0="F7FFAEFF" w:usb1="F9DFFFFF" w:usb2="0000007F" w:usb3="00000000" w:csb0="203F01FF" w:csb1="DFFF0000"/>
  </w:font>
  <w:font w:name="新宋体">
    <w:panose1 w:val="02010609030101010101"/>
    <w:charset w:val="86"/>
    <w:family w:val="modern"/>
    <w:pitch w:val="default"/>
    <w:sig w:usb0="00000203" w:usb1="288F0000" w:usb2="00000006" w:usb3="00000000" w:csb0="00040001"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仿宋">
    <w:panose1 w:val="02010609060101010101"/>
    <w:charset w:val="86"/>
    <w:family w:val="auto"/>
    <w:pitch w:val="default"/>
    <w:sig w:usb0="800002BF" w:usb1="38CF7CFA" w:usb2="00000016" w:usb3="00000000" w:csb0="00040001" w:csb1="00000000"/>
  </w:font>
  <w:font w:name="方正仿宋_GB2312">
    <w:altName w:val="仿宋"/>
    <w:panose1 w:val="02000000000000000000"/>
    <w:charset w:val="86"/>
    <w:family w:val="auto"/>
    <w:pitch w:val="default"/>
    <w:sig w:usb0="00000000" w:usb1="00000000" w:usb2="00000012" w:usb3="00000000" w:csb0="00040001"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 w:name="TimesNewRomanPSMT">
    <w:altName w:val="Times New Roman"/>
    <w:panose1 w:val="00000000000000000000"/>
    <w:charset w:val="80"/>
    <w:family w:val="auto"/>
    <w:pitch w:val="default"/>
    <w:sig w:usb0="00000000" w:usb1="00000000" w:usb2="00000000" w:usb3="00000000" w:csb0="0002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C18F9E">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7F0B29">
    <w:pPr>
      <w:pStyle w:val="19"/>
      <w:framePr w:wrap="around" w:vAnchor="text" w:hAnchor="margin" w:xAlign="center" w:y="1"/>
      <w:rPr>
        <w:rStyle w:val="35"/>
      </w:rPr>
    </w:pPr>
    <w:r>
      <w:fldChar w:fldCharType="begin"/>
    </w:r>
    <w:r>
      <w:rPr>
        <w:rStyle w:val="35"/>
      </w:rPr>
      <w:instrText xml:space="preserve">PAGE  </w:instrText>
    </w:r>
    <w:r>
      <w:fldChar w:fldCharType="end"/>
    </w:r>
  </w:p>
  <w:p w14:paraId="75643592">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282AD">
    <w:pPr>
      <w:pStyle w:val="19"/>
      <w:ind w:right="360" w:firstLine="360"/>
      <w:jc w:val="center"/>
      <w:rPr>
        <w:sz w:val="24"/>
        <w:szCs w:val="24"/>
      </w:rPr>
    </w:pPr>
    <w:r>
      <w:rPr>
        <w:sz w:val="24"/>
        <w:szCs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1"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92D0894">
                          <w:pPr>
                            <w:pStyle w:val="19"/>
                          </w:pPr>
                          <w:r>
                            <w:t xml:space="preserve">— </w:t>
                          </w:r>
                          <w:r>
                            <w:fldChar w:fldCharType="begin"/>
                          </w:r>
                          <w:r>
                            <w:instrText xml:space="preserve"> PAGE  \* MERGEFORMAT </w:instrText>
                          </w:r>
                          <w:r>
                            <w:fldChar w:fldCharType="separate"/>
                          </w:r>
                          <w:r>
                            <w:t>1</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DLmh1v3gEAAL8DAAAOAAAAAAAA&#10;AAEAIAAAAB4BAABkcnMvZTJvRG9jLnhtbFBLBQYAAAAABgAGAFkBAABuBQAAAAA=&#10;">
              <v:fill on="f" focussize="0,0"/>
              <v:stroke on="f"/>
              <v:imagedata o:title=""/>
              <o:lock v:ext="edit" aspectratio="f"/>
              <v:textbox inset="0mm,0mm,0mm,0mm" style="mso-fit-shape-to-text:t;">
                <w:txbxContent>
                  <w:p w14:paraId="292D0894">
                    <w:pPr>
                      <w:pStyle w:val="19"/>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78255C">
    <w:pPr>
      <w:pStyle w:val="19"/>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7B2E010">
                          <w:pPr>
                            <w:pStyle w:val="19"/>
                          </w:pPr>
                          <w:r>
                            <w:t xml:space="preserve">— </w:t>
                          </w:r>
                          <w:r>
                            <w:fldChar w:fldCharType="begin"/>
                          </w:r>
                          <w:r>
                            <w:instrText xml:space="preserve"> PAGE  \* MERGEFORMAT </w:instrText>
                          </w:r>
                          <w:r>
                            <w:fldChar w:fldCharType="separate"/>
                          </w:r>
                          <w:r>
                            <w:t>9</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Bok5zs3gEAAMADAAAOAAAAAAAA&#10;AAEAIAAAAB4BAABkcnMvZTJvRG9jLnhtbFBLBQYAAAAABgAGAFkBAABuBQAAAAA=&#10;">
              <v:fill on="f" focussize="0,0"/>
              <v:stroke on="f"/>
              <v:imagedata o:title=""/>
              <o:lock v:ext="edit" aspectratio="f"/>
              <v:textbox inset="0mm,0mm,0mm,0mm" style="mso-fit-shape-to-text:t;">
                <w:txbxContent>
                  <w:p w14:paraId="27B2E010">
                    <w:pPr>
                      <w:pStyle w:val="19"/>
                    </w:pPr>
                    <w:r>
                      <w:t xml:space="preserve">— </w:t>
                    </w:r>
                    <w:r>
                      <w:fldChar w:fldCharType="begin"/>
                    </w:r>
                    <w:r>
                      <w:instrText xml:space="preserve"> PAGE  \* MERGEFORMAT </w:instrText>
                    </w:r>
                    <w:r>
                      <w:fldChar w:fldCharType="separate"/>
                    </w:r>
                    <w:r>
                      <w:t>9</w:t>
                    </w:r>
                    <w:r>
                      <w:fldChar w:fldCharType="end"/>
                    </w:r>
                    <w: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64C5E">
    <w:pPr>
      <w:pStyle w:val="19"/>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D7D80A">
                          <w:pPr>
                            <w:pStyle w:val="19"/>
                          </w:pPr>
                          <w:r>
                            <w:t xml:space="preserve">— </w:t>
                          </w:r>
                          <w:r>
                            <w:fldChar w:fldCharType="begin"/>
                          </w:r>
                          <w:r>
                            <w:instrText xml:space="preserve"> PAGE  \* MERGEFORMAT </w:instrText>
                          </w:r>
                          <w:r>
                            <w:fldChar w:fldCharType="separate"/>
                          </w:r>
                          <w:r>
                            <w:t>45</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L8xGzd8BAADAAwAADgAAAAAA&#10;AAABACAAAAAeAQAAZHJzL2Uyb0RvYy54bWxQSwUGAAAAAAYABgBZAQAAbwUAAAAA&#10;">
              <v:fill on="f" focussize="0,0"/>
              <v:stroke on="f"/>
              <v:imagedata o:title=""/>
              <o:lock v:ext="edit" aspectratio="f"/>
              <v:textbox inset="0mm,0mm,0mm,0mm" style="mso-fit-shape-to-text:t;">
                <w:txbxContent>
                  <w:p w14:paraId="1ED7D80A">
                    <w:pPr>
                      <w:pStyle w:val="19"/>
                    </w:pPr>
                    <w:r>
                      <w:t xml:space="preserve">— </w:t>
                    </w:r>
                    <w:r>
                      <w:fldChar w:fldCharType="begin"/>
                    </w:r>
                    <w:r>
                      <w:instrText xml:space="preserve"> PAGE  \* MERGEFORMAT </w:instrText>
                    </w:r>
                    <w:r>
                      <w:fldChar w:fldCharType="separate"/>
                    </w:r>
                    <w:r>
                      <w:t>45</w:t>
                    </w:r>
                    <w:r>
                      <w:fldChar w:fldCharType="end"/>
                    </w:r>
                    <w: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744187">
    <w:pPr>
      <w:pStyle w:val="19"/>
      <w:ind w:right="360" w:firstLine="36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6E1BDE8">
                          <w:pPr>
                            <w:pStyle w:val="19"/>
                          </w:pPr>
                          <w:r>
                            <w:t xml:space="preserve">— </w:t>
                          </w:r>
                          <w:r>
                            <w:fldChar w:fldCharType="begin"/>
                          </w:r>
                          <w:r>
                            <w:instrText xml:space="preserve"> PAGE  \* MERGEFORMAT </w:instrText>
                          </w:r>
                          <w:r>
                            <w:fldChar w:fldCharType="separate"/>
                          </w:r>
                          <w:r>
                            <w:t>71</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13"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B5eXEPgAQAAwAMAAA4AAAAA&#10;AAAAAQAgAAAAHgEAAGRycy9lMm9Eb2MueG1sUEsFBgAAAAAGAAYAWQEAAHAFAAAAAA==&#10;">
              <v:fill on="f" focussize="0,0"/>
              <v:stroke on="f"/>
              <v:imagedata o:title=""/>
              <o:lock v:ext="edit" aspectratio="f"/>
              <v:textbox inset="0mm,0mm,0mm,0mm" style="mso-fit-shape-to-text:t;">
                <w:txbxContent>
                  <w:p w14:paraId="26E1BDE8">
                    <w:pPr>
                      <w:pStyle w:val="19"/>
                    </w:pPr>
                    <w:r>
                      <w:t xml:space="preserve">— </w:t>
                    </w:r>
                    <w:r>
                      <w:fldChar w:fldCharType="begin"/>
                    </w:r>
                    <w:r>
                      <w:instrText xml:space="preserve"> PAGE  \* MERGEFORMAT </w:instrText>
                    </w:r>
                    <w:r>
                      <w:fldChar w:fldCharType="separate"/>
                    </w:r>
                    <w:r>
                      <w:t>71</w:t>
                    </w:r>
                    <w:r>
                      <w:fldChar w:fldCharType="end"/>
                    </w:r>
                    <w: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591625">
    <w:pPr>
      <w:tabs>
        <w:tab w:val="center" w:pos="4153"/>
        <w:tab w:val="right" w:pos="8306"/>
      </w:tabs>
      <w:ind w:right="360" w:firstLine="360"/>
      <w:jc w:val="center"/>
    </w:pPr>
    <w:r>
      <w:rPr>
        <w:sz w:val="2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6"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2B02D6A">
                          <w:pPr>
                            <w:pStyle w:val="19"/>
                          </w:pPr>
                          <w:r>
                            <w:t xml:space="preserve">— </w:t>
                          </w:r>
                          <w:r>
                            <w:fldChar w:fldCharType="begin"/>
                          </w:r>
                          <w:r>
                            <w:instrText xml:space="preserve"> PAGE  \* MERGEFORMAT </w:instrText>
                          </w:r>
                          <w:r>
                            <w:fldChar w:fldCharType="separate"/>
                          </w:r>
                          <w:r>
                            <w:t>72</w:t>
                          </w:r>
                          <w:r>
                            <w:fldChar w:fldCharType="end"/>
                          </w:r>
                          <w:r>
                            <w:t xml:space="preserve"> —</w:t>
                          </w:r>
                        </w:p>
                      </w:txbxContent>
                    </wps:txbx>
                    <wps:bodyPr vert="horz" wrap="none" lIns="0" tIns="0" rIns="0" bIns="0" anchor="t" anchorCtr="0" upright="0">
                      <a:spAutoFit/>
                    </wps:bodyPr>
                  </wps:wsp>
                </a:graphicData>
              </a:graphic>
            </wp:anchor>
          </w:drawing>
        </mc:Choice>
        <mc:Fallback>
          <w:pict>
            <v:shape id="文本框 14"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HTu9WvgAQAAwAMAAA4AAAAA&#10;AAAAAQAgAAAAHgEAAGRycy9lMm9Eb2MueG1sUEsFBgAAAAAGAAYAWQEAAHAFAAAAAA==&#10;">
              <v:fill on="f" focussize="0,0"/>
              <v:stroke on="f"/>
              <v:imagedata o:title=""/>
              <o:lock v:ext="edit" aspectratio="f"/>
              <v:textbox inset="0mm,0mm,0mm,0mm" style="mso-fit-shape-to-text:t;">
                <w:txbxContent>
                  <w:p w14:paraId="62B02D6A">
                    <w:pPr>
                      <w:pStyle w:val="19"/>
                    </w:pPr>
                    <w:r>
                      <w:t xml:space="preserve">— </w:t>
                    </w:r>
                    <w:r>
                      <w:fldChar w:fldCharType="begin"/>
                    </w:r>
                    <w:r>
                      <w:instrText xml:space="preserve"> PAGE  \* MERGEFORMAT </w:instrText>
                    </w:r>
                    <w:r>
                      <w:fldChar w:fldCharType="separate"/>
                    </w:r>
                    <w:r>
                      <w:t>72</w:t>
                    </w:r>
                    <w:r>
                      <w:fldChar w:fldCharType="end"/>
                    </w:r>
                    <w: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DE2DB9"/>
    <w:multiLevelType w:val="singleLevel"/>
    <w:tmpl w:val="80DE2DB9"/>
    <w:lvl w:ilvl="0" w:tentative="0">
      <w:start w:val="2"/>
      <w:numFmt w:val="decimal"/>
      <w:suff w:val="nothing"/>
      <w:lvlText w:val="%1、"/>
      <w:lvlJc w:val="left"/>
    </w:lvl>
  </w:abstractNum>
  <w:abstractNum w:abstractNumId="1">
    <w:nsid w:val="0262CB85"/>
    <w:multiLevelType w:val="singleLevel"/>
    <w:tmpl w:val="0262CB85"/>
    <w:lvl w:ilvl="0" w:tentative="0">
      <w:start w:val="17"/>
      <w:numFmt w:val="chineseCounting"/>
      <w:suff w:val="nothing"/>
      <w:lvlText w:val="%1、"/>
      <w:lvlJc w:val="left"/>
      <w:rPr>
        <w:rFonts w:hint="eastAsia"/>
      </w:rPr>
    </w:lvl>
  </w:abstractNum>
  <w:abstractNum w:abstractNumId="2">
    <w:nsid w:val="5954E51C"/>
    <w:multiLevelType w:val="singleLevel"/>
    <w:tmpl w:val="5954E51C"/>
    <w:lvl w:ilvl="0" w:tentative="0">
      <w:start w:val="3"/>
      <w:numFmt w:val="decimal"/>
      <w:suff w:val="nothing"/>
      <w:lvlText w:val="（%1）"/>
      <w:lvlJc w:val="left"/>
    </w:lvl>
  </w:abstractNum>
  <w:abstractNum w:abstractNumId="3">
    <w:nsid w:val="5E540E98"/>
    <w:multiLevelType w:val="multilevel"/>
    <w:tmpl w:val="5E540E98"/>
    <w:lvl w:ilvl="0" w:tentative="0">
      <w:start w:val="1"/>
      <w:numFmt w:val="decimal"/>
      <w:lvlText w:val="第%1章"/>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lvlText w:val="%1.%2.%3"/>
      <w:lvlJc w:val="left"/>
      <w:pPr>
        <w:ind w:left="720" w:hanging="720"/>
      </w:pPr>
      <w:rPr>
        <w:rFonts w:hint="eastAsia"/>
      </w:rPr>
    </w:lvl>
    <w:lvl w:ilvl="3" w:tentative="0">
      <w:start w:val="1"/>
      <w:numFmt w:val="decimal"/>
      <w:pStyle w:val="5"/>
      <w:lvlText w:val="%1.%2.%3.%4"/>
      <w:lvlJc w:val="left"/>
      <w:pPr>
        <w:ind w:left="864" w:hanging="864"/>
      </w:pPr>
      <w:rPr>
        <w:rFonts w:hint="eastAsia"/>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1MWVhZjY1MjJjZGQ0MTk5MTAxYWQxNTVhOTE2YzIifQ=="/>
  </w:docVars>
  <w:rsids>
    <w:rsidRoot w:val="00172A27"/>
    <w:rsid w:val="000060B3"/>
    <w:rsid w:val="0004364B"/>
    <w:rsid w:val="00061B1F"/>
    <w:rsid w:val="000733C4"/>
    <w:rsid w:val="00074783"/>
    <w:rsid w:val="0008070B"/>
    <w:rsid w:val="000810AC"/>
    <w:rsid w:val="00081A02"/>
    <w:rsid w:val="00082231"/>
    <w:rsid w:val="0008402F"/>
    <w:rsid w:val="00085982"/>
    <w:rsid w:val="00092D38"/>
    <w:rsid w:val="0009377B"/>
    <w:rsid w:val="000A20C9"/>
    <w:rsid w:val="000B058F"/>
    <w:rsid w:val="000B4467"/>
    <w:rsid w:val="000B4DB9"/>
    <w:rsid w:val="000C09AC"/>
    <w:rsid w:val="000C767F"/>
    <w:rsid w:val="000D518E"/>
    <w:rsid w:val="000D5A44"/>
    <w:rsid w:val="000E0EE1"/>
    <w:rsid w:val="000E3ED2"/>
    <w:rsid w:val="000F143C"/>
    <w:rsid w:val="001174CC"/>
    <w:rsid w:val="00131F42"/>
    <w:rsid w:val="001357F1"/>
    <w:rsid w:val="00136DE4"/>
    <w:rsid w:val="00140FA8"/>
    <w:rsid w:val="00142FEB"/>
    <w:rsid w:val="00143A2D"/>
    <w:rsid w:val="00145A41"/>
    <w:rsid w:val="00151675"/>
    <w:rsid w:val="00157435"/>
    <w:rsid w:val="00171281"/>
    <w:rsid w:val="0017504D"/>
    <w:rsid w:val="0017671A"/>
    <w:rsid w:val="00177422"/>
    <w:rsid w:val="00184590"/>
    <w:rsid w:val="001870D1"/>
    <w:rsid w:val="0018781E"/>
    <w:rsid w:val="0019262D"/>
    <w:rsid w:val="001A1B35"/>
    <w:rsid w:val="001A48A2"/>
    <w:rsid w:val="001A6F61"/>
    <w:rsid w:val="001B72B8"/>
    <w:rsid w:val="001C69B3"/>
    <w:rsid w:val="001D5595"/>
    <w:rsid w:val="001D63E1"/>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74EE4"/>
    <w:rsid w:val="002779A9"/>
    <w:rsid w:val="002805AB"/>
    <w:rsid w:val="00284204"/>
    <w:rsid w:val="00291773"/>
    <w:rsid w:val="002A168C"/>
    <w:rsid w:val="002A3DC7"/>
    <w:rsid w:val="002B255D"/>
    <w:rsid w:val="002B4308"/>
    <w:rsid w:val="002B49E2"/>
    <w:rsid w:val="002B7B00"/>
    <w:rsid w:val="002B7C44"/>
    <w:rsid w:val="002C2B17"/>
    <w:rsid w:val="002D3DD0"/>
    <w:rsid w:val="002E1F3A"/>
    <w:rsid w:val="002E298A"/>
    <w:rsid w:val="00301978"/>
    <w:rsid w:val="003025CA"/>
    <w:rsid w:val="0030332C"/>
    <w:rsid w:val="00304B3C"/>
    <w:rsid w:val="003051C2"/>
    <w:rsid w:val="00312296"/>
    <w:rsid w:val="00314F0E"/>
    <w:rsid w:val="00321D8E"/>
    <w:rsid w:val="003245D4"/>
    <w:rsid w:val="003249B3"/>
    <w:rsid w:val="00325928"/>
    <w:rsid w:val="00332863"/>
    <w:rsid w:val="0033684D"/>
    <w:rsid w:val="00337B42"/>
    <w:rsid w:val="00341B42"/>
    <w:rsid w:val="0034348F"/>
    <w:rsid w:val="00346B46"/>
    <w:rsid w:val="00356653"/>
    <w:rsid w:val="0035743F"/>
    <w:rsid w:val="00357BE2"/>
    <w:rsid w:val="0036170C"/>
    <w:rsid w:val="00366E0F"/>
    <w:rsid w:val="00381A72"/>
    <w:rsid w:val="00384676"/>
    <w:rsid w:val="00390857"/>
    <w:rsid w:val="00393FE0"/>
    <w:rsid w:val="003A4BF3"/>
    <w:rsid w:val="003B420D"/>
    <w:rsid w:val="003C6C16"/>
    <w:rsid w:val="003D794D"/>
    <w:rsid w:val="003E3058"/>
    <w:rsid w:val="003E76A9"/>
    <w:rsid w:val="003F0809"/>
    <w:rsid w:val="003F6A8C"/>
    <w:rsid w:val="003F755C"/>
    <w:rsid w:val="00403FB3"/>
    <w:rsid w:val="00406F01"/>
    <w:rsid w:val="00415BAF"/>
    <w:rsid w:val="00416D50"/>
    <w:rsid w:val="00416FD5"/>
    <w:rsid w:val="004176B7"/>
    <w:rsid w:val="00417772"/>
    <w:rsid w:val="004205FE"/>
    <w:rsid w:val="00420E6A"/>
    <w:rsid w:val="00425A9E"/>
    <w:rsid w:val="00426D6B"/>
    <w:rsid w:val="00431E6C"/>
    <w:rsid w:val="00433CE7"/>
    <w:rsid w:val="00452738"/>
    <w:rsid w:val="00456091"/>
    <w:rsid w:val="00466321"/>
    <w:rsid w:val="00477F43"/>
    <w:rsid w:val="00484B9B"/>
    <w:rsid w:val="004855F6"/>
    <w:rsid w:val="0048661E"/>
    <w:rsid w:val="00490930"/>
    <w:rsid w:val="004927BE"/>
    <w:rsid w:val="00494670"/>
    <w:rsid w:val="004A3823"/>
    <w:rsid w:val="004C1819"/>
    <w:rsid w:val="004D6924"/>
    <w:rsid w:val="004E6946"/>
    <w:rsid w:val="004E7B21"/>
    <w:rsid w:val="004F1AD8"/>
    <w:rsid w:val="004F561D"/>
    <w:rsid w:val="004F56C5"/>
    <w:rsid w:val="005039CB"/>
    <w:rsid w:val="0050558F"/>
    <w:rsid w:val="00506286"/>
    <w:rsid w:val="00510813"/>
    <w:rsid w:val="00511990"/>
    <w:rsid w:val="00511DE0"/>
    <w:rsid w:val="00514870"/>
    <w:rsid w:val="00514B9B"/>
    <w:rsid w:val="00517F02"/>
    <w:rsid w:val="005231EF"/>
    <w:rsid w:val="00524303"/>
    <w:rsid w:val="005258A2"/>
    <w:rsid w:val="005278F2"/>
    <w:rsid w:val="005401AE"/>
    <w:rsid w:val="00540CF9"/>
    <w:rsid w:val="00542E07"/>
    <w:rsid w:val="00545424"/>
    <w:rsid w:val="00554A7B"/>
    <w:rsid w:val="0055572C"/>
    <w:rsid w:val="0056106A"/>
    <w:rsid w:val="00561699"/>
    <w:rsid w:val="005720AE"/>
    <w:rsid w:val="005764E1"/>
    <w:rsid w:val="00577076"/>
    <w:rsid w:val="00594D77"/>
    <w:rsid w:val="005969E4"/>
    <w:rsid w:val="005A06B7"/>
    <w:rsid w:val="005A1759"/>
    <w:rsid w:val="005A3643"/>
    <w:rsid w:val="005A68A7"/>
    <w:rsid w:val="005D36AB"/>
    <w:rsid w:val="00617CC3"/>
    <w:rsid w:val="00621FFA"/>
    <w:rsid w:val="006377A6"/>
    <w:rsid w:val="00637A3D"/>
    <w:rsid w:val="006411EF"/>
    <w:rsid w:val="0065147C"/>
    <w:rsid w:val="006623D8"/>
    <w:rsid w:val="00664BB7"/>
    <w:rsid w:val="00672930"/>
    <w:rsid w:val="006748B8"/>
    <w:rsid w:val="006775C3"/>
    <w:rsid w:val="00687959"/>
    <w:rsid w:val="0069290A"/>
    <w:rsid w:val="0069775A"/>
    <w:rsid w:val="00697813"/>
    <w:rsid w:val="006A3EE8"/>
    <w:rsid w:val="006A72BF"/>
    <w:rsid w:val="006B03F2"/>
    <w:rsid w:val="006B37DC"/>
    <w:rsid w:val="006B4F68"/>
    <w:rsid w:val="006C0592"/>
    <w:rsid w:val="006C272E"/>
    <w:rsid w:val="006C5479"/>
    <w:rsid w:val="006D13B5"/>
    <w:rsid w:val="006D514C"/>
    <w:rsid w:val="006E12FF"/>
    <w:rsid w:val="006E607E"/>
    <w:rsid w:val="006F2600"/>
    <w:rsid w:val="00706C5D"/>
    <w:rsid w:val="00732922"/>
    <w:rsid w:val="00742170"/>
    <w:rsid w:val="0075162E"/>
    <w:rsid w:val="00754034"/>
    <w:rsid w:val="00756556"/>
    <w:rsid w:val="007618C4"/>
    <w:rsid w:val="0076719B"/>
    <w:rsid w:val="00767980"/>
    <w:rsid w:val="00770B19"/>
    <w:rsid w:val="00772D7B"/>
    <w:rsid w:val="0077463F"/>
    <w:rsid w:val="007836EA"/>
    <w:rsid w:val="00784CDA"/>
    <w:rsid w:val="007906C4"/>
    <w:rsid w:val="007940EA"/>
    <w:rsid w:val="00795ACB"/>
    <w:rsid w:val="007967E8"/>
    <w:rsid w:val="007A2170"/>
    <w:rsid w:val="007A22BF"/>
    <w:rsid w:val="007A3323"/>
    <w:rsid w:val="007B72B8"/>
    <w:rsid w:val="007B7A58"/>
    <w:rsid w:val="007C0B04"/>
    <w:rsid w:val="007C21B5"/>
    <w:rsid w:val="007E3FCC"/>
    <w:rsid w:val="007E4BD2"/>
    <w:rsid w:val="007F161C"/>
    <w:rsid w:val="008009BF"/>
    <w:rsid w:val="00801393"/>
    <w:rsid w:val="00802F88"/>
    <w:rsid w:val="0081293E"/>
    <w:rsid w:val="00815465"/>
    <w:rsid w:val="00817E9A"/>
    <w:rsid w:val="00823793"/>
    <w:rsid w:val="008306BD"/>
    <w:rsid w:val="00831A80"/>
    <w:rsid w:val="008321B8"/>
    <w:rsid w:val="00833743"/>
    <w:rsid w:val="008340A4"/>
    <w:rsid w:val="00836EB0"/>
    <w:rsid w:val="00840680"/>
    <w:rsid w:val="0087135F"/>
    <w:rsid w:val="00872D94"/>
    <w:rsid w:val="00880364"/>
    <w:rsid w:val="00891592"/>
    <w:rsid w:val="00891C05"/>
    <w:rsid w:val="00891E9E"/>
    <w:rsid w:val="008A02D5"/>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0ABE"/>
    <w:rsid w:val="00915563"/>
    <w:rsid w:val="0091736D"/>
    <w:rsid w:val="0093037A"/>
    <w:rsid w:val="0094154D"/>
    <w:rsid w:val="0095155F"/>
    <w:rsid w:val="00954429"/>
    <w:rsid w:val="009563CE"/>
    <w:rsid w:val="00976328"/>
    <w:rsid w:val="0097680D"/>
    <w:rsid w:val="00982438"/>
    <w:rsid w:val="0098404C"/>
    <w:rsid w:val="00985283"/>
    <w:rsid w:val="00995992"/>
    <w:rsid w:val="00996987"/>
    <w:rsid w:val="009A03E5"/>
    <w:rsid w:val="009A0F3B"/>
    <w:rsid w:val="009A1BB4"/>
    <w:rsid w:val="009A2628"/>
    <w:rsid w:val="009A3200"/>
    <w:rsid w:val="009B0897"/>
    <w:rsid w:val="009B7BD9"/>
    <w:rsid w:val="009C4586"/>
    <w:rsid w:val="009C7DD5"/>
    <w:rsid w:val="009D0B9F"/>
    <w:rsid w:val="009E0298"/>
    <w:rsid w:val="009E227D"/>
    <w:rsid w:val="009E5019"/>
    <w:rsid w:val="00A04F1B"/>
    <w:rsid w:val="00A0501B"/>
    <w:rsid w:val="00A14947"/>
    <w:rsid w:val="00A32A83"/>
    <w:rsid w:val="00A347C5"/>
    <w:rsid w:val="00A368DB"/>
    <w:rsid w:val="00A423AA"/>
    <w:rsid w:val="00A53009"/>
    <w:rsid w:val="00A53EC6"/>
    <w:rsid w:val="00A55C0F"/>
    <w:rsid w:val="00A63F02"/>
    <w:rsid w:val="00A71D6D"/>
    <w:rsid w:val="00A8713F"/>
    <w:rsid w:val="00A90BA1"/>
    <w:rsid w:val="00A93E72"/>
    <w:rsid w:val="00A97808"/>
    <w:rsid w:val="00A97A9A"/>
    <w:rsid w:val="00AA0671"/>
    <w:rsid w:val="00AA2531"/>
    <w:rsid w:val="00AB1E09"/>
    <w:rsid w:val="00AB5330"/>
    <w:rsid w:val="00AB7747"/>
    <w:rsid w:val="00AC14CE"/>
    <w:rsid w:val="00AC2A56"/>
    <w:rsid w:val="00AD055E"/>
    <w:rsid w:val="00AD47A7"/>
    <w:rsid w:val="00AE0554"/>
    <w:rsid w:val="00AE728D"/>
    <w:rsid w:val="00AF0CBF"/>
    <w:rsid w:val="00AF257F"/>
    <w:rsid w:val="00AF33CF"/>
    <w:rsid w:val="00AF4D50"/>
    <w:rsid w:val="00AF6179"/>
    <w:rsid w:val="00B1295A"/>
    <w:rsid w:val="00B20A45"/>
    <w:rsid w:val="00B22C5C"/>
    <w:rsid w:val="00B24F30"/>
    <w:rsid w:val="00B31ABF"/>
    <w:rsid w:val="00B33BE3"/>
    <w:rsid w:val="00B42269"/>
    <w:rsid w:val="00B47FC7"/>
    <w:rsid w:val="00B53B5D"/>
    <w:rsid w:val="00B6055E"/>
    <w:rsid w:val="00B6317D"/>
    <w:rsid w:val="00B7723F"/>
    <w:rsid w:val="00B80534"/>
    <w:rsid w:val="00B8176F"/>
    <w:rsid w:val="00B82BED"/>
    <w:rsid w:val="00B8433C"/>
    <w:rsid w:val="00B87491"/>
    <w:rsid w:val="00B87DCD"/>
    <w:rsid w:val="00B9003E"/>
    <w:rsid w:val="00B90D32"/>
    <w:rsid w:val="00BA0164"/>
    <w:rsid w:val="00BA29E9"/>
    <w:rsid w:val="00BA566F"/>
    <w:rsid w:val="00BA7142"/>
    <w:rsid w:val="00BB004E"/>
    <w:rsid w:val="00BB237C"/>
    <w:rsid w:val="00BB41A3"/>
    <w:rsid w:val="00BC32DC"/>
    <w:rsid w:val="00BC35B6"/>
    <w:rsid w:val="00BD1B51"/>
    <w:rsid w:val="00BD2917"/>
    <w:rsid w:val="00BD4596"/>
    <w:rsid w:val="00BD50A0"/>
    <w:rsid w:val="00BE0ED8"/>
    <w:rsid w:val="00BE1405"/>
    <w:rsid w:val="00BE312D"/>
    <w:rsid w:val="00BF1C20"/>
    <w:rsid w:val="00C10578"/>
    <w:rsid w:val="00C135BC"/>
    <w:rsid w:val="00C15C95"/>
    <w:rsid w:val="00C16B3D"/>
    <w:rsid w:val="00C2593A"/>
    <w:rsid w:val="00C2596A"/>
    <w:rsid w:val="00C27537"/>
    <w:rsid w:val="00C328FE"/>
    <w:rsid w:val="00C33507"/>
    <w:rsid w:val="00C4409D"/>
    <w:rsid w:val="00C44E72"/>
    <w:rsid w:val="00C45A06"/>
    <w:rsid w:val="00C47E5B"/>
    <w:rsid w:val="00C56FFA"/>
    <w:rsid w:val="00C61E4B"/>
    <w:rsid w:val="00C63673"/>
    <w:rsid w:val="00C64BFF"/>
    <w:rsid w:val="00C704E9"/>
    <w:rsid w:val="00C763C9"/>
    <w:rsid w:val="00C80057"/>
    <w:rsid w:val="00C82232"/>
    <w:rsid w:val="00C8275C"/>
    <w:rsid w:val="00C82913"/>
    <w:rsid w:val="00C972B1"/>
    <w:rsid w:val="00CA2CCE"/>
    <w:rsid w:val="00CA43FD"/>
    <w:rsid w:val="00CA6544"/>
    <w:rsid w:val="00CA7EF8"/>
    <w:rsid w:val="00CB7C21"/>
    <w:rsid w:val="00CC0E04"/>
    <w:rsid w:val="00CC489B"/>
    <w:rsid w:val="00CD2BCD"/>
    <w:rsid w:val="00CD3A4C"/>
    <w:rsid w:val="00CE10E9"/>
    <w:rsid w:val="00CE2910"/>
    <w:rsid w:val="00CE5393"/>
    <w:rsid w:val="00CF36BE"/>
    <w:rsid w:val="00CF6000"/>
    <w:rsid w:val="00D003F3"/>
    <w:rsid w:val="00D00A97"/>
    <w:rsid w:val="00D0364F"/>
    <w:rsid w:val="00D06834"/>
    <w:rsid w:val="00D13ADC"/>
    <w:rsid w:val="00D308ED"/>
    <w:rsid w:val="00D31CB9"/>
    <w:rsid w:val="00D36D86"/>
    <w:rsid w:val="00D428AA"/>
    <w:rsid w:val="00D46EDA"/>
    <w:rsid w:val="00D50A34"/>
    <w:rsid w:val="00D53E42"/>
    <w:rsid w:val="00D53EFA"/>
    <w:rsid w:val="00D5758E"/>
    <w:rsid w:val="00D63E40"/>
    <w:rsid w:val="00D92578"/>
    <w:rsid w:val="00D94A7C"/>
    <w:rsid w:val="00D95896"/>
    <w:rsid w:val="00DB2983"/>
    <w:rsid w:val="00DB4D7E"/>
    <w:rsid w:val="00DC1257"/>
    <w:rsid w:val="00DC3DC0"/>
    <w:rsid w:val="00DC5B2B"/>
    <w:rsid w:val="00DC6517"/>
    <w:rsid w:val="00DD10E7"/>
    <w:rsid w:val="00DD318D"/>
    <w:rsid w:val="00DE3F32"/>
    <w:rsid w:val="00DF2E12"/>
    <w:rsid w:val="00DF514A"/>
    <w:rsid w:val="00DF6690"/>
    <w:rsid w:val="00DF6804"/>
    <w:rsid w:val="00E0358D"/>
    <w:rsid w:val="00E04323"/>
    <w:rsid w:val="00E070A2"/>
    <w:rsid w:val="00E24D98"/>
    <w:rsid w:val="00E2656A"/>
    <w:rsid w:val="00E40EEA"/>
    <w:rsid w:val="00E412D0"/>
    <w:rsid w:val="00E45153"/>
    <w:rsid w:val="00E52FAC"/>
    <w:rsid w:val="00E56322"/>
    <w:rsid w:val="00E565C7"/>
    <w:rsid w:val="00E60982"/>
    <w:rsid w:val="00E62C62"/>
    <w:rsid w:val="00E63406"/>
    <w:rsid w:val="00E654C1"/>
    <w:rsid w:val="00E65A81"/>
    <w:rsid w:val="00E65D97"/>
    <w:rsid w:val="00E72A5A"/>
    <w:rsid w:val="00E73354"/>
    <w:rsid w:val="00E77E41"/>
    <w:rsid w:val="00E9242D"/>
    <w:rsid w:val="00EA4ED5"/>
    <w:rsid w:val="00EB5255"/>
    <w:rsid w:val="00EB5C47"/>
    <w:rsid w:val="00ED0639"/>
    <w:rsid w:val="00ED0D62"/>
    <w:rsid w:val="00ED66D8"/>
    <w:rsid w:val="00EF4755"/>
    <w:rsid w:val="00EF7135"/>
    <w:rsid w:val="00F027DB"/>
    <w:rsid w:val="00F1191B"/>
    <w:rsid w:val="00F14A7A"/>
    <w:rsid w:val="00F22985"/>
    <w:rsid w:val="00F3383E"/>
    <w:rsid w:val="00F465A7"/>
    <w:rsid w:val="00F50B7C"/>
    <w:rsid w:val="00F5166E"/>
    <w:rsid w:val="00F550E6"/>
    <w:rsid w:val="00F600A3"/>
    <w:rsid w:val="00F609DC"/>
    <w:rsid w:val="00F732A7"/>
    <w:rsid w:val="00F74345"/>
    <w:rsid w:val="00F80A0A"/>
    <w:rsid w:val="00F82B19"/>
    <w:rsid w:val="00F9212D"/>
    <w:rsid w:val="00F965DA"/>
    <w:rsid w:val="00FA406A"/>
    <w:rsid w:val="00FB503A"/>
    <w:rsid w:val="00FB516C"/>
    <w:rsid w:val="00FC2FBC"/>
    <w:rsid w:val="00FD0236"/>
    <w:rsid w:val="00FD0496"/>
    <w:rsid w:val="00FD18F4"/>
    <w:rsid w:val="00FD54DB"/>
    <w:rsid w:val="00FD619F"/>
    <w:rsid w:val="01290F7E"/>
    <w:rsid w:val="0159126E"/>
    <w:rsid w:val="015D1E09"/>
    <w:rsid w:val="01F16B83"/>
    <w:rsid w:val="020D0110"/>
    <w:rsid w:val="02152630"/>
    <w:rsid w:val="022C6E75"/>
    <w:rsid w:val="02697903"/>
    <w:rsid w:val="02725D63"/>
    <w:rsid w:val="02775378"/>
    <w:rsid w:val="027F0428"/>
    <w:rsid w:val="02CD1423"/>
    <w:rsid w:val="02F96569"/>
    <w:rsid w:val="03017D8D"/>
    <w:rsid w:val="0360439F"/>
    <w:rsid w:val="037E6D6A"/>
    <w:rsid w:val="039B3DC0"/>
    <w:rsid w:val="03EA7B21"/>
    <w:rsid w:val="03F245C6"/>
    <w:rsid w:val="03FE54CA"/>
    <w:rsid w:val="04AE1A74"/>
    <w:rsid w:val="04E6266A"/>
    <w:rsid w:val="05E600ED"/>
    <w:rsid w:val="05EC166E"/>
    <w:rsid w:val="05F83EAE"/>
    <w:rsid w:val="06260978"/>
    <w:rsid w:val="063E7D85"/>
    <w:rsid w:val="069546D1"/>
    <w:rsid w:val="06D824F6"/>
    <w:rsid w:val="06FE3F51"/>
    <w:rsid w:val="070677A2"/>
    <w:rsid w:val="07117105"/>
    <w:rsid w:val="07293586"/>
    <w:rsid w:val="07295285"/>
    <w:rsid w:val="07542555"/>
    <w:rsid w:val="07636392"/>
    <w:rsid w:val="07770C56"/>
    <w:rsid w:val="07AA38EF"/>
    <w:rsid w:val="07AE6A31"/>
    <w:rsid w:val="07C33CE3"/>
    <w:rsid w:val="07E15B19"/>
    <w:rsid w:val="081C2B71"/>
    <w:rsid w:val="089A7113"/>
    <w:rsid w:val="08ED5057"/>
    <w:rsid w:val="090A0FDC"/>
    <w:rsid w:val="091B5BE2"/>
    <w:rsid w:val="092217DD"/>
    <w:rsid w:val="093A7294"/>
    <w:rsid w:val="098A290C"/>
    <w:rsid w:val="09997F32"/>
    <w:rsid w:val="09B17130"/>
    <w:rsid w:val="0A067AB9"/>
    <w:rsid w:val="0A263993"/>
    <w:rsid w:val="0A2D3AC2"/>
    <w:rsid w:val="0A515D78"/>
    <w:rsid w:val="0A522D7C"/>
    <w:rsid w:val="0A640BE3"/>
    <w:rsid w:val="0A6A41AA"/>
    <w:rsid w:val="0AA52107"/>
    <w:rsid w:val="0AA755DF"/>
    <w:rsid w:val="0B0462EF"/>
    <w:rsid w:val="0B120D44"/>
    <w:rsid w:val="0B174296"/>
    <w:rsid w:val="0B2234DE"/>
    <w:rsid w:val="0B330D82"/>
    <w:rsid w:val="0B395CD0"/>
    <w:rsid w:val="0B4179C7"/>
    <w:rsid w:val="0B5F3925"/>
    <w:rsid w:val="0B8B47FB"/>
    <w:rsid w:val="0B900012"/>
    <w:rsid w:val="0BD27BF6"/>
    <w:rsid w:val="0C1B3CF0"/>
    <w:rsid w:val="0C3B3C7D"/>
    <w:rsid w:val="0C8F37B5"/>
    <w:rsid w:val="0C98483A"/>
    <w:rsid w:val="0CAB2EAE"/>
    <w:rsid w:val="0CD5539C"/>
    <w:rsid w:val="0D3F2056"/>
    <w:rsid w:val="0D621C7D"/>
    <w:rsid w:val="0DA26EE4"/>
    <w:rsid w:val="0DD56120"/>
    <w:rsid w:val="0E73034D"/>
    <w:rsid w:val="0E9B40A6"/>
    <w:rsid w:val="0EB116DB"/>
    <w:rsid w:val="0EBE5106"/>
    <w:rsid w:val="0EDB0C10"/>
    <w:rsid w:val="0F13775A"/>
    <w:rsid w:val="0F467CF1"/>
    <w:rsid w:val="0F530219"/>
    <w:rsid w:val="0F5F45FE"/>
    <w:rsid w:val="0F86211B"/>
    <w:rsid w:val="0F9A112B"/>
    <w:rsid w:val="100C3A77"/>
    <w:rsid w:val="106D2F64"/>
    <w:rsid w:val="10833C11"/>
    <w:rsid w:val="10B63710"/>
    <w:rsid w:val="10E548CC"/>
    <w:rsid w:val="10F10820"/>
    <w:rsid w:val="111C2F7A"/>
    <w:rsid w:val="11433359"/>
    <w:rsid w:val="116169AC"/>
    <w:rsid w:val="11665CA1"/>
    <w:rsid w:val="11771C5E"/>
    <w:rsid w:val="11B76014"/>
    <w:rsid w:val="11D92A73"/>
    <w:rsid w:val="1211524D"/>
    <w:rsid w:val="12296EE2"/>
    <w:rsid w:val="126A1452"/>
    <w:rsid w:val="126D2DCB"/>
    <w:rsid w:val="127D7377"/>
    <w:rsid w:val="12985FE9"/>
    <w:rsid w:val="12D15108"/>
    <w:rsid w:val="12F4585D"/>
    <w:rsid w:val="1302191C"/>
    <w:rsid w:val="132A2A6A"/>
    <w:rsid w:val="13347A75"/>
    <w:rsid w:val="1351114F"/>
    <w:rsid w:val="137C0841"/>
    <w:rsid w:val="13834292"/>
    <w:rsid w:val="13951726"/>
    <w:rsid w:val="13C907D0"/>
    <w:rsid w:val="13CA6C2B"/>
    <w:rsid w:val="13DE3793"/>
    <w:rsid w:val="14396509"/>
    <w:rsid w:val="149C503E"/>
    <w:rsid w:val="14DD2C3C"/>
    <w:rsid w:val="14F254C1"/>
    <w:rsid w:val="151E03AD"/>
    <w:rsid w:val="152010F9"/>
    <w:rsid w:val="154D4F5D"/>
    <w:rsid w:val="15624491"/>
    <w:rsid w:val="157E5D97"/>
    <w:rsid w:val="1581434C"/>
    <w:rsid w:val="15955C8B"/>
    <w:rsid w:val="15CB5997"/>
    <w:rsid w:val="15D91477"/>
    <w:rsid w:val="16087E1D"/>
    <w:rsid w:val="16DE1B96"/>
    <w:rsid w:val="170178A6"/>
    <w:rsid w:val="17575CCD"/>
    <w:rsid w:val="17701D14"/>
    <w:rsid w:val="17735226"/>
    <w:rsid w:val="17747460"/>
    <w:rsid w:val="179D15B9"/>
    <w:rsid w:val="17FD4E6A"/>
    <w:rsid w:val="187305B2"/>
    <w:rsid w:val="189F49AA"/>
    <w:rsid w:val="189F624C"/>
    <w:rsid w:val="18DA0235"/>
    <w:rsid w:val="18FE652B"/>
    <w:rsid w:val="19A77C3A"/>
    <w:rsid w:val="19C02350"/>
    <w:rsid w:val="19CC6580"/>
    <w:rsid w:val="1A1C66C0"/>
    <w:rsid w:val="1A42393B"/>
    <w:rsid w:val="1A487BAE"/>
    <w:rsid w:val="1A5A1E87"/>
    <w:rsid w:val="1A824A97"/>
    <w:rsid w:val="1AAD45DE"/>
    <w:rsid w:val="1ACE7DD2"/>
    <w:rsid w:val="1AF44089"/>
    <w:rsid w:val="1AFC73D8"/>
    <w:rsid w:val="1AFE531B"/>
    <w:rsid w:val="1B046F80"/>
    <w:rsid w:val="1B074BCB"/>
    <w:rsid w:val="1B1E01B6"/>
    <w:rsid w:val="1B3267B5"/>
    <w:rsid w:val="1B40161D"/>
    <w:rsid w:val="1B441859"/>
    <w:rsid w:val="1B535F10"/>
    <w:rsid w:val="1B5C1DDA"/>
    <w:rsid w:val="1B6606B1"/>
    <w:rsid w:val="1B68004B"/>
    <w:rsid w:val="1BD32C63"/>
    <w:rsid w:val="1BE81D0A"/>
    <w:rsid w:val="1BF918F9"/>
    <w:rsid w:val="1C5029CA"/>
    <w:rsid w:val="1C5E7925"/>
    <w:rsid w:val="1C6501A3"/>
    <w:rsid w:val="1C6B4D80"/>
    <w:rsid w:val="1C8270D1"/>
    <w:rsid w:val="1CDF6908"/>
    <w:rsid w:val="1CF76C05"/>
    <w:rsid w:val="1CFA6CBB"/>
    <w:rsid w:val="1CFD070F"/>
    <w:rsid w:val="1D237EC1"/>
    <w:rsid w:val="1D374FCD"/>
    <w:rsid w:val="1D5F6196"/>
    <w:rsid w:val="1D6132A5"/>
    <w:rsid w:val="1D8E56D5"/>
    <w:rsid w:val="1E0337AA"/>
    <w:rsid w:val="1E220EF7"/>
    <w:rsid w:val="1E566593"/>
    <w:rsid w:val="1E7477CD"/>
    <w:rsid w:val="1E7A43DA"/>
    <w:rsid w:val="1E831280"/>
    <w:rsid w:val="1E97362F"/>
    <w:rsid w:val="1EBC5C91"/>
    <w:rsid w:val="1F2C0029"/>
    <w:rsid w:val="1F5C40E9"/>
    <w:rsid w:val="1F610521"/>
    <w:rsid w:val="1FCD6C57"/>
    <w:rsid w:val="1FE73CCD"/>
    <w:rsid w:val="1FE7539E"/>
    <w:rsid w:val="1FEB6AEE"/>
    <w:rsid w:val="20163416"/>
    <w:rsid w:val="203018AF"/>
    <w:rsid w:val="20671BE0"/>
    <w:rsid w:val="20963CB8"/>
    <w:rsid w:val="20A81A1B"/>
    <w:rsid w:val="20B07FB6"/>
    <w:rsid w:val="20B646FB"/>
    <w:rsid w:val="20DD2ECA"/>
    <w:rsid w:val="21223D8B"/>
    <w:rsid w:val="21241556"/>
    <w:rsid w:val="213B74B1"/>
    <w:rsid w:val="215A2310"/>
    <w:rsid w:val="215D113C"/>
    <w:rsid w:val="2195184F"/>
    <w:rsid w:val="21DE318A"/>
    <w:rsid w:val="21EF5B80"/>
    <w:rsid w:val="21FD7BB3"/>
    <w:rsid w:val="222A7D7C"/>
    <w:rsid w:val="22576990"/>
    <w:rsid w:val="228F5CCE"/>
    <w:rsid w:val="22D73FEA"/>
    <w:rsid w:val="22D77469"/>
    <w:rsid w:val="22E42DC3"/>
    <w:rsid w:val="22F47480"/>
    <w:rsid w:val="22F70B27"/>
    <w:rsid w:val="22FA60A0"/>
    <w:rsid w:val="22FA6827"/>
    <w:rsid w:val="22FB33B4"/>
    <w:rsid w:val="23072DCF"/>
    <w:rsid w:val="233078F3"/>
    <w:rsid w:val="23AA5A8D"/>
    <w:rsid w:val="23DE1C48"/>
    <w:rsid w:val="23DE2F3A"/>
    <w:rsid w:val="240210CD"/>
    <w:rsid w:val="242951D9"/>
    <w:rsid w:val="248F795A"/>
    <w:rsid w:val="24BF09F7"/>
    <w:rsid w:val="24DC5446"/>
    <w:rsid w:val="24E7572C"/>
    <w:rsid w:val="24E94533"/>
    <w:rsid w:val="24ED56A6"/>
    <w:rsid w:val="251C512D"/>
    <w:rsid w:val="2529298F"/>
    <w:rsid w:val="252D53FE"/>
    <w:rsid w:val="253124B5"/>
    <w:rsid w:val="2532207F"/>
    <w:rsid w:val="2551497C"/>
    <w:rsid w:val="25A35A42"/>
    <w:rsid w:val="25EC2D81"/>
    <w:rsid w:val="26105F48"/>
    <w:rsid w:val="26AB75C6"/>
    <w:rsid w:val="26B97F35"/>
    <w:rsid w:val="27035CD7"/>
    <w:rsid w:val="274E7DCC"/>
    <w:rsid w:val="275B03E7"/>
    <w:rsid w:val="276C7B49"/>
    <w:rsid w:val="277057A2"/>
    <w:rsid w:val="27A61517"/>
    <w:rsid w:val="27BC75F1"/>
    <w:rsid w:val="27F67038"/>
    <w:rsid w:val="282656F7"/>
    <w:rsid w:val="287401A5"/>
    <w:rsid w:val="2876723D"/>
    <w:rsid w:val="28795280"/>
    <w:rsid w:val="287A2B67"/>
    <w:rsid w:val="28841159"/>
    <w:rsid w:val="2898015F"/>
    <w:rsid w:val="28D76D98"/>
    <w:rsid w:val="290336EA"/>
    <w:rsid w:val="291771C5"/>
    <w:rsid w:val="29206EB8"/>
    <w:rsid w:val="294B0B90"/>
    <w:rsid w:val="29595666"/>
    <w:rsid w:val="29634188"/>
    <w:rsid w:val="29874881"/>
    <w:rsid w:val="298C3A1B"/>
    <w:rsid w:val="29E325E0"/>
    <w:rsid w:val="29EE5815"/>
    <w:rsid w:val="29FA689B"/>
    <w:rsid w:val="2A415598"/>
    <w:rsid w:val="2A452503"/>
    <w:rsid w:val="2A4E6BE6"/>
    <w:rsid w:val="2AEE0593"/>
    <w:rsid w:val="2B536609"/>
    <w:rsid w:val="2B5613D9"/>
    <w:rsid w:val="2B621E5B"/>
    <w:rsid w:val="2B847C78"/>
    <w:rsid w:val="2B9C398B"/>
    <w:rsid w:val="2BA936A8"/>
    <w:rsid w:val="2BC058C2"/>
    <w:rsid w:val="2BF832AE"/>
    <w:rsid w:val="2C027DE9"/>
    <w:rsid w:val="2C067AE1"/>
    <w:rsid w:val="2C135476"/>
    <w:rsid w:val="2C315A5A"/>
    <w:rsid w:val="2C4B1C25"/>
    <w:rsid w:val="2C547A77"/>
    <w:rsid w:val="2C555D4A"/>
    <w:rsid w:val="2C836F01"/>
    <w:rsid w:val="2D5C5ABE"/>
    <w:rsid w:val="2D7B15E3"/>
    <w:rsid w:val="2D9E56F5"/>
    <w:rsid w:val="2E354D47"/>
    <w:rsid w:val="2E5F18DA"/>
    <w:rsid w:val="2E667F96"/>
    <w:rsid w:val="2E8226AB"/>
    <w:rsid w:val="2E8F1440"/>
    <w:rsid w:val="2F1D0815"/>
    <w:rsid w:val="2F3A3BDD"/>
    <w:rsid w:val="2F591977"/>
    <w:rsid w:val="2FC50D2B"/>
    <w:rsid w:val="2FCC59AF"/>
    <w:rsid w:val="2FD065E6"/>
    <w:rsid w:val="2FD96870"/>
    <w:rsid w:val="2FF511F2"/>
    <w:rsid w:val="300F4D1C"/>
    <w:rsid w:val="30444929"/>
    <w:rsid w:val="305364D4"/>
    <w:rsid w:val="30550CCF"/>
    <w:rsid w:val="30580BC9"/>
    <w:rsid w:val="307F60B4"/>
    <w:rsid w:val="30866DA2"/>
    <w:rsid w:val="30E55C97"/>
    <w:rsid w:val="30F1651D"/>
    <w:rsid w:val="311E2ED7"/>
    <w:rsid w:val="315065D4"/>
    <w:rsid w:val="315619EE"/>
    <w:rsid w:val="315C449C"/>
    <w:rsid w:val="31784EB1"/>
    <w:rsid w:val="31A00E32"/>
    <w:rsid w:val="31B82709"/>
    <w:rsid w:val="31D05482"/>
    <w:rsid w:val="31D67864"/>
    <w:rsid w:val="31D97FB7"/>
    <w:rsid w:val="32400B34"/>
    <w:rsid w:val="32407663"/>
    <w:rsid w:val="329E6876"/>
    <w:rsid w:val="32A42CF2"/>
    <w:rsid w:val="32C30D18"/>
    <w:rsid w:val="32CA7555"/>
    <w:rsid w:val="32D221AA"/>
    <w:rsid w:val="32F87CFE"/>
    <w:rsid w:val="333015F2"/>
    <w:rsid w:val="334B6320"/>
    <w:rsid w:val="338F3435"/>
    <w:rsid w:val="33BB3ABE"/>
    <w:rsid w:val="33D934D4"/>
    <w:rsid w:val="33FE2F6A"/>
    <w:rsid w:val="340A2CA4"/>
    <w:rsid w:val="340E07E5"/>
    <w:rsid w:val="34235BF7"/>
    <w:rsid w:val="34374935"/>
    <w:rsid w:val="34B25ED2"/>
    <w:rsid w:val="34D03DA6"/>
    <w:rsid w:val="354E3F3E"/>
    <w:rsid w:val="355A3EDC"/>
    <w:rsid w:val="356579BA"/>
    <w:rsid w:val="357C23C9"/>
    <w:rsid w:val="358C5FA8"/>
    <w:rsid w:val="35C15DF1"/>
    <w:rsid w:val="36074A7F"/>
    <w:rsid w:val="361323A1"/>
    <w:rsid w:val="36184DBD"/>
    <w:rsid w:val="36923549"/>
    <w:rsid w:val="36B75FBF"/>
    <w:rsid w:val="36BD0C45"/>
    <w:rsid w:val="36F32FEF"/>
    <w:rsid w:val="37164DF5"/>
    <w:rsid w:val="3781684D"/>
    <w:rsid w:val="37A170BB"/>
    <w:rsid w:val="37E00298"/>
    <w:rsid w:val="385629DE"/>
    <w:rsid w:val="3859742D"/>
    <w:rsid w:val="385C7AD3"/>
    <w:rsid w:val="386D5F01"/>
    <w:rsid w:val="388C54AA"/>
    <w:rsid w:val="38A31306"/>
    <w:rsid w:val="38B302F9"/>
    <w:rsid w:val="38BE3EDD"/>
    <w:rsid w:val="38C50A0D"/>
    <w:rsid w:val="38F12CD3"/>
    <w:rsid w:val="38F94775"/>
    <w:rsid w:val="3920711C"/>
    <w:rsid w:val="392971ED"/>
    <w:rsid w:val="39325651"/>
    <w:rsid w:val="395267B2"/>
    <w:rsid w:val="399731D5"/>
    <w:rsid w:val="39D105C4"/>
    <w:rsid w:val="3A230594"/>
    <w:rsid w:val="3A6D7F6E"/>
    <w:rsid w:val="3A872856"/>
    <w:rsid w:val="3B3763D1"/>
    <w:rsid w:val="3B64316A"/>
    <w:rsid w:val="3B950B19"/>
    <w:rsid w:val="3BA00F45"/>
    <w:rsid w:val="3BB367AA"/>
    <w:rsid w:val="3BB42573"/>
    <w:rsid w:val="3C0B2B89"/>
    <w:rsid w:val="3C2F6E1E"/>
    <w:rsid w:val="3C3138E7"/>
    <w:rsid w:val="3C4F64BA"/>
    <w:rsid w:val="3C654F9E"/>
    <w:rsid w:val="3C7C5835"/>
    <w:rsid w:val="3C9D297B"/>
    <w:rsid w:val="3CD13CB4"/>
    <w:rsid w:val="3CDA245A"/>
    <w:rsid w:val="3D1E06B7"/>
    <w:rsid w:val="3D2832C7"/>
    <w:rsid w:val="3D406863"/>
    <w:rsid w:val="3D66786F"/>
    <w:rsid w:val="3D6A5F84"/>
    <w:rsid w:val="3D7210D1"/>
    <w:rsid w:val="3D7F6840"/>
    <w:rsid w:val="3DA059A7"/>
    <w:rsid w:val="3DA84D13"/>
    <w:rsid w:val="3DB87895"/>
    <w:rsid w:val="3DD45051"/>
    <w:rsid w:val="3E185739"/>
    <w:rsid w:val="3E2F65BE"/>
    <w:rsid w:val="3E9530EA"/>
    <w:rsid w:val="3E9A35EF"/>
    <w:rsid w:val="3EDA0523"/>
    <w:rsid w:val="3F2E643D"/>
    <w:rsid w:val="3F394564"/>
    <w:rsid w:val="3F80563C"/>
    <w:rsid w:val="3FA64F89"/>
    <w:rsid w:val="407A6407"/>
    <w:rsid w:val="40867227"/>
    <w:rsid w:val="40A60B6A"/>
    <w:rsid w:val="411918A4"/>
    <w:rsid w:val="4165167C"/>
    <w:rsid w:val="41766CF7"/>
    <w:rsid w:val="41A427DC"/>
    <w:rsid w:val="41AC096A"/>
    <w:rsid w:val="41F721F9"/>
    <w:rsid w:val="4200449D"/>
    <w:rsid w:val="42251EAE"/>
    <w:rsid w:val="423A3BCC"/>
    <w:rsid w:val="424E57D2"/>
    <w:rsid w:val="42B26C49"/>
    <w:rsid w:val="42FE1AA9"/>
    <w:rsid w:val="430B38FA"/>
    <w:rsid w:val="433A6FE6"/>
    <w:rsid w:val="433E2FBD"/>
    <w:rsid w:val="43480868"/>
    <w:rsid w:val="434B5F61"/>
    <w:rsid w:val="4350713C"/>
    <w:rsid w:val="43543B6A"/>
    <w:rsid w:val="43645D8D"/>
    <w:rsid w:val="436653E0"/>
    <w:rsid w:val="43813F4D"/>
    <w:rsid w:val="43860D47"/>
    <w:rsid w:val="43BB3965"/>
    <w:rsid w:val="43C4431A"/>
    <w:rsid w:val="44146C00"/>
    <w:rsid w:val="44235629"/>
    <w:rsid w:val="44A03B48"/>
    <w:rsid w:val="44B951CC"/>
    <w:rsid w:val="44CD14E0"/>
    <w:rsid w:val="44E3271E"/>
    <w:rsid w:val="44EB665E"/>
    <w:rsid w:val="44F20B0B"/>
    <w:rsid w:val="452E5F4C"/>
    <w:rsid w:val="453045FE"/>
    <w:rsid w:val="455403ED"/>
    <w:rsid w:val="45612018"/>
    <w:rsid w:val="456561AE"/>
    <w:rsid w:val="458946E9"/>
    <w:rsid w:val="45A47C0E"/>
    <w:rsid w:val="45D10C6B"/>
    <w:rsid w:val="45D3296A"/>
    <w:rsid w:val="45EF0547"/>
    <w:rsid w:val="46577FD6"/>
    <w:rsid w:val="466F3B42"/>
    <w:rsid w:val="46732CEC"/>
    <w:rsid w:val="468E5EB9"/>
    <w:rsid w:val="46D955A7"/>
    <w:rsid w:val="470F1ACF"/>
    <w:rsid w:val="47133957"/>
    <w:rsid w:val="471A2F37"/>
    <w:rsid w:val="478F0B12"/>
    <w:rsid w:val="47A07E0C"/>
    <w:rsid w:val="48066BEC"/>
    <w:rsid w:val="480F248E"/>
    <w:rsid w:val="48290A7E"/>
    <w:rsid w:val="482B3488"/>
    <w:rsid w:val="482C64D1"/>
    <w:rsid w:val="484A3AEB"/>
    <w:rsid w:val="4870272E"/>
    <w:rsid w:val="487A0169"/>
    <w:rsid w:val="487A531F"/>
    <w:rsid w:val="48BE3F7C"/>
    <w:rsid w:val="48CD4716"/>
    <w:rsid w:val="48FA020D"/>
    <w:rsid w:val="490A0DD9"/>
    <w:rsid w:val="490E5A67"/>
    <w:rsid w:val="492E7EB7"/>
    <w:rsid w:val="497910D0"/>
    <w:rsid w:val="49D01F81"/>
    <w:rsid w:val="49DB0384"/>
    <w:rsid w:val="49DB4CBE"/>
    <w:rsid w:val="49DC7715"/>
    <w:rsid w:val="4A023139"/>
    <w:rsid w:val="4A0E360F"/>
    <w:rsid w:val="4A1C4729"/>
    <w:rsid w:val="4A2C2704"/>
    <w:rsid w:val="4A3E12D8"/>
    <w:rsid w:val="4A456A6F"/>
    <w:rsid w:val="4A4763B9"/>
    <w:rsid w:val="4A4A1FB3"/>
    <w:rsid w:val="4A6E08CF"/>
    <w:rsid w:val="4A7B576F"/>
    <w:rsid w:val="4A7D4C52"/>
    <w:rsid w:val="4AF561A9"/>
    <w:rsid w:val="4B0B32DF"/>
    <w:rsid w:val="4B1D2808"/>
    <w:rsid w:val="4B2940DE"/>
    <w:rsid w:val="4B294B29"/>
    <w:rsid w:val="4BA04B19"/>
    <w:rsid w:val="4C4A0649"/>
    <w:rsid w:val="4C4A1E3A"/>
    <w:rsid w:val="4C4E27A4"/>
    <w:rsid w:val="4C775558"/>
    <w:rsid w:val="4C7E5ECA"/>
    <w:rsid w:val="4C827BC4"/>
    <w:rsid w:val="4C876AA5"/>
    <w:rsid w:val="4CA65A72"/>
    <w:rsid w:val="4D0E00FB"/>
    <w:rsid w:val="4D0F6CC6"/>
    <w:rsid w:val="4D176606"/>
    <w:rsid w:val="4D291727"/>
    <w:rsid w:val="4D381304"/>
    <w:rsid w:val="4D662FF9"/>
    <w:rsid w:val="4DEC4FB0"/>
    <w:rsid w:val="4E075D8A"/>
    <w:rsid w:val="4E2D4165"/>
    <w:rsid w:val="4E4F3D55"/>
    <w:rsid w:val="4E682E10"/>
    <w:rsid w:val="4EC00FAD"/>
    <w:rsid w:val="4EC866B8"/>
    <w:rsid w:val="4F4A0D0D"/>
    <w:rsid w:val="4F4B5268"/>
    <w:rsid w:val="4F5A37B4"/>
    <w:rsid w:val="4F862675"/>
    <w:rsid w:val="4F883169"/>
    <w:rsid w:val="4F9843DC"/>
    <w:rsid w:val="4F9E62D6"/>
    <w:rsid w:val="4FA91C33"/>
    <w:rsid w:val="4FAD159C"/>
    <w:rsid w:val="4FC01044"/>
    <w:rsid w:val="4FC62A8C"/>
    <w:rsid w:val="4FE20F0D"/>
    <w:rsid w:val="4FE51552"/>
    <w:rsid w:val="4FFA4D6A"/>
    <w:rsid w:val="500734D9"/>
    <w:rsid w:val="501A4E58"/>
    <w:rsid w:val="501F607B"/>
    <w:rsid w:val="50327F04"/>
    <w:rsid w:val="503F41A8"/>
    <w:rsid w:val="504E2BEF"/>
    <w:rsid w:val="50504C4B"/>
    <w:rsid w:val="50630D8E"/>
    <w:rsid w:val="507C6B19"/>
    <w:rsid w:val="508F742B"/>
    <w:rsid w:val="50946328"/>
    <w:rsid w:val="509C6E7C"/>
    <w:rsid w:val="50D16C38"/>
    <w:rsid w:val="50E904A1"/>
    <w:rsid w:val="51066353"/>
    <w:rsid w:val="51441139"/>
    <w:rsid w:val="51562BBC"/>
    <w:rsid w:val="5162104E"/>
    <w:rsid w:val="516B538E"/>
    <w:rsid w:val="51791239"/>
    <w:rsid w:val="518C1FFF"/>
    <w:rsid w:val="51ED4C20"/>
    <w:rsid w:val="52097978"/>
    <w:rsid w:val="5245699D"/>
    <w:rsid w:val="52C309CF"/>
    <w:rsid w:val="53035F10"/>
    <w:rsid w:val="53235DE4"/>
    <w:rsid w:val="533E3734"/>
    <w:rsid w:val="53787ABC"/>
    <w:rsid w:val="53A039CC"/>
    <w:rsid w:val="53A1505A"/>
    <w:rsid w:val="53D77878"/>
    <w:rsid w:val="54063E08"/>
    <w:rsid w:val="5407428A"/>
    <w:rsid w:val="542222DB"/>
    <w:rsid w:val="543437E8"/>
    <w:rsid w:val="54492AD7"/>
    <w:rsid w:val="54646E83"/>
    <w:rsid w:val="549F7815"/>
    <w:rsid w:val="54BC61F1"/>
    <w:rsid w:val="54D97871"/>
    <w:rsid w:val="54E51EE1"/>
    <w:rsid w:val="54F73313"/>
    <w:rsid w:val="54F80955"/>
    <w:rsid w:val="555170A7"/>
    <w:rsid w:val="55760C1C"/>
    <w:rsid w:val="5587536D"/>
    <w:rsid w:val="559B174B"/>
    <w:rsid w:val="55BF796E"/>
    <w:rsid w:val="55CE0CF4"/>
    <w:rsid w:val="55D35705"/>
    <w:rsid w:val="55FE3993"/>
    <w:rsid w:val="561F173D"/>
    <w:rsid w:val="56285648"/>
    <w:rsid w:val="5647080A"/>
    <w:rsid w:val="56B22A9C"/>
    <w:rsid w:val="56B440F1"/>
    <w:rsid w:val="56C664B2"/>
    <w:rsid w:val="56C75F32"/>
    <w:rsid w:val="57265CDF"/>
    <w:rsid w:val="5743034A"/>
    <w:rsid w:val="574D387C"/>
    <w:rsid w:val="57795770"/>
    <w:rsid w:val="57B72A76"/>
    <w:rsid w:val="57C3426C"/>
    <w:rsid w:val="57CE1F93"/>
    <w:rsid w:val="57D762A0"/>
    <w:rsid w:val="57DF2697"/>
    <w:rsid w:val="58561215"/>
    <w:rsid w:val="588743D1"/>
    <w:rsid w:val="5887701A"/>
    <w:rsid w:val="58885FE9"/>
    <w:rsid w:val="59170968"/>
    <w:rsid w:val="591D4609"/>
    <w:rsid w:val="595256A2"/>
    <w:rsid w:val="59AF0BA0"/>
    <w:rsid w:val="59C0439F"/>
    <w:rsid w:val="5A1917E7"/>
    <w:rsid w:val="5A694251"/>
    <w:rsid w:val="5AA412FE"/>
    <w:rsid w:val="5ABE2233"/>
    <w:rsid w:val="5AC21669"/>
    <w:rsid w:val="5B033D1B"/>
    <w:rsid w:val="5B574A14"/>
    <w:rsid w:val="5B762629"/>
    <w:rsid w:val="5BBE156E"/>
    <w:rsid w:val="5BDF5D95"/>
    <w:rsid w:val="5BFE7528"/>
    <w:rsid w:val="5C031DC6"/>
    <w:rsid w:val="5C1B648F"/>
    <w:rsid w:val="5C9B540C"/>
    <w:rsid w:val="5CAF2C65"/>
    <w:rsid w:val="5CF55D34"/>
    <w:rsid w:val="5CFE77BA"/>
    <w:rsid w:val="5D933931"/>
    <w:rsid w:val="5E1331BD"/>
    <w:rsid w:val="5E2467F1"/>
    <w:rsid w:val="5E836503"/>
    <w:rsid w:val="5EB03477"/>
    <w:rsid w:val="5F1A2B43"/>
    <w:rsid w:val="5F4F4A3B"/>
    <w:rsid w:val="5F5668FA"/>
    <w:rsid w:val="5F7D444D"/>
    <w:rsid w:val="5FA250FD"/>
    <w:rsid w:val="5FB837BB"/>
    <w:rsid w:val="5FDD486C"/>
    <w:rsid w:val="5FE07D05"/>
    <w:rsid w:val="5FF0537D"/>
    <w:rsid w:val="60772004"/>
    <w:rsid w:val="60CC405A"/>
    <w:rsid w:val="60E55E96"/>
    <w:rsid w:val="618E3791"/>
    <w:rsid w:val="61DE2022"/>
    <w:rsid w:val="61E215D8"/>
    <w:rsid w:val="6218252A"/>
    <w:rsid w:val="6219424F"/>
    <w:rsid w:val="621B3775"/>
    <w:rsid w:val="622A34BA"/>
    <w:rsid w:val="62364782"/>
    <w:rsid w:val="62704667"/>
    <w:rsid w:val="627209BD"/>
    <w:rsid w:val="628D453E"/>
    <w:rsid w:val="62B97A77"/>
    <w:rsid w:val="6381271D"/>
    <w:rsid w:val="6394356A"/>
    <w:rsid w:val="63BC5E0F"/>
    <w:rsid w:val="63C0679F"/>
    <w:rsid w:val="63C61B2C"/>
    <w:rsid w:val="63D40BE9"/>
    <w:rsid w:val="64102431"/>
    <w:rsid w:val="641F1376"/>
    <w:rsid w:val="644E38AC"/>
    <w:rsid w:val="645962D8"/>
    <w:rsid w:val="645F6037"/>
    <w:rsid w:val="64790A93"/>
    <w:rsid w:val="64963B22"/>
    <w:rsid w:val="64A5243A"/>
    <w:rsid w:val="64E27FE8"/>
    <w:rsid w:val="64F531DE"/>
    <w:rsid w:val="650D3B3E"/>
    <w:rsid w:val="65143156"/>
    <w:rsid w:val="65197815"/>
    <w:rsid w:val="65373578"/>
    <w:rsid w:val="653A6A72"/>
    <w:rsid w:val="65433AB8"/>
    <w:rsid w:val="66130A5F"/>
    <w:rsid w:val="661471AD"/>
    <w:rsid w:val="667A2C1A"/>
    <w:rsid w:val="669929BC"/>
    <w:rsid w:val="66A934EB"/>
    <w:rsid w:val="66BD2ED2"/>
    <w:rsid w:val="67005B28"/>
    <w:rsid w:val="671F124A"/>
    <w:rsid w:val="677A33C6"/>
    <w:rsid w:val="67D06207"/>
    <w:rsid w:val="68192BE2"/>
    <w:rsid w:val="68194418"/>
    <w:rsid w:val="681F6961"/>
    <w:rsid w:val="68610A2F"/>
    <w:rsid w:val="68656604"/>
    <w:rsid w:val="68660FC4"/>
    <w:rsid w:val="68805514"/>
    <w:rsid w:val="68AE7F48"/>
    <w:rsid w:val="68B92171"/>
    <w:rsid w:val="68BB45C6"/>
    <w:rsid w:val="68D41164"/>
    <w:rsid w:val="68EB0F23"/>
    <w:rsid w:val="68FC32B6"/>
    <w:rsid w:val="69316E2F"/>
    <w:rsid w:val="694E2071"/>
    <w:rsid w:val="69605D8B"/>
    <w:rsid w:val="69766163"/>
    <w:rsid w:val="697A3B33"/>
    <w:rsid w:val="69835443"/>
    <w:rsid w:val="69951B60"/>
    <w:rsid w:val="69D44760"/>
    <w:rsid w:val="69D570D9"/>
    <w:rsid w:val="69D600FC"/>
    <w:rsid w:val="6A0C3223"/>
    <w:rsid w:val="6A452A92"/>
    <w:rsid w:val="6A520EC7"/>
    <w:rsid w:val="6A6E0EB8"/>
    <w:rsid w:val="6A944FAF"/>
    <w:rsid w:val="6AA632B9"/>
    <w:rsid w:val="6ACB4EE7"/>
    <w:rsid w:val="6AD20E27"/>
    <w:rsid w:val="6AF87E20"/>
    <w:rsid w:val="6AF91631"/>
    <w:rsid w:val="6B1645DB"/>
    <w:rsid w:val="6B322639"/>
    <w:rsid w:val="6B523E73"/>
    <w:rsid w:val="6B784632"/>
    <w:rsid w:val="6B8D05A0"/>
    <w:rsid w:val="6BBC753E"/>
    <w:rsid w:val="6BDD159D"/>
    <w:rsid w:val="6C1733DA"/>
    <w:rsid w:val="6C4C227F"/>
    <w:rsid w:val="6C636C38"/>
    <w:rsid w:val="6C845C77"/>
    <w:rsid w:val="6CE674F2"/>
    <w:rsid w:val="6D3204BB"/>
    <w:rsid w:val="6D573A3C"/>
    <w:rsid w:val="6DB34098"/>
    <w:rsid w:val="6DB545B6"/>
    <w:rsid w:val="6DC02F24"/>
    <w:rsid w:val="6DDE4498"/>
    <w:rsid w:val="6DE02FB4"/>
    <w:rsid w:val="6DF5452E"/>
    <w:rsid w:val="6E481C5B"/>
    <w:rsid w:val="6E484B17"/>
    <w:rsid w:val="6E514CED"/>
    <w:rsid w:val="6E5D3B9C"/>
    <w:rsid w:val="6EB563D5"/>
    <w:rsid w:val="6ED92677"/>
    <w:rsid w:val="6F225983"/>
    <w:rsid w:val="6F5C2C3E"/>
    <w:rsid w:val="6F7F0813"/>
    <w:rsid w:val="6F9C032D"/>
    <w:rsid w:val="6FA6790C"/>
    <w:rsid w:val="6FEF684F"/>
    <w:rsid w:val="6FFC5590"/>
    <w:rsid w:val="700A0487"/>
    <w:rsid w:val="702459EC"/>
    <w:rsid w:val="706D1DD0"/>
    <w:rsid w:val="70705704"/>
    <w:rsid w:val="70754461"/>
    <w:rsid w:val="70856B87"/>
    <w:rsid w:val="70992649"/>
    <w:rsid w:val="70D133B4"/>
    <w:rsid w:val="70D527EE"/>
    <w:rsid w:val="70F133F4"/>
    <w:rsid w:val="71010292"/>
    <w:rsid w:val="712A5600"/>
    <w:rsid w:val="71394A93"/>
    <w:rsid w:val="715B5300"/>
    <w:rsid w:val="717604C9"/>
    <w:rsid w:val="71A87F57"/>
    <w:rsid w:val="71AC6D4D"/>
    <w:rsid w:val="71D27F8A"/>
    <w:rsid w:val="71D632B2"/>
    <w:rsid w:val="723A5B63"/>
    <w:rsid w:val="724E315F"/>
    <w:rsid w:val="72553024"/>
    <w:rsid w:val="72653DD5"/>
    <w:rsid w:val="726D4491"/>
    <w:rsid w:val="728F2A53"/>
    <w:rsid w:val="729624F0"/>
    <w:rsid w:val="72A44D88"/>
    <w:rsid w:val="72CB7383"/>
    <w:rsid w:val="730D6475"/>
    <w:rsid w:val="73122968"/>
    <w:rsid w:val="731F5D5E"/>
    <w:rsid w:val="7337496A"/>
    <w:rsid w:val="734554F8"/>
    <w:rsid w:val="73605425"/>
    <w:rsid w:val="73944EFA"/>
    <w:rsid w:val="73C51AD5"/>
    <w:rsid w:val="73EA4857"/>
    <w:rsid w:val="740813AD"/>
    <w:rsid w:val="741A4493"/>
    <w:rsid w:val="741E793C"/>
    <w:rsid w:val="741F5AD0"/>
    <w:rsid w:val="742B32BA"/>
    <w:rsid w:val="742C63FD"/>
    <w:rsid w:val="744D2AE6"/>
    <w:rsid w:val="745E3944"/>
    <w:rsid w:val="74D831BB"/>
    <w:rsid w:val="75125765"/>
    <w:rsid w:val="75740D1A"/>
    <w:rsid w:val="7592449B"/>
    <w:rsid w:val="75945AE9"/>
    <w:rsid w:val="75CA59F3"/>
    <w:rsid w:val="7635099D"/>
    <w:rsid w:val="767E6ABB"/>
    <w:rsid w:val="767F473B"/>
    <w:rsid w:val="76AA080D"/>
    <w:rsid w:val="77762421"/>
    <w:rsid w:val="779571D0"/>
    <w:rsid w:val="77B56B1F"/>
    <w:rsid w:val="77C721B0"/>
    <w:rsid w:val="77D50A41"/>
    <w:rsid w:val="77EC365F"/>
    <w:rsid w:val="780F09F4"/>
    <w:rsid w:val="78367D00"/>
    <w:rsid w:val="78A90480"/>
    <w:rsid w:val="794818C7"/>
    <w:rsid w:val="794B223C"/>
    <w:rsid w:val="795238E9"/>
    <w:rsid w:val="79636B31"/>
    <w:rsid w:val="798066D1"/>
    <w:rsid w:val="79A945FA"/>
    <w:rsid w:val="79AF3D06"/>
    <w:rsid w:val="79C84D6D"/>
    <w:rsid w:val="7A364017"/>
    <w:rsid w:val="7A8265E1"/>
    <w:rsid w:val="7ADC37FF"/>
    <w:rsid w:val="7AEB6A98"/>
    <w:rsid w:val="7AEE7323"/>
    <w:rsid w:val="7B0C4D70"/>
    <w:rsid w:val="7B381C55"/>
    <w:rsid w:val="7B686D42"/>
    <w:rsid w:val="7B841746"/>
    <w:rsid w:val="7B95154C"/>
    <w:rsid w:val="7C157782"/>
    <w:rsid w:val="7C227782"/>
    <w:rsid w:val="7C3E5EB4"/>
    <w:rsid w:val="7C6C5AC7"/>
    <w:rsid w:val="7CB20C34"/>
    <w:rsid w:val="7CC6544B"/>
    <w:rsid w:val="7CE75796"/>
    <w:rsid w:val="7CE818E1"/>
    <w:rsid w:val="7CED7166"/>
    <w:rsid w:val="7CF35AF2"/>
    <w:rsid w:val="7D0239FF"/>
    <w:rsid w:val="7D0D7A45"/>
    <w:rsid w:val="7D3A261B"/>
    <w:rsid w:val="7D5E40CD"/>
    <w:rsid w:val="7D646CF6"/>
    <w:rsid w:val="7DBA2AE5"/>
    <w:rsid w:val="7DCD56F2"/>
    <w:rsid w:val="7DD401F2"/>
    <w:rsid w:val="7DFB18AB"/>
    <w:rsid w:val="7E0230E5"/>
    <w:rsid w:val="7E030C2C"/>
    <w:rsid w:val="7E0724A9"/>
    <w:rsid w:val="7E4621A9"/>
    <w:rsid w:val="7E7D21DF"/>
    <w:rsid w:val="7ECF7F17"/>
    <w:rsid w:val="7F001CE7"/>
    <w:rsid w:val="7F354EB8"/>
    <w:rsid w:val="7F501A43"/>
    <w:rsid w:val="7F997C4E"/>
    <w:rsid w:val="7FBE2EED"/>
    <w:rsid w:val="7FE47E50"/>
    <w:rsid w:val="F7F78672"/>
    <w:rsid w:val="FBDFBEC3"/>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nhideWhenUsed="0" w:uiPriority="0" w:semiHidden="0" w:name="heading 4" w:locked="1"/>
    <w:lsdException w:qFormat="1" w:unhideWhenUsed="0" w:uiPriority="9" w:semiHidden="0" w:name="heading 5" w:locked="1"/>
    <w:lsdException w:qFormat="1" w:unhideWhenUsed="0" w:uiPriority="0" w:semiHidden="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1"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qFormat="1" w:unhideWhenUsed="0" w:uiPriority="39"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99"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unhideWhenUsed/>
    <w:qFormat/>
    <w:locked/>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paragraph" w:styleId="4">
    <w:name w:val="heading 3"/>
    <w:basedOn w:val="1"/>
    <w:next w:val="1"/>
    <w:unhideWhenUsed/>
    <w:qFormat/>
    <w:locked/>
    <w:uiPriority w:val="0"/>
    <w:pPr>
      <w:keepLines/>
      <w:widowControl w:val="0"/>
      <w:spacing w:before="0" w:beforeAutospacing="0" w:after="0" w:afterAutospacing="0" w:line="520" w:lineRule="exact"/>
      <w:ind w:left="0" w:right="0"/>
      <w:jc w:val="both"/>
      <w:outlineLvl w:val="2"/>
    </w:pPr>
    <w:rPr>
      <w:rFonts w:hint="eastAsia" w:ascii="宋体" w:hAnsi="宋体" w:eastAsia="宋体" w:cs="宋体"/>
      <w:b/>
      <w:kern w:val="0"/>
      <w:sz w:val="28"/>
      <w:szCs w:val="28"/>
      <w:lang w:val="en-US" w:eastAsia="zh-CN"/>
    </w:rPr>
  </w:style>
  <w:style w:type="paragraph" w:styleId="5">
    <w:name w:val="heading 4"/>
    <w:basedOn w:val="1"/>
    <w:next w:val="1"/>
    <w:qFormat/>
    <w:locked/>
    <w:uiPriority w:val="0"/>
    <w:pPr>
      <w:keepNext/>
      <w:keepLines/>
      <w:widowControl/>
      <w:numPr>
        <w:ilvl w:val="3"/>
        <w:numId w:val="1"/>
      </w:numPr>
      <w:spacing w:line="360" w:lineRule="auto"/>
      <w:jc w:val="left"/>
      <w:outlineLvl w:val="3"/>
    </w:pPr>
    <w:rPr>
      <w:b/>
      <w:spacing w:val="-4"/>
      <w:kern w:val="28"/>
      <w:sz w:val="24"/>
    </w:rPr>
  </w:style>
  <w:style w:type="paragraph" w:styleId="6">
    <w:name w:val="heading 5"/>
    <w:basedOn w:val="1"/>
    <w:next w:val="1"/>
    <w:link w:val="42"/>
    <w:qFormat/>
    <w:locked/>
    <w:uiPriority w:val="9"/>
    <w:pPr>
      <w:keepNext/>
      <w:keepLines/>
      <w:spacing w:before="280" w:after="290" w:line="376" w:lineRule="auto"/>
      <w:outlineLvl w:val="4"/>
    </w:pPr>
    <w:rPr>
      <w:b/>
      <w:bCs/>
      <w:sz w:val="28"/>
      <w:szCs w:val="28"/>
    </w:rPr>
  </w:style>
  <w:style w:type="paragraph" w:styleId="7">
    <w:name w:val="heading 6"/>
    <w:basedOn w:val="1"/>
    <w:next w:val="1"/>
    <w:qFormat/>
    <w:locked/>
    <w:uiPriority w:val="0"/>
    <w:pPr>
      <w:keepNext/>
      <w:keepLines/>
      <w:spacing w:before="240" w:after="64" w:line="320" w:lineRule="auto"/>
      <w:outlineLvl w:val="5"/>
    </w:pPr>
    <w:rPr>
      <w:rFonts w:ascii="Arial" w:hAnsi="Arial" w:eastAsia="黑体"/>
      <w:b/>
      <w:bCs/>
      <w:sz w:val="24"/>
    </w:rPr>
  </w:style>
  <w:style w:type="character" w:default="1" w:styleId="33">
    <w:name w:val="Default Paragraph Font"/>
    <w:semiHidden/>
    <w:qFormat/>
    <w:uiPriority w:val="0"/>
  </w:style>
  <w:style w:type="table" w:default="1" w:styleId="31">
    <w:name w:val="Normal Table"/>
    <w:semiHidden/>
    <w:qFormat/>
    <w:uiPriority w:val="0"/>
    <w:tblPr>
      <w:tblCellMar>
        <w:top w:w="0" w:type="dxa"/>
        <w:left w:w="108" w:type="dxa"/>
        <w:bottom w:w="0" w:type="dxa"/>
        <w:right w:w="108" w:type="dxa"/>
      </w:tblCellMar>
    </w:tblPr>
  </w:style>
  <w:style w:type="paragraph" w:styleId="8">
    <w:name w:val="Normal Indent"/>
    <w:basedOn w:val="1"/>
    <w:qFormat/>
    <w:locked/>
    <w:uiPriority w:val="0"/>
    <w:pPr>
      <w:ind w:firstLine="420"/>
    </w:pPr>
    <w:rPr>
      <w:szCs w:val="21"/>
      <w:u w:val="none" w:color="000000"/>
    </w:rPr>
  </w:style>
  <w:style w:type="paragraph" w:styleId="9">
    <w:name w:val="caption"/>
    <w:basedOn w:val="1"/>
    <w:next w:val="1"/>
    <w:qFormat/>
    <w:locked/>
    <w:uiPriority w:val="0"/>
    <w:pPr>
      <w:spacing w:line="500" w:lineRule="exact"/>
      <w:jc w:val="center"/>
    </w:pPr>
    <w:rPr>
      <w:rFonts w:ascii="Times New Roman" w:hAnsi="Times New Roman" w:eastAsia="黑体" w:cs="Arial"/>
      <w:color w:val="000000"/>
      <w:sz w:val="24"/>
      <w:szCs w:val="20"/>
    </w:rPr>
  </w:style>
  <w:style w:type="paragraph" w:styleId="10">
    <w:name w:val="annotation text"/>
    <w:basedOn w:val="1"/>
    <w:link w:val="43"/>
    <w:semiHidden/>
    <w:qFormat/>
    <w:uiPriority w:val="0"/>
    <w:pPr>
      <w:jc w:val="left"/>
    </w:pPr>
    <w:rPr>
      <w:kern w:val="0"/>
      <w:sz w:val="24"/>
      <w:szCs w:val="20"/>
    </w:rPr>
  </w:style>
  <w:style w:type="paragraph" w:styleId="11">
    <w:name w:val="Body Text"/>
    <w:basedOn w:val="1"/>
    <w:link w:val="41"/>
    <w:qFormat/>
    <w:uiPriority w:val="0"/>
    <w:pPr>
      <w:widowControl/>
      <w:snapToGrid w:val="0"/>
      <w:spacing w:before="60" w:after="160" w:line="259" w:lineRule="auto"/>
      <w:ind w:right="113"/>
    </w:pPr>
    <w:rPr>
      <w:kern w:val="0"/>
      <w:sz w:val="18"/>
      <w:szCs w:val="20"/>
    </w:rPr>
  </w:style>
  <w:style w:type="paragraph" w:styleId="12">
    <w:name w:val="Body Text Indent"/>
    <w:basedOn w:val="1"/>
    <w:next w:val="13"/>
    <w:link w:val="44"/>
    <w:qFormat/>
    <w:uiPriority w:val="0"/>
    <w:pPr>
      <w:spacing w:after="120"/>
      <w:ind w:left="420" w:leftChars="200"/>
    </w:pPr>
    <w:rPr>
      <w:kern w:val="0"/>
      <w:sz w:val="24"/>
      <w:szCs w:val="20"/>
    </w:rPr>
  </w:style>
  <w:style w:type="paragraph" w:customStyle="1" w:styleId="13">
    <w:name w:val="TOC 31"/>
    <w:next w:val="1"/>
    <w:qFormat/>
    <w:uiPriority w:val="0"/>
    <w:pPr>
      <w:wordWrap w:val="0"/>
      <w:ind w:left="850"/>
      <w:jc w:val="both"/>
    </w:pPr>
    <w:rPr>
      <w:rFonts w:ascii="Times New Roman" w:hAnsi="Times New Roman" w:eastAsia="宋体" w:cs="Times New Roman"/>
      <w:sz w:val="21"/>
      <w:szCs w:val="22"/>
      <w:lang w:val="en-US" w:eastAsia="zh-CN" w:bidi="ar-SA"/>
    </w:rPr>
  </w:style>
  <w:style w:type="paragraph" w:styleId="14">
    <w:name w:val="toc 5"/>
    <w:basedOn w:val="1"/>
    <w:next w:val="1"/>
    <w:qFormat/>
    <w:locked/>
    <w:uiPriority w:val="39"/>
    <w:pPr>
      <w:ind w:left="1680" w:leftChars="800"/>
    </w:pPr>
  </w:style>
  <w:style w:type="paragraph" w:styleId="15">
    <w:name w:val="Plain Text"/>
    <w:basedOn w:val="1"/>
    <w:next w:val="1"/>
    <w:link w:val="46"/>
    <w:qFormat/>
    <w:locked/>
    <w:uiPriority w:val="0"/>
    <w:rPr>
      <w:rFonts w:ascii="宋体" w:hAnsi="Courier New"/>
      <w:szCs w:val="20"/>
    </w:rPr>
  </w:style>
  <w:style w:type="paragraph" w:styleId="16">
    <w:name w:val="Date"/>
    <w:basedOn w:val="1"/>
    <w:next w:val="1"/>
    <w:link w:val="47"/>
    <w:qFormat/>
    <w:uiPriority w:val="0"/>
    <w:pPr>
      <w:ind w:left="100" w:leftChars="2500"/>
    </w:pPr>
    <w:rPr>
      <w:kern w:val="0"/>
      <w:sz w:val="24"/>
      <w:szCs w:val="20"/>
    </w:rPr>
  </w:style>
  <w:style w:type="paragraph" w:styleId="17">
    <w:name w:val="Body Text Indent 2"/>
    <w:basedOn w:val="1"/>
    <w:next w:val="1"/>
    <w:qFormat/>
    <w:locked/>
    <w:uiPriority w:val="99"/>
    <w:pPr>
      <w:ind w:firstLine="480"/>
    </w:pPr>
    <w:rPr>
      <w:rFonts w:ascii="Calibri" w:hAnsi="Calibri" w:eastAsia="宋体" w:cs="Times New Roman"/>
    </w:rPr>
  </w:style>
  <w:style w:type="paragraph" w:styleId="18">
    <w:name w:val="Balloon Text"/>
    <w:basedOn w:val="1"/>
    <w:link w:val="48"/>
    <w:semiHidden/>
    <w:qFormat/>
    <w:uiPriority w:val="0"/>
    <w:rPr>
      <w:kern w:val="0"/>
      <w:sz w:val="18"/>
      <w:szCs w:val="20"/>
    </w:rPr>
  </w:style>
  <w:style w:type="paragraph" w:styleId="19">
    <w:name w:val="footer"/>
    <w:basedOn w:val="1"/>
    <w:link w:val="49"/>
    <w:qFormat/>
    <w:uiPriority w:val="99"/>
    <w:pPr>
      <w:tabs>
        <w:tab w:val="center" w:pos="4153"/>
        <w:tab w:val="right" w:pos="8306"/>
      </w:tabs>
      <w:snapToGrid w:val="0"/>
      <w:jc w:val="left"/>
    </w:pPr>
    <w:rPr>
      <w:kern w:val="0"/>
      <w:sz w:val="18"/>
      <w:szCs w:val="20"/>
    </w:rPr>
  </w:style>
  <w:style w:type="paragraph" w:styleId="20">
    <w:name w:val="header"/>
    <w:basedOn w:val="1"/>
    <w:next w:val="21"/>
    <w:link w:val="45"/>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1">
    <w:name w:val="样式5"/>
    <w:basedOn w:val="11"/>
    <w:qFormat/>
    <w:uiPriority w:val="0"/>
    <w:pPr>
      <w:spacing w:line="380" w:lineRule="exact"/>
      <w:ind w:firstLine="566" w:firstLineChars="202"/>
    </w:pPr>
    <w:rPr>
      <w:rFonts w:eastAsia="华文行楷"/>
    </w:rPr>
  </w:style>
  <w:style w:type="paragraph" w:styleId="22">
    <w:name w:val="toc 1"/>
    <w:basedOn w:val="1"/>
    <w:next w:val="1"/>
    <w:qFormat/>
    <w:locked/>
    <w:uiPriority w:val="1"/>
    <w:pPr>
      <w:spacing w:before="161"/>
      <w:ind w:left="581" w:right="379" w:hanging="582"/>
      <w:jc w:val="right"/>
    </w:pPr>
    <w:rPr>
      <w:b/>
      <w:bCs/>
      <w:sz w:val="24"/>
      <w:szCs w:val="24"/>
    </w:rPr>
  </w:style>
  <w:style w:type="paragraph" w:styleId="23">
    <w:name w:val="Subtitle"/>
    <w:basedOn w:val="1"/>
    <w:qFormat/>
    <w:locked/>
    <w:uiPriority w:val="0"/>
    <w:pPr>
      <w:widowControl/>
      <w:adjustRightInd w:val="0"/>
      <w:snapToGrid w:val="0"/>
      <w:spacing w:line="440" w:lineRule="exact"/>
      <w:jc w:val="center"/>
    </w:pPr>
    <w:rPr>
      <w:rFonts w:hAnsi="Calibri"/>
      <w:b/>
      <w:bCs/>
      <w:kern w:val="28"/>
      <w:sz w:val="24"/>
      <w:szCs w:val="24"/>
    </w:rPr>
  </w:style>
  <w:style w:type="paragraph" w:styleId="24">
    <w:name w:val="List"/>
    <w:basedOn w:val="1"/>
    <w:qFormat/>
    <w:locked/>
    <w:uiPriority w:val="0"/>
    <w:pPr>
      <w:jc w:val="center"/>
    </w:pPr>
    <w:rPr>
      <w:kern w:val="0"/>
      <w:szCs w:val="20"/>
    </w:rPr>
  </w:style>
  <w:style w:type="paragraph" w:styleId="25">
    <w:name w:val="toc 2"/>
    <w:basedOn w:val="1"/>
    <w:next w:val="1"/>
    <w:qFormat/>
    <w:locked/>
    <w:uiPriority w:val="39"/>
    <w:pPr>
      <w:ind w:left="240"/>
      <w:jc w:val="left"/>
    </w:pPr>
    <w:rPr>
      <w:rFonts w:ascii="Calibri" w:hAnsi="Calibri"/>
      <w:smallCaps/>
      <w:sz w:val="20"/>
      <w:szCs w:val="20"/>
    </w:rPr>
  </w:style>
  <w:style w:type="paragraph" w:styleId="26">
    <w:name w:val="Message Header"/>
    <w:basedOn w:val="1"/>
    <w:next w:val="1"/>
    <w:qFormat/>
    <w:locked/>
    <w:uiPriority w:val="0"/>
    <w:pPr>
      <w:pBdr>
        <w:top w:val="single" w:color="auto" w:sz="6" w:space="1"/>
        <w:left w:val="single" w:color="auto" w:sz="6" w:space="1"/>
        <w:bottom w:val="single" w:color="auto" w:sz="6" w:space="1"/>
        <w:right w:val="single" w:color="auto" w:sz="6" w:space="1"/>
      </w:pBdr>
      <w:shd w:val="pct20" w:color="auto" w:fill="auto"/>
      <w:spacing w:line="240" w:lineRule="auto"/>
      <w:ind w:left="1080" w:leftChars="500" w:hanging="1080" w:hangingChars="500"/>
    </w:pPr>
    <w:rPr>
      <w:rFonts w:ascii="Arial" w:hAnsi="Arial" w:cs="Arial"/>
      <w:szCs w:val="24"/>
      <w:shd w:val="pct20" w:color="auto" w:fill="auto"/>
    </w:rPr>
  </w:style>
  <w:style w:type="paragraph" w:styleId="27">
    <w:name w:val="Normal (Web)"/>
    <w:basedOn w:val="1"/>
    <w:link w:val="50"/>
    <w:qFormat/>
    <w:uiPriority w:val="0"/>
    <w:pPr>
      <w:widowControl/>
      <w:spacing w:before="100" w:beforeAutospacing="1" w:after="100" w:afterAutospacing="1"/>
      <w:jc w:val="left"/>
    </w:pPr>
    <w:rPr>
      <w:rFonts w:ascii="宋体" w:hAnsi="宋体"/>
      <w:kern w:val="0"/>
      <w:sz w:val="24"/>
      <w:szCs w:val="20"/>
    </w:rPr>
  </w:style>
  <w:style w:type="paragraph" w:styleId="28">
    <w:name w:val="annotation subject"/>
    <w:basedOn w:val="10"/>
    <w:next w:val="10"/>
    <w:link w:val="51"/>
    <w:semiHidden/>
    <w:qFormat/>
    <w:uiPriority w:val="0"/>
    <w:rPr>
      <w:b/>
      <w:kern w:val="2"/>
    </w:rPr>
  </w:style>
  <w:style w:type="paragraph" w:styleId="29">
    <w:name w:val="Body Text First Indent"/>
    <w:basedOn w:val="11"/>
    <w:qFormat/>
    <w:locked/>
    <w:uiPriority w:val="0"/>
    <w:pPr>
      <w:ind w:firstLine="420" w:firstLineChars="100"/>
    </w:pPr>
  </w:style>
  <w:style w:type="paragraph" w:styleId="30">
    <w:name w:val="Body Text First Indent 2"/>
    <w:basedOn w:val="12"/>
    <w:qFormat/>
    <w:locked/>
    <w:uiPriority w:val="0"/>
    <w:pPr>
      <w:tabs>
        <w:tab w:val="left" w:pos="420"/>
        <w:tab w:val="left" w:pos="870"/>
        <w:tab w:val="left" w:pos="3150"/>
      </w:tabs>
      <w:autoSpaceDE w:val="0"/>
      <w:autoSpaceDN w:val="0"/>
      <w:adjustRightInd w:val="0"/>
      <w:spacing w:before="60" w:beforeLines="25" w:line="336" w:lineRule="auto"/>
      <w:ind w:firstLine="527"/>
      <w:textAlignment w:val="baseline"/>
    </w:pPr>
    <w:rPr>
      <w:rFonts w:ascii="宋体"/>
      <w:sz w:val="24"/>
      <w:szCs w:val="28"/>
    </w:rPr>
  </w:style>
  <w:style w:type="table" w:styleId="32">
    <w:name w:val="Table Grid"/>
    <w:basedOn w:val="31"/>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qFormat/>
    <w:locked/>
    <w:uiPriority w:val="0"/>
    <w:rPr>
      <w:b/>
    </w:rPr>
  </w:style>
  <w:style w:type="character" w:styleId="35">
    <w:name w:val="page number"/>
    <w:basedOn w:val="33"/>
    <w:qFormat/>
    <w:locked/>
    <w:uiPriority w:val="0"/>
  </w:style>
  <w:style w:type="character" w:styleId="36">
    <w:name w:val="Emphasis"/>
    <w:basedOn w:val="33"/>
    <w:qFormat/>
    <w:locked/>
    <w:uiPriority w:val="0"/>
    <w:rPr>
      <w:i/>
    </w:rPr>
  </w:style>
  <w:style w:type="character" w:styleId="37">
    <w:name w:val="Hyperlink"/>
    <w:basedOn w:val="33"/>
    <w:qFormat/>
    <w:locked/>
    <w:uiPriority w:val="0"/>
    <w:rPr>
      <w:color w:val="0000FF"/>
      <w:u w:val="single"/>
    </w:rPr>
  </w:style>
  <w:style w:type="character" w:styleId="38">
    <w:name w:val="annotation reference"/>
    <w:semiHidden/>
    <w:qFormat/>
    <w:uiPriority w:val="0"/>
    <w:rPr>
      <w:sz w:val="21"/>
    </w:rPr>
  </w:style>
  <w:style w:type="paragraph" w:customStyle="1" w:styleId="39">
    <w:name w:val="Normal (Web)1"/>
    <w:basedOn w:val="1"/>
    <w:next w:val="40"/>
    <w:qFormat/>
    <w:uiPriority w:val="0"/>
    <w:pPr>
      <w:widowControl/>
      <w:jc w:val="left"/>
    </w:pPr>
    <w:rPr>
      <w:rFonts w:ascii="宋体" w:cs="Times New Roman"/>
      <w:kern w:val="0"/>
      <w:sz w:val="24"/>
      <w:szCs w:val="21"/>
    </w:rPr>
  </w:style>
  <w:style w:type="paragraph" w:customStyle="1" w:styleId="40">
    <w:name w:val="Date1"/>
    <w:basedOn w:val="1"/>
    <w:next w:val="1"/>
    <w:qFormat/>
    <w:uiPriority w:val="0"/>
    <w:pPr>
      <w:ind w:left="2500" w:leftChars="2500"/>
    </w:pPr>
  </w:style>
  <w:style w:type="character" w:customStyle="1" w:styleId="41">
    <w:name w:val="正文文本 字符"/>
    <w:link w:val="11"/>
    <w:qFormat/>
    <w:locked/>
    <w:uiPriority w:val="0"/>
    <w:rPr>
      <w:sz w:val="18"/>
    </w:rPr>
  </w:style>
  <w:style w:type="character" w:customStyle="1" w:styleId="42">
    <w:name w:val="标题 5 Char"/>
    <w:basedOn w:val="33"/>
    <w:link w:val="6"/>
    <w:qFormat/>
    <w:uiPriority w:val="9"/>
    <w:rPr>
      <w:b/>
      <w:bCs/>
      <w:kern w:val="2"/>
      <w:sz w:val="28"/>
      <w:szCs w:val="28"/>
    </w:rPr>
  </w:style>
  <w:style w:type="character" w:customStyle="1" w:styleId="43">
    <w:name w:val="批注文字 字符"/>
    <w:link w:val="10"/>
    <w:qFormat/>
    <w:locked/>
    <w:uiPriority w:val="0"/>
    <w:rPr>
      <w:rFonts w:ascii="Times New Roman" w:hAnsi="Times New Roman" w:eastAsia="宋体"/>
      <w:sz w:val="24"/>
    </w:rPr>
  </w:style>
  <w:style w:type="character" w:customStyle="1" w:styleId="44">
    <w:name w:val="正文文本缩进 字符"/>
    <w:link w:val="12"/>
    <w:semiHidden/>
    <w:qFormat/>
    <w:locked/>
    <w:uiPriority w:val="0"/>
    <w:rPr>
      <w:rFonts w:ascii="Times New Roman" w:hAnsi="Times New Roman" w:eastAsia="宋体"/>
      <w:sz w:val="24"/>
    </w:rPr>
  </w:style>
  <w:style w:type="character" w:customStyle="1" w:styleId="45">
    <w:name w:val="页眉 字符"/>
    <w:link w:val="20"/>
    <w:qFormat/>
    <w:locked/>
    <w:uiPriority w:val="0"/>
    <w:rPr>
      <w:sz w:val="18"/>
    </w:rPr>
  </w:style>
  <w:style w:type="character" w:customStyle="1" w:styleId="46">
    <w:name w:val="纯文本 Char"/>
    <w:basedOn w:val="33"/>
    <w:link w:val="15"/>
    <w:qFormat/>
    <w:uiPriority w:val="0"/>
    <w:rPr>
      <w:rFonts w:ascii="宋体" w:hAnsi="Courier New"/>
      <w:kern w:val="2"/>
      <w:sz w:val="21"/>
    </w:rPr>
  </w:style>
  <w:style w:type="character" w:customStyle="1" w:styleId="47">
    <w:name w:val="日期 字符1"/>
    <w:link w:val="16"/>
    <w:qFormat/>
    <w:locked/>
    <w:uiPriority w:val="0"/>
    <w:rPr>
      <w:rFonts w:ascii="Times New Roman" w:hAnsi="Times New Roman" w:eastAsia="宋体"/>
      <w:sz w:val="24"/>
    </w:rPr>
  </w:style>
  <w:style w:type="character" w:customStyle="1" w:styleId="48">
    <w:name w:val="批注框文本 字符"/>
    <w:link w:val="18"/>
    <w:semiHidden/>
    <w:qFormat/>
    <w:locked/>
    <w:uiPriority w:val="0"/>
    <w:rPr>
      <w:rFonts w:ascii="Times New Roman" w:hAnsi="Times New Roman" w:eastAsia="宋体"/>
      <w:sz w:val="18"/>
    </w:rPr>
  </w:style>
  <w:style w:type="character" w:customStyle="1" w:styleId="49">
    <w:name w:val="页脚 字符1"/>
    <w:link w:val="19"/>
    <w:qFormat/>
    <w:locked/>
    <w:uiPriority w:val="99"/>
    <w:rPr>
      <w:sz w:val="18"/>
    </w:rPr>
  </w:style>
  <w:style w:type="character" w:customStyle="1" w:styleId="50">
    <w:name w:val="普通(网站) 字符"/>
    <w:link w:val="27"/>
    <w:qFormat/>
    <w:locked/>
    <w:uiPriority w:val="0"/>
    <w:rPr>
      <w:rFonts w:ascii="宋体" w:hAnsi="宋体" w:eastAsia="宋体"/>
      <w:sz w:val="24"/>
    </w:rPr>
  </w:style>
  <w:style w:type="character" w:customStyle="1" w:styleId="51">
    <w:name w:val="批注主题 字符"/>
    <w:link w:val="28"/>
    <w:semiHidden/>
    <w:qFormat/>
    <w:locked/>
    <w:uiPriority w:val="0"/>
    <w:rPr>
      <w:rFonts w:ascii="Times New Roman" w:hAnsi="Times New Roman" w:eastAsia="宋体"/>
      <w:b/>
      <w:kern w:val="2"/>
      <w:sz w:val="24"/>
    </w:rPr>
  </w:style>
  <w:style w:type="paragraph" w:styleId="52">
    <w:name w:val="No Spacing"/>
    <w:qFormat/>
    <w:uiPriority w:val="0"/>
    <w:pPr>
      <w:widowControl w:val="0"/>
      <w:jc w:val="both"/>
    </w:pPr>
    <w:rPr>
      <w:rFonts w:ascii="Times New Roman" w:hAnsi="Times New Roman" w:eastAsia="仿宋_GB2312" w:cs="Times New Roman"/>
      <w:kern w:val="2"/>
      <w:sz w:val="21"/>
      <w:szCs w:val="24"/>
      <w:lang w:val="en-US" w:eastAsia="zh-CN" w:bidi="ar-SA"/>
    </w:rPr>
  </w:style>
  <w:style w:type="paragraph" w:customStyle="1" w:styleId="53">
    <w:name w:val="Default"/>
    <w:basedOn w:val="54"/>
    <w:next w:val="1"/>
    <w:qFormat/>
    <w:uiPriority w:val="0"/>
    <w:pPr>
      <w:widowControl w:val="0"/>
      <w:autoSpaceDE w:val="0"/>
      <w:autoSpaceDN w:val="0"/>
      <w:adjustRightInd w:val="0"/>
    </w:pPr>
    <w:rPr>
      <w:rFonts w:ascii="宋体" w:hAnsi="宋体" w:eastAsia="宋体" w:cs="宋体"/>
      <w:color w:val="000000"/>
      <w:kern w:val="2"/>
      <w:sz w:val="24"/>
      <w:szCs w:val="24"/>
      <w:lang w:val="en-US" w:eastAsia="zh-CN" w:bidi="ar-SA"/>
    </w:rPr>
  </w:style>
  <w:style w:type="paragraph" w:customStyle="1" w:styleId="54">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55">
    <w:name w:val="明显引用1"/>
    <w:next w:val="1"/>
    <w:qFormat/>
    <w:uiPriority w:val="0"/>
    <w:pPr>
      <w:wordWrap w:val="0"/>
      <w:spacing w:before="360" w:beforeLines="0" w:after="360" w:afterLines="0"/>
      <w:ind w:left="950" w:right="950"/>
      <w:jc w:val="center"/>
    </w:pPr>
    <w:rPr>
      <w:rFonts w:ascii="Times New Roman" w:hAnsi="Times New Roman" w:eastAsia="宋体" w:cs="Times New Roman"/>
      <w:i/>
      <w:sz w:val="21"/>
      <w:lang w:val="en-US" w:eastAsia="zh-CN" w:bidi="ar-SA"/>
    </w:rPr>
  </w:style>
  <w:style w:type="paragraph" w:customStyle="1" w:styleId="56">
    <w:name w:val="UserStyle_0"/>
    <w:basedOn w:val="57"/>
    <w:next w:val="58"/>
    <w:qFormat/>
    <w:uiPriority w:val="0"/>
    <w:pPr>
      <w:spacing w:line="360" w:lineRule="auto"/>
      <w:ind w:firstLine="480" w:firstLineChars="200"/>
      <w:jc w:val="both"/>
      <w:textAlignment w:val="baseline"/>
    </w:pPr>
    <w:rPr>
      <w:rFonts w:ascii="Calibri" w:hAnsi="Calibri" w:eastAsia="宋体" w:cs="Times New Roman"/>
      <w:kern w:val="2"/>
      <w:sz w:val="24"/>
      <w:szCs w:val="22"/>
      <w:lang w:val="en-US" w:eastAsia="zh-CN" w:bidi="ar-SA"/>
    </w:rPr>
  </w:style>
  <w:style w:type="paragraph" w:customStyle="1" w:styleId="57">
    <w:name w:val="UserStyle_1"/>
    <w:basedOn w:val="1"/>
    <w:next w:val="1"/>
    <w:link w:val="89"/>
    <w:qFormat/>
    <w:uiPriority w:val="0"/>
    <w:pPr>
      <w:spacing w:after="120"/>
      <w:jc w:val="both"/>
      <w:textAlignment w:val="baseline"/>
    </w:pPr>
    <w:rPr>
      <w:rFonts w:ascii="Times New Roman" w:hAnsi="Times New Roman" w:eastAsia="宋体" w:cs="Times New Roman"/>
    </w:rPr>
  </w:style>
  <w:style w:type="paragraph" w:customStyle="1" w:styleId="58">
    <w:name w:val="TOC1"/>
    <w:basedOn w:val="1"/>
    <w:next w:val="1"/>
    <w:qFormat/>
    <w:uiPriority w:val="0"/>
    <w:pPr>
      <w:spacing w:line="360" w:lineRule="auto"/>
      <w:jc w:val="both"/>
      <w:textAlignment w:val="baseline"/>
    </w:pPr>
    <w:rPr>
      <w:rFonts w:ascii="Calibri" w:hAnsi="Calibri" w:eastAsia="宋体" w:cs="Times New Roman"/>
      <w:b/>
      <w:kern w:val="2"/>
      <w:sz w:val="24"/>
      <w:szCs w:val="22"/>
      <w:lang w:val="en-US" w:eastAsia="zh-CN" w:bidi="ar-SA"/>
    </w:rPr>
  </w:style>
  <w:style w:type="character" w:customStyle="1" w:styleId="59">
    <w:name w:val="页脚 字符"/>
    <w:basedOn w:val="33"/>
    <w:qFormat/>
    <w:uiPriority w:val="99"/>
  </w:style>
  <w:style w:type="character" w:customStyle="1" w:styleId="60">
    <w:name w:val="正文文本 字符1"/>
    <w:semiHidden/>
    <w:qFormat/>
    <w:uiPriority w:val="0"/>
    <w:rPr>
      <w:rFonts w:ascii="Times New Roman" w:hAnsi="Times New Roman" w:eastAsia="宋体"/>
      <w:sz w:val="24"/>
    </w:rPr>
  </w:style>
  <w:style w:type="character" w:customStyle="1" w:styleId="61">
    <w:name w:val="表格 Char"/>
    <w:link w:val="62"/>
    <w:qFormat/>
    <w:locked/>
    <w:uiPriority w:val="0"/>
    <w:rPr>
      <w:rFonts w:ascii="宋体"/>
      <w:sz w:val="21"/>
    </w:rPr>
  </w:style>
  <w:style w:type="paragraph" w:customStyle="1" w:styleId="62">
    <w:name w:val="表格"/>
    <w:basedOn w:val="1"/>
    <w:next w:val="1"/>
    <w:link w:val="61"/>
    <w:qFormat/>
    <w:uiPriority w:val="0"/>
    <w:pPr>
      <w:adjustRightInd w:val="0"/>
      <w:snapToGrid w:val="0"/>
      <w:spacing w:beforeLines="10" w:afterLines="10" w:line="259" w:lineRule="auto"/>
      <w:jc w:val="center"/>
    </w:pPr>
    <w:rPr>
      <w:rFonts w:ascii="宋体"/>
      <w:kern w:val="0"/>
      <w:szCs w:val="20"/>
    </w:rPr>
  </w:style>
  <w:style w:type="character" w:customStyle="1" w:styleId="63">
    <w:name w:val="日期 字符"/>
    <w:semiHidden/>
    <w:qFormat/>
    <w:uiPriority w:val="0"/>
    <w:rPr>
      <w:rFonts w:ascii="Times New Roman" w:hAnsi="Times New Roman" w:eastAsia="宋体"/>
      <w:sz w:val="24"/>
    </w:rPr>
  </w:style>
  <w:style w:type="character" w:customStyle="1" w:styleId="64">
    <w:name w:val="批注文字 字符1"/>
    <w:semiHidden/>
    <w:qFormat/>
    <w:uiPriority w:val="0"/>
    <w:rPr>
      <w:rFonts w:ascii="Times New Roman" w:hAnsi="Times New Roman" w:eastAsia="宋体"/>
      <w:sz w:val="24"/>
    </w:rPr>
  </w:style>
  <w:style w:type="paragraph" w:customStyle="1" w:styleId="65">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6">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67">
    <w:name w:val="表格文字2 Char"/>
    <w:link w:val="68"/>
    <w:qFormat/>
    <w:uiPriority w:val="0"/>
    <w:rPr>
      <w:kern w:val="2"/>
      <w:sz w:val="21"/>
    </w:rPr>
  </w:style>
  <w:style w:type="paragraph" w:customStyle="1" w:styleId="68">
    <w:name w:val="表格文字2"/>
    <w:basedOn w:val="1"/>
    <w:link w:val="67"/>
    <w:qFormat/>
    <w:uiPriority w:val="0"/>
    <w:pPr>
      <w:spacing w:before="60"/>
      <w:jc w:val="center"/>
    </w:pPr>
    <w:rPr>
      <w:szCs w:val="20"/>
    </w:rPr>
  </w:style>
  <w:style w:type="character" w:customStyle="1" w:styleId="69">
    <w:name w:val="日期 Char"/>
    <w:qFormat/>
    <w:uiPriority w:val="0"/>
    <w:rPr>
      <w:rFonts w:eastAsia="宋体"/>
      <w:kern w:val="2"/>
      <w:sz w:val="21"/>
      <w:lang w:val="en-US" w:eastAsia="zh-CN" w:bidi="ar-SA"/>
    </w:rPr>
  </w:style>
  <w:style w:type="paragraph" w:customStyle="1" w:styleId="70">
    <w:name w:val="列出段落11"/>
    <w:basedOn w:val="1"/>
    <w:qFormat/>
    <w:uiPriority w:val="0"/>
    <w:pPr>
      <w:ind w:firstLine="420" w:firstLineChars="200"/>
    </w:pPr>
    <w:rPr>
      <w:szCs w:val="21"/>
    </w:rPr>
  </w:style>
  <w:style w:type="paragraph" w:styleId="71">
    <w:name w:val="List Paragraph"/>
    <w:basedOn w:val="1"/>
    <w:qFormat/>
    <w:uiPriority w:val="34"/>
    <w:pPr>
      <w:ind w:firstLine="420" w:firstLineChars="200"/>
    </w:pPr>
  </w:style>
  <w:style w:type="paragraph" w:customStyle="1" w:styleId="72">
    <w:name w:val="List Paragraph1"/>
    <w:basedOn w:val="1"/>
    <w:qFormat/>
    <w:uiPriority w:val="0"/>
    <w:pPr>
      <w:ind w:firstLine="420" w:firstLineChars="200"/>
    </w:pPr>
    <w:rPr>
      <w:sz w:val="24"/>
    </w:rPr>
  </w:style>
  <w:style w:type="paragraph" w:customStyle="1" w:styleId="73">
    <w:name w:val="1表格"/>
    <w:basedOn w:val="1"/>
    <w:qFormat/>
    <w:uiPriority w:val="0"/>
    <w:pPr>
      <w:snapToGrid w:val="0"/>
      <w:spacing w:line="160" w:lineRule="atLeast"/>
      <w:jc w:val="center"/>
    </w:pPr>
    <w:rPr>
      <w:rFonts w:eastAsia="仿宋_GB2312"/>
      <w:szCs w:val="20"/>
    </w:rPr>
  </w:style>
  <w:style w:type="paragraph" w:customStyle="1" w:styleId="74">
    <w:name w:val="标准正文"/>
    <w:basedOn w:val="1"/>
    <w:qFormat/>
    <w:uiPriority w:val="0"/>
    <w:pPr>
      <w:adjustRightInd w:val="0"/>
      <w:spacing w:line="460" w:lineRule="atLeast"/>
      <w:ind w:firstLine="567"/>
      <w:jc w:val="left"/>
    </w:pPr>
    <w:rPr>
      <w:kern w:val="28"/>
      <w:sz w:val="28"/>
      <w:szCs w:val="20"/>
    </w:rPr>
  </w:style>
  <w:style w:type="character" w:customStyle="1" w:styleId="75">
    <w:name w:val="表格内容 Char"/>
    <w:link w:val="76"/>
    <w:qFormat/>
    <w:uiPriority w:val="0"/>
    <w:rPr>
      <w:szCs w:val="21"/>
    </w:rPr>
  </w:style>
  <w:style w:type="paragraph" w:customStyle="1" w:styleId="76">
    <w:name w:val="表格内容"/>
    <w:basedOn w:val="8"/>
    <w:link w:val="75"/>
    <w:qFormat/>
    <w:uiPriority w:val="0"/>
    <w:pPr>
      <w:adjustRightInd w:val="0"/>
      <w:jc w:val="center"/>
    </w:pPr>
    <w:rPr>
      <w:kern w:val="0"/>
      <w:sz w:val="20"/>
      <w:szCs w:val="21"/>
    </w:rPr>
  </w:style>
  <w:style w:type="paragraph" w:customStyle="1" w:styleId="77">
    <w:name w:val="正文-欣欣"/>
    <w:basedOn w:val="1"/>
    <w:next w:val="1"/>
    <w:qFormat/>
    <w:uiPriority w:val="0"/>
    <w:pPr>
      <w:adjustRightInd w:val="0"/>
      <w:spacing w:line="360" w:lineRule="auto"/>
      <w:ind w:firstLine="200" w:firstLineChars="200"/>
    </w:pPr>
    <w:rPr>
      <w:rFonts w:cs="Courier New"/>
      <w:sz w:val="24"/>
      <w:szCs w:val="21"/>
    </w:rPr>
  </w:style>
  <w:style w:type="paragraph" w:customStyle="1" w:styleId="78">
    <w:name w:val="列出段落1"/>
    <w:basedOn w:val="1"/>
    <w:qFormat/>
    <w:uiPriority w:val="34"/>
    <w:pPr>
      <w:ind w:firstLine="420" w:firstLineChars="200"/>
    </w:pPr>
    <w:rPr>
      <w:szCs w:val="21"/>
    </w:rPr>
  </w:style>
  <w:style w:type="paragraph" w:customStyle="1" w:styleId="79">
    <w:name w:val="表格标题-5"/>
    <w:basedOn w:val="1"/>
    <w:next w:val="1"/>
    <w:qFormat/>
    <w:uiPriority w:val="0"/>
    <w:pPr>
      <w:adjustRightInd w:val="0"/>
      <w:snapToGrid w:val="0"/>
      <w:spacing w:line="360" w:lineRule="auto"/>
      <w:jc w:val="center"/>
    </w:pPr>
    <w:rPr>
      <w:b/>
      <w:sz w:val="24"/>
    </w:rPr>
  </w:style>
  <w:style w:type="character" w:customStyle="1" w:styleId="80">
    <w:name w:val="报告表正文 Char"/>
    <w:link w:val="81"/>
    <w:qFormat/>
    <w:uiPriority w:val="0"/>
    <w:rPr>
      <w:sz w:val="24"/>
    </w:rPr>
  </w:style>
  <w:style w:type="paragraph" w:customStyle="1" w:styleId="81">
    <w:name w:val="报告表正文"/>
    <w:basedOn w:val="1"/>
    <w:link w:val="80"/>
    <w:qFormat/>
    <w:uiPriority w:val="0"/>
    <w:pPr>
      <w:adjustRightInd w:val="0"/>
      <w:spacing w:line="312" w:lineRule="auto"/>
      <w:ind w:left="113" w:right="113" w:firstLine="482"/>
      <w:jc w:val="left"/>
      <w:textAlignment w:val="baseline"/>
    </w:pPr>
    <w:rPr>
      <w:kern w:val="0"/>
      <w:sz w:val="24"/>
      <w:szCs w:val="20"/>
    </w:rPr>
  </w:style>
  <w:style w:type="paragraph" w:customStyle="1" w:styleId="82">
    <w:name w:val="表内文字1"/>
    <w:basedOn w:val="76"/>
    <w:qFormat/>
    <w:uiPriority w:val="0"/>
    <w:pPr>
      <w:tabs>
        <w:tab w:val="left" w:pos="192"/>
      </w:tabs>
      <w:snapToGrid w:val="0"/>
    </w:pPr>
    <w:rPr>
      <w:iCs/>
      <w:kern w:val="2"/>
      <w:sz w:val="21"/>
      <w:szCs w:val="24"/>
      <w:lang w:val="en-US" w:eastAsia="zh-CN"/>
    </w:rPr>
  </w:style>
  <w:style w:type="paragraph" w:customStyle="1" w:styleId="83">
    <w:name w:val="【正文】"/>
    <w:basedOn w:val="11"/>
    <w:next w:val="26"/>
    <w:qFormat/>
    <w:uiPriority w:val="0"/>
    <w:pPr>
      <w:spacing w:before="0" w:after="0" w:line="360" w:lineRule="auto"/>
      <w:ind w:right="0" w:firstLine="200" w:firstLineChars="200"/>
    </w:pPr>
    <w:rPr>
      <w:sz w:val="24"/>
      <w:lang w:val="en-US" w:eastAsia="zh-CN"/>
    </w:rPr>
  </w:style>
  <w:style w:type="paragraph" w:customStyle="1" w:styleId="84">
    <w:name w:val="报告表格"/>
    <w:basedOn w:val="1"/>
    <w:qFormat/>
    <w:uiPriority w:val="0"/>
    <w:pPr>
      <w:autoSpaceDE w:val="0"/>
      <w:autoSpaceDN w:val="0"/>
      <w:adjustRightInd w:val="0"/>
      <w:jc w:val="center"/>
    </w:pPr>
    <w:rPr>
      <w:b/>
      <w:kern w:val="0"/>
    </w:rPr>
  </w:style>
  <w:style w:type="paragraph" w:customStyle="1" w:styleId="85">
    <w:name w:val="Table Paragraph"/>
    <w:basedOn w:val="1"/>
    <w:qFormat/>
    <w:uiPriority w:val="1"/>
  </w:style>
  <w:style w:type="paragraph" w:customStyle="1" w:styleId="86">
    <w:name w:val="！正文"/>
    <w:basedOn w:val="1"/>
    <w:qFormat/>
    <w:uiPriority w:val="0"/>
    <w:pPr>
      <w:spacing w:line="360" w:lineRule="auto"/>
      <w:ind w:firstLine="200" w:firstLineChars="200"/>
    </w:pPr>
    <w:rPr>
      <w:sz w:val="24"/>
    </w:rPr>
  </w:style>
  <w:style w:type="paragraph" w:customStyle="1" w:styleId="87">
    <w:name w:val="表格表头"/>
    <w:basedOn w:val="1"/>
    <w:qFormat/>
    <w:uiPriority w:val="0"/>
    <w:pPr>
      <w:jc w:val="center"/>
    </w:pPr>
    <w:rPr>
      <w:rFonts w:eastAsia="黑体"/>
      <w:szCs w:val="21"/>
    </w:rPr>
  </w:style>
  <w:style w:type="paragraph" w:customStyle="1" w:styleId="88">
    <w:name w:val="报告正文"/>
    <w:basedOn w:val="1"/>
    <w:qFormat/>
    <w:uiPriority w:val="0"/>
    <w:pPr>
      <w:tabs>
        <w:tab w:val="left" w:pos="0"/>
      </w:tabs>
    </w:pPr>
    <w:rPr>
      <w:color w:val="000000"/>
    </w:rPr>
  </w:style>
  <w:style w:type="character" w:customStyle="1" w:styleId="89">
    <w:name w:val="NormalCharacter"/>
    <w:link w:val="57"/>
    <w:semiHidden/>
    <w:qFormat/>
    <w:uiPriority w:val="0"/>
    <w:rPr>
      <w:rFonts w:ascii="Times New Roman" w:hAnsi="Times New Roman" w:eastAsia="宋体" w:cs="Times New Roman"/>
    </w:rPr>
  </w:style>
  <w:style w:type="paragraph" w:customStyle="1" w:styleId="90">
    <w:name w:val="Char2"/>
    <w:basedOn w:val="1"/>
    <w:qFormat/>
    <w:uiPriority w:val="0"/>
    <w:rPr>
      <w:szCs w:val="24"/>
    </w:rPr>
  </w:style>
  <w:style w:type="paragraph" w:customStyle="1" w:styleId="91">
    <w:name w:val="【表头】"/>
    <w:basedOn w:val="1"/>
    <w:qFormat/>
    <w:uiPriority w:val="0"/>
    <w:pPr>
      <w:adjustRightInd w:val="0"/>
      <w:snapToGrid w:val="0"/>
      <w:jc w:val="center"/>
    </w:pPr>
    <w:rPr>
      <w:rFonts w:ascii="Times New Roman" w:hAnsi="Times New Roman" w:eastAsia="黑体" w:cs="Times New Roman"/>
      <w:sz w:val="24"/>
    </w:rPr>
  </w:style>
  <w:style w:type="paragraph" w:customStyle="1" w:styleId="92">
    <w:name w:val="【表中文字】"/>
    <w:basedOn w:val="1"/>
    <w:qFormat/>
    <w:uiPriority w:val="0"/>
    <w:pPr>
      <w:adjustRightInd w:val="0"/>
      <w:snapToGrid w:val="0"/>
      <w:jc w:val="center"/>
    </w:pPr>
    <w:rPr>
      <w:rFonts w:ascii="Times New Roman" w:hAnsi="Times New Roman"/>
      <w:szCs w:val="20"/>
    </w:rPr>
  </w:style>
  <w:style w:type="paragraph" w:customStyle="1" w:styleId="93">
    <w:name w:val="表表头"/>
    <w:basedOn w:val="1"/>
    <w:qFormat/>
    <w:uiPriority w:val="0"/>
    <w:pPr>
      <w:ind w:firstLine="0" w:firstLineChars="0"/>
      <w:jc w:val="center"/>
    </w:pPr>
    <w:rPr>
      <w:rFonts w:eastAsia="黑体"/>
    </w:rPr>
  </w:style>
  <w:style w:type="paragraph" w:customStyle="1" w:styleId="94">
    <w:name w:val="表格中文字"/>
    <w:basedOn w:val="95"/>
    <w:qFormat/>
    <w:uiPriority w:val="0"/>
    <w:pPr>
      <w:spacing w:line="360" w:lineRule="exact"/>
      <w:ind w:firstLine="0" w:firstLineChars="0"/>
      <w:jc w:val="center"/>
    </w:pPr>
    <w:rPr>
      <w:kern w:val="0"/>
      <w:sz w:val="21"/>
      <w:szCs w:val="21"/>
    </w:rPr>
  </w:style>
  <w:style w:type="paragraph" w:customStyle="1" w:styleId="95">
    <w:name w:val="填表正文"/>
    <w:qFormat/>
    <w:uiPriority w:val="0"/>
    <w:pPr>
      <w:widowControl w:val="0"/>
      <w:adjustRightInd w:val="0"/>
      <w:snapToGrid w:val="0"/>
      <w:jc w:val="center"/>
    </w:pPr>
    <w:rPr>
      <w:rFonts w:hint="eastAsia" w:ascii="宋体" w:hAnsi="Calibri" w:eastAsia="宋体" w:cs="Times New Roman"/>
      <w:color w:val="000000"/>
      <w:sz w:val="24"/>
      <w:szCs w:val="44"/>
      <w:lang w:val="en-US" w:eastAsia="zh-CN" w:bidi="ar-SA"/>
    </w:rPr>
  </w:style>
  <w:style w:type="paragraph" w:customStyle="1" w:styleId="96">
    <w:name w:val="段落正文"/>
    <w:basedOn w:val="1"/>
    <w:qFormat/>
    <w:uiPriority w:val="0"/>
    <w:pPr>
      <w:ind w:firstLine="480" w:firstLineChars="200"/>
    </w:pPr>
    <w:rPr>
      <w:rFonts w:eastAsia="宋体" w:cs="宋体"/>
      <w:kern w:val="2"/>
      <w:sz w:val="24"/>
      <w:lang w:val="en-US" w:eastAsia="zh-CN" w:bidi="ar-SA"/>
    </w:rPr>
  </w:style>
  <w:style w:type="paragraph" w:customStyle="1" w:styleId="97">
    <w:name w:val="11111"/>
    <w:basedOn w:val="1"/>
    <w:next w:val="1"/>
    <w:qFormat/>
    <w:uiPriority w:val="99"/>
    <w:pPr>
      <w:spacing w:line="360" w:lineRule="auto"/>
      <w:ind w:firstLine="200" w:firstLineChars="200"/>
    </w:pPr>
    <w:rPr>
      <w:rFonts w:ascii="宋体" w:hAnsi="宋体" w:cs="宋体"/>
      <w:sz w:val="24"/>
      <w:szCs w:val="24"/>
    </w:rPr>
  </w:style>
  <w:style w:type="paragraph" w:customStyle="1" w:styleId="98">
    <w:name w:val="常规"/>
    <w:basedOn w:val="1"/>
    <w:qFormat/>
    <w:uiPriority w:val="0"/>
    <w:pPr>
      <w:widowControl/>
      <w:jc w:val="left"/>
    </w:pPr>
    <w:rPr>
      <w:rFonts w:ascii="Arial" w:hAnsi="Arial" w:cs="Arial"/>
      <w:color w:val="000000"/>
      <w:kern w:val="0"/>
      <w:sz w:val="20"/>
      <w:szCs w:val="20"/>
    </w:rPr>
  </w:style>
  <w:style w:type="paragraph" w:customStyle="1" w:styleId="99">
    <w:name w:val="雪表头"/>
    <w:basedOn w:val="1"/>
    <w:next w:val="1"/>
    <w:qFormat/>
    <w:uiPriority w:val="0"/>
    <w:pPr>
      <w:keepNext/>
      <w:spacing w:line="500" w:lineRule="exact"/>
      <w:jc w:val="center"/>
    </w:pPr>
    <w:rPr>
      <w:rFonts w:eastAsia="黑体"/>
    </w:rPr>
  </w:style>
  <w:style w:type="paragraph" w:customStyle="1" w:styleId="100">
    <w:name w:val="居中表格内容"/>
    <w:basedOn w:val="1"/>
    <w:qFormat/>
    <w:uiPriority w:val="0"/>
    <w:pPr>
      <w:jc w:val="center"/>
    </w:pPr>
    <w:rPr>
      <w:rFonts w:ascii="Times New Roman" w:hAnsi="Times New Roman"/>
    </w:rPr>
  </w:style>
  <w:style w:type="paragraph" w:customStyle="1" w:styleId="101">
    <w:name w:val="样式 正文11 + 首行缩进:  2 字符"/>
    <w:basedOn w:val="102"/>
    <w:qFormat/>
    <w:uiPriority w:val="0"/>
    <w:pPr>
      <w:spacing w:line="500" w:lineRule="exact"/>
      <w:ind w:firstLine="560" w:firstLineChars="200"/>
    </w:pPr>
    <w:rPr>
      <w:rFonts w:ascii="宋体" w:hAnsi="宋体" w:cs="宋体"/>
      <w:color w:val="FF0000"/>
      <w:sz w:val="28"/>
      <w:szCs w:val="20"/>
    </w:rPr>
  </w:style>
  <w:style w:type="paragraph" w:customStyle="1" w:styleId="102">
    <w:name w:val="O.K.1"/>
    <w:basedOn w:val="3"/>
    <w:qFormat/>
    <w:uiPriority w:val="0"/>
    <w:pPr>
      <w:ind w:firstLine="482"/>
    </w:pPr>
  </w:style>
  <w:style w:type="paragraph" w:customStyle="1" w:styleId="103">
    <w:name w:val="表头"/>
    <w:basedOn w:val="1"/>
    <w:next w:val="1"/>
    <w:qFormat/>
    <w:uiPriority w:val="0"/>
    <w:pPr>
      <w:jc w:val="center"/>
      <w:textAlignment w:val="baseline"/>
    </w:pPr>
    <w:rPr>
      <w:rFonts w:ascii="Arial" w:hAnsi="Arial"/>
      <w:b/>
      <w:color w:val="000000"/>
      <w:spacing w:val="-4"/>
      <w:szCs w:val="21"/>
    </w:rPr>
  </w:style>
  <w:style w:type="paragraph" w:customStyle="1" w:styleId="104">
    <w:name w:val="文本"/>
    <w:basedOn w:val="1"/>
    <w:qFormat/>
    <w:uiPriority w:val="0"/>
    <w:pPr>
      <w:spacing w:line="360" w:lineRule="auto"/>
      <w:ind w:firstLine="480" w:firstLineChars="200"/>
      <w:jc w:val="center"/>
    </w:pPr>
    <w:rPr>
      <w:rFonts w:ascii="Times New Roman" w:hAnsi="Times New Roman" w:eastAsia="宋体"/>
      <w:sz w:val="21"/>
    </w:rPr>
  </w:style>
  <w:style w:type="paragraph" w:customStyle="1" w:styleId="105">
    <w:name w:val="环保表内字（小五）"/>
    <w:basedOn w:val="1"/>
    <w:qFormat/>
    <w:uiPriority w:val="0"/>
    <w:pPr>
      <w:adjustRightInd w:val="0"/>
      <w:snapToGrid w:val="0"/>
      <w:jc w:val="center"/>
    </w:pPr>
    <w:rPr>
      <w:snapToGrid w:val="0"/>
      <w:color w:val="FF0000"/>
      <w:kern w:val="0"/>
      <w:szCs w:val="21"/>
    </w:rPr>
  </w:style>
  <w:style w:type="paragraph" w:customStyle="1" w:styleId="106">
    <w:name w:val="p0"/>
    <w:basedOn w:val="1"/>
    <w:qFormat/>
    <w:uiPriority w:val="0"/>
    <w:pPr>
      <w:widowControl/>
    </w:pPr>
    <w:rPr>
      <w:szCs w:val="21"/>
    </w:rPr>
  </w:style>
  <w:style w:type="paragraph" w:customStyle="1" w:styleId="107">
    <w:name w:val="雷丹正文"/>
    <w:basedOn w:val="1"/>
    <w:qFormat/>
    <w:uiPriority w:val="0"/>
    <w:pPr>
      <w:adjustRightInd w:val="0"/>
      <w:snapToGrid w:val="0"/>
      <w:jc w:val="both"/>
    </w:pPr>
    <w:rPr>
      <w:rFonts w:cs="Times New Roman"/>
    </w:rPr>
  </w:style>
  <w:style w:type="paragraph" w:customStyle="1" w:styleId="108">
    <w:name w:val="环评报告正文"/>
    <w:basedOn w:val="1"/>
    <w:qFormat/>
    <w:uiPriority w:val="0"/>
    <w:pPr>
      <w:spacing w:line="360" w:lineRule="auto"/>
      <w:ind w:firstLine="480" w:firstLineChars="200"/>
    </w:pPr>
    <w:rPr>
      <w:rFonts w:ascii="宋体" w:hAnsi="宋体"/>
      <w:bCs/>
      <w:sz w:val="24"/>
      <w:szCs w:val="20"/>
    </w:rPr>
  </w:style>
  <w:style w:type="paragraph" w:customStyle="1" w:styleId="109">
    <w:name w:val="表格标题"/>
    <w:basedOn w:val="1"/>
    <w:next w:val="110"/>
    <w:qFormat/>
    <w:uiPriority w:val="0"/>
    <w:pPr>
      <w:spacing w:line="360" w:lineRule="auto"/>
      <w:jc w:val="center"/>
    </w:pPr>
    <w:rPr>
      <w:rFonts w:ascii="Times New Roman" w:hAnsi="Times New Roman" w:eastAsia="宋体"/>
      <w:sz w:val="24"/>
    </w:rPr>
  </w:style>
  <w:style w:type="paragraph" w:customStyle="1" w:styleId="110">
    <w:name w:val="表格样式"/>
    <w:next w:val="1"/>
    <w:qFormat/>
    <w:uiPriority w:val="0"/>
    <w:rPr>
      <w:rFonts w:ascii="Times New Roman" w:hAnsi="Times New Roman" w:eastAsia="宋体" w:cs="Times New Roman"/>
      <w:bCs/>
      <w:kern w:val="44"/>
      <w:sz w:val="21"/>
      <w:szCs w:val="44"/>
      <w:lang w:val="en-US" w:eastAsia="zh-CN" w:bidi="ar-SA"/>
    </w:rPr>
  </w:style>
  <w:style w:type="paragraph" w:customStyle="1" w:styleId="111">
    <w:name w:val="环评正文2"/>
    <w:basedOn w:val="1"/>
    <w:qFormat/>
    <w:uiPriority w:val="0"/>
    <w:pPr>
      <w:ind w:firstLine="1680" w:firstLineChars="200"/>
    </w:pPr>
    <w:rPr>
      <w:rFonts w:cs="Times New Roman"/>
    </w:rPr>
  </w:style>
  <w:style w:type="paragraph" w:customStyle="1" w:styleId="112">
    <w:name w:val="正文00"/>
    <w:basedOn w:val="1"/>
    <w:qFormat/>
    <w:uiPriority w:val="0"/>
    <w:rPr>
      <w:rFonts w:ascii="宋体" w:hAnsi="宋体"/>
    </w:rPr>
  </w:style>
  <w:style w:type="paragraph" w:customStyle="1" w:styleId="113">
    <w:name w:val="①JM表格小标题"/>
    <w:basedOn w:val="1"/>
    <w:next w:val="1"/>
    <w:qFormat/>
    <w:uiPriority w:val="0"/>
    <w:pPr>
      <w:jc w:val="center"/>
    </w:pPr>
    <w:rPr>
      <w:b/>
      <w:kern w:val="0"/>
      <w:szCs w:val="18"/>
    </w:rPr>
  </w:style>
  <w:style w:type="paragraph" w:customStyle="1" w:styleId="114">
    <w:name w:val="①JM表格 居中"/>
    <w:basedOn w:val="1"/>
    <w:next w:val="1"/>
    <w:qFormat/>
    <w:uiPriority w:val="0"/>
    <w:pPr>
      <w:wordWrap w:val="0"/>
      <w:jc w:val="center"/>
    </w:pPr>
  </w:style>
  <w:style w:type="paragraph" w:customStyle="1" w:styleId="115">
    <w:name w:val="封面污染影响类"/>
    <w:basedOn w:val="1"/>
    <w:qFormat/>
    <w:uiPriority w:val="0"/>
    <w:pPr>
      <w:spacing w:before="80" w:beforeLines="80"/>
      <w:jc w:val="center"/>
    </w:pPr>
    <w:rPr>
      <w:rFonts w:ascii="Times New Roman" w:hAnsi="Times New Roman" w:eastAsia="楷体_GB2312"/>
      <w:sz w:val="48"/>
    </w:rPr>
  </w:style>
  <w:style w:type="paragraph" w:customStyle="1" w:styleId="116">
    <w:name w:val="样式 正文缩进正文缩进2正文缩进 Char Char正文缩进 Char Char Char Char正文缩进 Char ..."/>
    <w:basedOn w:val="8"/>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117">
    <w:name w:val="封面大标题"/>
    <w:basedOn w:val="1"/>
    <w:qFormat/>
    <w:uiPriority w:val="0"/>
    <w:pPr>
      <w:spacing w:line="240" w:lineRule="auto"/>
      <w:jc w:val="center"/>
    </w:pPr>
    <w:rPr>
      <w:rFonts w:ascii="Times New Roman" w:hAnsi="Times New Roman" w:eastAsia="方正小标宋_GBK"/>
      <w:sz w:val="72"/>
    </w:rPr>
  </w:style>
  <w:style w:type="paragraph" w:customStyle="1" w:styleId="118">
    <w:name w:val="WPSOffice手动目录 1"/>
    <w:qFormat/>
    <w:uiPriority w:val="0"/>
    <w:pPr>
      <w:ind w:leftChars="0"/>
    </w:pPr>
    <w:rPr>
      <w:rFonts w:ascii="Times New Roman" w:hAnsi="Times New Roman" w:eastAsia="宋体" w:cs="Times New Roman"/>
      <w:sz w:val="20"/>
      <w:szCs w:val="20"/>
    </w:rPr>
  </w:style>
  <w:style w:type="paragraph" w:customStyle="1" w:styleId="119">
    <w:name w:val="WPSOffice手动目录 2"/>
    <w:qFormat/>
    <w:uiPriority w:val="0"/>
    <w:pPr>
      <w:ind w:leftChars="200"/>
    </w:pPr>
    <w:rPr>
      <w:rFonts w:ascii="Times New Roman" w:hAnsi="Times New Roman" w:eastAsia="宋体" w:cs="Times New Roman"/>
      <w:sz w:val="20"/>
      <w:szCs w:val="20"/>
    </w:rPr>
  </w:style>
  <w:style w:type="paragraph" w:customStyle="1" w:styleId="120">
    <w:name w:val="雪表文"/>
    <w:basedOn w:val="1"/>
    <w:qFormat/>
    <w:uiPriority w:val="0"/>
    <w:pPr>
      <w:spacing w:line="360" w:lineRule="exact"/>
      <w:jc w:val="center"/>
      <w:textAlignment w:val="center"/>
    </w:pPr>
    <w:rPr>
      <w:rFonts w:hint="default" w:ascii="Times New Roman"/>
      <w:bCs/>
      <w:iCs/>
      <w:kern w:val="2"/>
      <w:sz w:val="21"/>
      <w:szCs w:val="28"/>
    </w:rPr>
  </w:style>
  <w:style w:type="paragraph" w:customStyle="1" w:styleId="121">
    <w:name w:val="Default1"/>
    <w:basedOn w:val="122"/>
    <w:next w:val="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22">
    <w:name w:val="常用正文样式"/>
    <w:qFormat/>
    <w:uiPriority w:val="0"/>
    <w:pPr>
      <w:widowControl w:val="0"/>
      <w:spacing w:line="360" w:lineRule="auto"/>
      <w:ind w:firstLine="454"/>
      <w:jc w:val="both"/>
    </w:pPr>
    <w:rPr>
      <w:rFonts w:ascii="宋体" w:hAnsi="新宋体" w:eastAsia="仿宋_GB2312" w:cs="Times New Roman"/>
      <w:kern w:val="2"/>
      <w:sz w:val="24"/>
      <w:szCs w:val="24"/>
      <w:lang w:val="en-US" w:eastAsia="zh-CN" w:bidi="ar-SA"/>
    </w:rPr>
  </w:style>
  <w:style w:type="paragraph" w:customStyle="1" w:styleId="123">
    <w:name w:val="Table caption|8"/>
    <w:basedOn w:val="1"/>
    <w:qFormat/>
    <w:uiPriority w:val="0"/>
    <w:pPr>
      <w:widowControl w:val="0"/>
      <w:shd w:val="clear" w:color="auto" w:fill="FFFFFF"/>
      <w:spacing w:line="200" w:lineRule="exact"/>
    </w:pPr>
    <w:rPr>
      <w:rFonts w:ascii="PMingLiU" w:hAnsi="PMingLiU" w:eastAsia="PMingLiU" w:cs="PMingLiU"/>
      <w:b/>
      <w:bCs/>
      <w:sz w:val="20"/>
      <w:szCs w:val="20"/>
      <w:u w:val="none"/>
    </w:rPr>
  </w:style>
  <w:style w:type="paragraph" w:customStyle="1" w:styleId="124">
    <w:name w:val="表头-------------"/>
    <w:basedOn w:val="1"/>
    <w:qFormat/>
    <w:uiPriority w:val="0"/>
    <w:pPr>
      <w:spacing w:line="460" w:lineRule="exact"/>
      <w:jc w:val="center"/>
    </w:pPr>
    <w:rPr>
      <w:rFonts w:ascii="Times New Roman" w:hAnsi="Times New Roman" w:eastAsia="黑体" w:cs="宋体"/>
      <w:kern w:val="0"/>
      <w:sz w:val="24"/>
      <w:szCs w:val="20"/>
    </w:rPr>
  </w:style>
  <w:style w:type="paragraph" w:customStyle="1" w:styleId="125">
    <w:name w:val="简单回函地址"/>
    <w:basedOn w:val="1"/>
    <w:qFormat/>
    <w:uiPriority w:val="0"/>
    <w:rPr>
      <w:rFonts w:ascii="Times New Roman" w:hAnsi="Times New Roman"/>
      <w:szCs w:val="24"/>
    </w:rPr>
  </w:style>
  <w:style w:type="paragraph" w:customStyle="1" w:styleId="126">
    <w:name w:val="书标1"/>
    <w:basedOn w:val="1"/>
    <w:next w:val="1"/>
    <w:qFormat/>
    <w:uiPriority w:val="0"/>
    <w:pPr>
      <w:keepNext/>
      <w:overflowPunct w:val="0"/>
      <w:snapToGrid w:val="0"/>
      <w:spacing w:line="700" w:lineRule="exact"/>
      <w:ind w:firstLine="0" w:firstLineChars="0"/>
      <w:jc w:val="left"/>
      <w:outlineLvl w:val="0"/>
    </w:pPr>
    <w:rPr>
      <w:rFonts w:eastAsia="黑体" w:cs="Times New Roman"/>
      <w:color w:val="000000"/>
      <w:kern w:val="44"/>
      <w:sz w:val="32"/>
      <w:szCs w:val="32"/>
    </w:rPr>
  </w:style>
  <w:style w:type="paragraph" w:customStyle="1" w:styleId="127">
    <w:name w:val="书标2"/>
    <w:basedOn w:val="1"/>
    <w:qFormat/>
    <w:uiPriority w:val="0"/>
    <w:pPr>
      <w:keepNext/>
      <w:overflowPunct w:val="0"/>
      <w:snapToGrid w:val="0"/>
      <w:spacing w:line="700" w:lineRule="exact"/>
      <w:ind w:firstLine="0" w:firstLineChars="0"/>
      <w:jc w:val="left"/>
      <w:outlineLvl w:val="1"/>
    </w:pPr>
    <w:rPr>
      <w:rFonts w:eastAsia="黑体" w:cs="Times New Roman"/>
      <w:color w:val="000000"/>
      <w:kern w:val="44"/>
      <w:sz w:val="28"/>
      <w:szCs w:val="28"/>
    </w:rPr>
  </w:style>
  <w:style w:type="paragraph" w:customStyle="1" w:styleId="128">
    <w:name w:val="书标3"/>
    <w:basedOn w:val="1"/>
    <w:qFormat/>
    <w:uiPriority w:val="0"/>
    <w:pPr>
      <w:keepNext/>
      <w:overflowPunct w:val="0"/>
      <w:snapToGrid w:val="0"/>
      <w:spacing w:line="500" w:lineRule="exact"/>
      <w:ind w:firstLine="0" w:firstLineChars="0"/>
      <w:jc w:val="left"/>
      <w:outlineLvl w:val="0"/>
    </w:pPr>
    <w:rPr>
      <w:rFonts w:eastAsia="宋体" w:cs="Times New Roman"/>
      <w:color w:val="000000"/>
      <w:kern w:val="44"/>
      <w:sz w:val="24"/>
      <w:szCs w:val="24"/>
    </w:rPr>
  </w:style>
  <w:style w:type="paragraph" w:customStyle="1" w:styleId="129">
    <w:name w:val="表、图名"/>
    <w:qFormat/>
    <w:uiPriority w:val="0"/>
    <w:pPr>
      <w:widowControl w:val="0"/>
      <w:adjustRightInd w:val="0"/>
      <w:snapToGrid w:val="0"/>
      <w:spacing w:beforeLines="50"/>
      <w:ind w:left="-6"/>
      <w:jc w:val="center"/>
    </w:pPr>
    <w:rPr>
      <w:rFonts w:ascii="Times New Roman" w:hAnsi="Times New Roman" w:eastAsia="黑体" w:cs="Times New Roman"/>
      <w:kern w:val="2"/>
      <w:sz w:val="21"/>
      <w:szCs w:val="21"/>
      <w:lang w:val="en-US" w:eastAsia="zh-CN" w:bidi="ar-SA"/>
    </w:rPr>
  </w:style>
  <w:style w:type="paragraph" w:customStyle="1" w:styleId="130">
    <w:name w:val="D表内1磅"/>
    <w:basedOn w:val="1"/>
    <w:qFormat/>
    <w:uiPriority w:val="0"/>
    <w:pPr>
      <w:spacing w:before="20" w:after="20"/>
      <w:jc w:val="center"/>
    </w:pPr>
    <w:rPr>
      <w:szCs w:val="21"/>
    </w:rPr>
  </w:style>
  <w:style w:type="paragraph" w:customStyle="1" w:styleId="131">
    <w:name w:val="a正文"/>
    <w:basedOn w:val="132"/>
    <w:qFormat/>
    <w:uiPriority w:val="0"/>
    <w:pPr>
      <w:spacing w:line="520" w:lineRule="exact"/>
      <w:ind w:firstLine="561"/>
    </w:pPr>
    <w:rPr>
      <w:rFonts w:ascii="Times New Roman" w:hAnsi="Times New Roman"/>
      <w:sz w:val="28"/>
      <w:szCs w:val="20"/>
    </w:rPr>
  </w:style>
  <w:style w:type="paragraph" w:customStyle="1" w:styleId="132">
    <w:name w:val="正文格式"/>
    <w:basedOn w:val="1"/>
    <w:next w:val="1"/>
    <w:qFormat/>
    <w:uiPriority w:val="0"/>
    <w:pPr>
      <w:spacing w:line="360" w:lineRule="auto"/>
      <w:ind w:firstLine="420" w:firstLineChars="200"/>
    </w:pPr>
    <w:rPr>
      <w:kern w:val="0"/>
      <w:szCs w:val="21"/>
    </w:rPr>
  </w:style>
  <w:style w:type="paragraph" w:customStyle="1" w:styleId="133">
    <w:name w:val="9"/>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34">
    <w:name w:val="正文1"/>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135">
    <w:name w:val="正文6"/>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36">
    <w:name w:val="Table Text"/>
    <w:basedOn w:val="1"/>
    <w:semiHidden/>
    <w:qFormat/>
    <w:uiPriority w:val="0"/>
    <w:pPr>
      <w:widowControl/>
      <w:kinsoku w:val="0"/>
      <w:autoSpaceDE w:val="0"/>
      <w:autoSpaceDN w:val="0"/>
      <w:adjustRightInd w:val="0"/>
      <w:snapToGrid w:val="0"/>
      <w:jc w:val="left"/>
      <w:textAlignment w:val="baseline"/>
    </w:pPr>
    <w:rPr>
      <w:rFonts w:ascii="宋体" w:hAnsi="宋体" w:cs="宋体"/>
      <w:snapToGrid w:val="0"/>
      <w:color w:val="000000"/>
      <w:kern w:val="0"/>
      <w:sz w:val="24"/>
      <w:lang w:eastAsia="en-US"/>
    </w:rPr>
  </w:style>
  <w:style w:type="table" w:customStyle="1" w:styleId="137">
    <w:name w:val="[表格样式]"/>
    <w:qFormat/>
    <w:uiPriority w:val="0"/>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138">
    <w:name w:val="正文16"/>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139">
    <w:name w:val="正文（首行缩进两字） Char"/>
    <w:basedOn w:val="1"/>
    <w:qFormat/>
    <w:uiPriority w:val="0"/>
    <w:pPr>
      <w:widowControl/>
      <w:spacing w:line="360" w:lineRule="auto"/>
      <w:ind w:firstLine="420"/>
      <w:jc w:val="both"/>
    </w:pPr>
    <w:rPr>
      <w:rFonts w:ascii="Times New Roman" w:eastAsia="宋体"/>
      <w:szCs w:val="20"/>
    </w:rPr>
  </w:style>
  <w:style w:type="paragraph" w:customStyle="1" w:styleId="140">
    <w:name w:val="首行缩进表格正文"/>
    <w:basedOn w:val="1"/>
    <w:autoRedefine/>
    <w:qFormat/>
    <w:uiPriority w:val="0"/>
    <w:pPr>
      <w:spacing w:line="360" w:lineRule="auto"/>
      <w:ind w:firstLine="720" w:firstLineChars="200"/>
      <w:jc w:val="left"/>
    </w:pPr>
  </w:style>
  <w:style w:type="character" w:customStyle="1" w:styleId="141">
    <w:name w:val="font11"/>
    <w:basedOn w:val="33"/>
    <w:qFormat/>
    <w:uiPriority w:val="0"/>
    <w:rPr>
      <w:rFonts w:hint="eastAsia" w:ascii="宋体" w:hAnsi="宋体" w:eastAsia="宋体" w:cs="宋体"/>
      <w:color w:val="606266"/>
      <w:sz w:val="22"/>
      <w:szCs w:val="22"/>
      <w:u w:val="none"/>
    </w:rPr>
  </w:style>
  <w:style w:type="paragraph" w:customStyle="1" w:styleId="142">
    <w:name w:val="表中文字"/>
    <w:basedOn w:val="1"/>
    <w:autoRedefine/>
    <w:qFormat/>
    <w:uiPriority w:val="0"/>
    <w:pPr>
      <w:jc w:val="center"/>
    </w:pPr>
  </w:style>
  <w:style w:type="paragraph" w:customStyle="1" w:styleId="143">
    <w:name w:val="样式 黑体 居中 行距: 1.5 倍行距"/>
    <w:basedOn w:val="1"/>
    <w:qFormat/>
    <w:uiPriority w:val="0"/>
    <w:pPr>
      <w:spacing w:line="360" w:lineRule="auto"/>
      <w:jc w:val="center"/>
    </w:pPr>
    <w:rPr>
      <w:rFonts w:ascii="黑体" w:hAnsi="黑体" w:eastAsia="黑体" w:cs="宋体"/>
    </w:rPr>
  </w:style>
  <w:style w:type="paragraph" w:customStyle="1" w:styleId="144">
    <w:name w:val="正"/>
    <w:basedOn w:val="1"/>
    <w:qFormat/>
    <w:uiPriority w:val="0"/>
    <w:pPr>
      <w:spacing w:beforeLines="25" w:afterLines="25" w:line="440" w:lineRule="exact"/>
      <w:ind w:firstLine="200" w:firstLineChars="200"/>
    </w:pPr>
    <w:rPr>
      <w:rFonts w:ascii="Calibri" w:hAnsi="Calibri"/>
      <w:szCs w:val="20"/>
    </w:rPr>
  </w:style>
  <w:style w:type="paragraph" w:customStyle="1" w:styleId="145">
    <w:name w:val="Char Char Char Char Char Char Char2"/>
    <w:basedOn w:val="1"/>
    <w:qFormat/>
    <w:uiPriority w:val="0"/>
    <w:pPr>
      <w:spacing w:line="360" w:lineRule="auto"/>
      <w:ind w:firstLine="200" w:firstLineChars="200"/>
    </w:pPr>
    <w:rPr>
      <w:rFonts w:ascii="宋体" w:hAnsi="宋体" w:cs="宋体"/>
      <w:sz w:val="24"/>
    </w:rPr>
  </w:style>
  <w:style w:type="paragraph" w:customStyle="1" w:styleId="146">
    <w:name w:val="表格填充项"/>
    <w:basedOn w:val="1"/>
    <w:qFormat/>
    <w:uiPriority w:val="0"/>
    <w:pPr>
      <w:spacing w:line="240" w:lineRule="atLeast"/>
      <w:jc w:val="center"/>
    </w:pPr>
    <w:rPr>
      <w:rFonts w:ascii="宋体" w:hAnsi="宋体"/>
      <w:b/>
    </w:rPr>
  </w:style>
  <w:style w:type="paragraph" w:customStyle="1" w:styleId="147">
    <w:name w:val="无间隔1"/>
    <w:qFormat/>
    <w:uiPriority w:val="1"/>
    <w:pPr>
      <w:widowControl w:val="0"/>
      <w:jc w:val="both"/>
    </w:pPr>
    <w:rPr>
      <w:rFonts w:ascii="Times New Roman" w:hAnsi="Times New Roman" w:eastAsia="宋体" w:cs="Times New Roman"/>
      <w:kern w:val="2"/>
      <w:sz w:val="21"/>
      <w:szCs w:val="22"/>
      <w:lang w:val="en-US" w:eastAsia="zh-CN" w:bidi="ar-SA"/>
    </w:rPr>
  </w:style>
  <w:style w:type="table" w:customStyle="1" w:styleId="148">
    <w:name w:val="Table Normal"/>
    <w:autoRedefine/>
    <w:semiHidden/>
    <w:unhideWhenUsed/>
    <w:qFormat/>
    <w:uiPriority w:val="0"/>
    <w:tblPr>
      <w:tblCellMar>
        <w:top w:w="0" w:type="dxa"/>
        <w:left w:w="0" w:type="dxa"/>
        <w:bottom w:w="0" w:type="dxa"/>
        <w:right w:w="0" w:type="dxa"/>
      </w:tblCellMar>
    </w:tblPr>
  </w:style>
  <w:style w:type="paragraph" w:customStyle="1" w:styleId="149">
    <w:name w:val="00"/>
    <w:basedOn w:val="1"/>
    <w:qFormat/>
    <w:uiPriority w:val="0"/>
    <w:pPr>
      <w:spacing w:line="520" w:lineRule="exact"/>
      <w:ind w:firstLine="200" w:firstLineChars="200"/>
    </w:pPr>
    <w:rPr>
      <w:rFonts w:ascii="宋体" w:hAnsi="宋体" w:cs="宋体"/>
      <w:sz w:val="24"/>
      <w:szCs w:val="20"/>
    </w:rPr>
  </w:style>
  <w:style w:type="paragraph" w:customStyle="1" w:styleId="150">
    <w:name w:val="表格文字"/>
    <w:basedOn w:val="1"/>
    <w:next w:val="1"/>
    <w:qFormat/>
    <w:uiPriority w:val="0"/>
    <w:pPr>
      <w:snapToGrid w:val="0"/>
      <w:spacing w:beforeLines="20" w:afterLines="20" w:line="400" w:lineRule="exact"/>
      <w:jc w:val="center"/>
    </w:pPr>
    <w:rPr>
      <w:kern w:val="0"/>
      <w:szCs w:val="21"/>
    </w:rPr>
  </w:style>
  <w:style w:type="paragraph" w:customStyle="1" w:styleId="151">
    <w:name w:val="333正文"/>
    <w:basedOn w:val="1"/>
    <w:qFormat/>
    <w:uiPriority w:val="0"/>
    <w:pPr>
      <w:spacing w:line="360" w:lineRule="auto"/>
      <w:ind w:firstLine="1440" w:firstLineChars="200"/>
      <w:jc w:val="left"/>
    </w:pPr>
    <w:rPr>
      <w:rFonts w:ascii="Times New Roman" w:hAnsi="Times New Roman" w:eastAsia="宋体"/>
      <w:sz w:val="24"/>
    </w:rPr>
  </w:style>
  <w:style w:type="paragraph" w:customStyle="1" w:styleId="152">
    <w:name w:val="首行缩进正文"/>
    <w:basedOn w:val="83"/>
    <w:qFormat/>
    <w:uiPriority w:val="0"/>
    <w:pPr>
      <w:spacing w:line="240" w:lineRule="auto"/>
    </w:pPr>
    <w:rPr>
      <w:sz w:val="21"/>
    </w:rPr>
  </w:style>
  <w:style w:type="paragraph" w:customStyle="1" w:styleId="153">
    <w:name w:val="表"/>
    <w:basedOn w:val="1"/>
    <w:next w:val="154"/>
    <w:qFormat/>
    <w:uiPriority w:val="0"/>
    <w:pPr>
      <w:keepNext/>
      <w:adjustRightInd w:val="0"/>
      <w:spacing w:line="320" w:lineRule="exact"/>
      <w:ind w:firstLine="0" w:firstLineChars="0"/>
      <w:jc w:val="center"/>
      <w:textAlignment w:val="baseline"/>
    </w:pPr>
    <w:rPr>
      <w:kern w:val="0"/>
      <w:sz w:val="21"/>
      <w:szCs w:val="20"/>
    </w:rPr>
  </w:style>
  <w:style w:type="paragraph" w:customStyle="1" w:styleId="154">
    <w:name w:val="正文2"/>
    <w:basedOn w:val="1"/>
    <w:next w:val="1"/>
    <w:qFormat/>
    <w:uiPriority w:val="0"/>
    <w:pPr>
      <w:adjustRightInd w:val="0"/>
      <w:snapToGrid w:val="0"/>
      <w:spacing w:line="440" w:lineRule="atLeast"/>
      <w:ind w:firstLine="567"/>
    </w:pPr>
    <w:rPr>
      <w:rFonts w:ascii="Times New Roman" w:hAnsi="Times New Roman" w:eastAsia="宋体" w:cs="Times New Roman"/>
      <w:sz w:val="24"/>
    </w:rPr>
  </w:style>
  <w:style w:type="character" w:customStyle="1" w:styleId="155">
    <w:name w:val="font41"/>
    <w:basedOn w:val="33"/>
    <w:qFormat/>
    <w:uiPriority w:val="0"/>
    <w:rPr>
      <w:rFonts w:hint="default" w:ascii="Times New Roman" w:hAnsi="Times New Roman" w:cs="Times New Roman"/>
      <w:color w:val="000000"/>
      <w:sz w:val="21"/>
      <w:szCs w:val="21"/>
      <w:u w:val="none"/>
      <w:vertAlign w:val="subscript"/>
    </w:rPr>
  </w:style>
  <w:style w:type="paragraph" w:customStyle="1" w:styleId="156">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157">
    <w:name w:val="报告书正文"/>
    <w:basedOn w:val="1"/>
    <w:qFormat/>
    <w:uiPriority w:val="0"/>
    <w:pPr>
      <w:adjustRightInd w:val="0"/>
      <w:snapToGrid w:val="0"/>
      <w:ind w:firstLine="425"/>
      <w:textAlignment w:val="baseline"/>
    </w:pPr>
    <w:rPr>
      <w:rFonts w:ascii="Arial" w:hAnsi="Arial"/>
      <w:kern w:val="0"/>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56.png"/><Relationship Id="rId74" Type="http://schemas.openxmlformats.org/officeDocument/2006/relationships/image" Target="media/image55.png"/><Relationship Id="rId73" Type="http://schemas.openxmlformats.org/officeDocument/2006/relationships/image" Target="media/image54.png"/><Relationship Id="rId72" Type="http://schemas.openxmlformats.org/officeDocument/2006/relationships/image" Target="media/image53.png"/><Relationship Id="rId71" Type="http://schemas.openxmlformats.org/officeDocument/2006/relationships/image" Target="media/image52.png"/><Relationship Id="rId70" Type="http://schemas.openxmlformats.org/officeDocument/2006/relationships/image" Target="media/image51.png"/><Relationship Id="rId7" Type="http://schemas.openxmlformats.org/officeDocument/2006/relationships/footer" Target="footer5.xml"/><Relationship Id="rId69" Type="http://schemas.openxmlformats.org/officeDocument/2006/relationships/image" Target="media/image50.png"/><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png"/><Relationship Id="rId60" Type="http://schemas.openxmlformats.org/officeDocument/2006/relationships/image" Target="media/image41.png"/><Relationship Id="rId6" Type="http://schemas.openxmlformats.org/officeDocument/2006/relationships/footer" Target="footer4.xml"/><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wmf"/><Relationship Id="rId51" Type="http://schemas.openxmlformats.org/officeDocument/2006/relationships/oleObject" Target="embeddings/oleObject9.bin"/><Relationship Id="rId50" Type="http://schemas.openxmlformats.org/officeDocument/2006/relationships/image" Target="media/image32.png"/><Relationship Id="rId5" Type="http://schemas.openxmlformats.org/officeDocument/2006/relationships/footer" Target="footer3.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png"/><Relationship Id="rId43" Type="http://schemas.openxmlformats.org/officeDocument/2006/relationships/image" Target="media/image25.jpe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footer" Target="footer2.xml"/><Relationship Id="rId39" Type="http://schemas.openxmlformats.org/officeDocument/2006/relationships/image" Target="media/image21.jpeg"/><Relationship Id="rId38" Type="http://schemas.openxmlformats.org/officeDocument/2006/relationships/image" Target="media/image20.png"/><Relationship Id="rId37" Type="http://schemas.openxmlformats.org/officeDocument/2006/relationships/image" Target="media/image19.wmf"/><Relationship Id="rId36" Type="http://schemas.openxmlformats.org/officeDocument/2006/relationships/oleObject" Target="embeddings/oleObject8.bin"/><Relationship Id="rId35" Type="http://schemas.openxmlformats.org/officeDocument/2006/relationships/image" Target="media/image18.wmf"/><Relationship Id="rId34" Type="http://schemas.openxmlformats.org/officeDocument/2006/relationships/oleObject" Target="embeddings/oleObject7.bin"/><Relationship Id="rId33" Type="http://schemas.openxmlformats.org/officeDocument/2006/relationships/image" Target="media/image17.wmf"/><Relationship Id="rId32" Type="http://schemas.openxmlformats.org/officeDocument/2006/relationships/oleObject" Target="embeddings/oleObject6.bin"/><Relationship Id="rId31" Type="http://schemas.openxmlformats.org/officeDocument/2006/relationships/image" Target="media/image16.wmf"/><Relationship Id="rId30" Type="http://schemas.openxmlformats.org/officeDocument/2006/relationships/oleObject" Target="embeddings/oleObject5.bin"/><Relationship Id="rId3" Type="http://schemas.openxmlformats.org/officeDocument/2006/relationships/footer" Target="footer1.xml"/><Relationship Id="rId29" Type="http://schemas.openxmlformats.org/officeDocument/2006/relationships/image" Target="media/image15.wmf"/><Relationship Id="rId28" Type="http://schemas.openxmlformats.org/officeDocument/2006/relationships/oleObject" Target="embeddings/oleObject4.bin"/><Relationship Id="rId27" Type="http://schemas.openxmlformats.org/officeDocument/2006/relationships/image" Target="media/image14.wmf"/><Relationship Id="rId26" Type="http://schemas.openxmlformats.org/officeDocument/2006/relationships/oleObject" Target="embeddings/oleObject3.bin"/><Relationship Id="rId25" Type="http://schemas.openxmlformats.org/officeDocument/2006/relationships/image" Target="media/image13.wmf"/><Relationship Id="rId24" Type="http://schemas.openxmlformats.org/officeDocument/2006/relationships/oleObject" Target="embeddings/oleObject2.bin"/><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jpe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1.bin"/><Relationship Id="rId17" Type="http://schemas.openxmlformats.org/officeDocument/2006/relationships/image" Target="media/image7.wmf"/><Relationship Id="rId16" Type="http://schemas.openxmlformats.org/officeDocument/2006/relationships/image" Target="media/image6.wmf"/><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90</Pages>
  <Words>11903</Words>
  <Characters>12830</Characters>
  <Lines>374</Lines>
  <Paragraphs>105</Paragraphs>
  <TotalTime>0</TotalTime>
  <ScaleCrop>false</ScaleCrop>
  <LinksUpToDate>false</LinksUpToDate>
  <CharactersWithSpaces>12931</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lhj</dc:creator>
  <cp:lastModifiedBy>天空</cp:lastModifiedBy>
  <cp:lastPrinted>2020-12-29T10:43:00Z</cp:lastPrinted>
  <dcterms:modified xsi:type="dcterms:W3CDTF">2026-05-09T07:52:36Z</dcterms:modified>
  <dc:title>附件2</dc:title>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AD2155A488604F7C8E6B722F23D2F9E0_13</vt:lpwstr>
  </property>
  <property fmtid="{D5CDD505-2E9C-101B-9397-08002B2CF9AE}" pid="4" name="KSOTemplateDocerSaveRecord">
    <vt:lpwstr>eyJoZGlkIjoiMDQ2MTBiMmZmNTZmNzRmZjQ2MzYwZTc2ZTRjOWNhY2QiLCJ1c2VySWQiOiI0NTI3MjA3OTAifQ==</vt:lpwstr>
  </property>
</Properties>
</file>