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18502D">
      <w:pPr>
        <w:adjustRightInd w:val="0"/>
        <w:snapToGrid w:val="0"/>
        <w:spacing w:line="288" w:lineRule="auto"/>
        <w:ind w:left="0" w:leftChars="0" w:firstLine="0" w:firstLineChars="0"/>
        <w:jc w:val="both"/>
        <w:rPr>
          <w:rFonts w:hint="eastAsia" w:ascii="方正楷体_GB2312" w:eastAsia="方正楷体_GB2312"/>
          <w:color w:val="auto"/>
          <w:sz w:val="36"/>
          <w:szCs w:val="36"/>
          <w:highlight w:val="none"/>
        </w:rPr>
        <w:sectPr>
          <w:footerReference r:id="rId5" w:type="default"/>
          <w:footerReference r:id="rId6" w:type="even"/>
          <w:pgSz w:w="11906" w:h="16838"/>
          <w:pgMar w:top="1701" w:right="1531" w:bottom="1701" w:left="1531" w:header="851" w:footer="1077" w:gutter="0"/>
          <w:pgBorders>
            <w:top w:val="none" w:sz="0" w:space="0"/>
            <w:left w:val="none" w:sz="0" w:space="0"/>
            <w:bottom w:val="none" w:sz="0" w:space="0"/>
            <w:right w:val="none" w:sz="0" w:space="0"/>
          </w:pgBorders>
          <w:pgNumType w:start="21"/>
          <w:cols w:space="720" w:num="1"/>
          <w:docGrid w:linePitch="312" w:charSpace="0"/>
        </w:sectPr>
      </w:pPr>
      <w:r>
        <w:drawing>
          <wp:inline distT="0" distB="0" distL="114300" distR="114300">
            <wp:extent cx="5467350" cy="775335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
                    <a:stretch>
                      <a:fillRect/>
                    </a:stretch>
                  </pic:blipFill>
                  <pic:spPr>
                    <a:xfrm>
                      <a:off x="0" y="0"/>
                      <a:ext cx="5467350" cy="7753350"/>
                    </a:xfrm>
                    <a:prstGeom prst="rect">
                      <a:avLst/>
                    </a:prstGeom>
                    <a:noFill/>
                    <a:ln>
                      <a:noFill/>
                    </a:ln>
                  </pic:spPr>
                </pic:pic>
              </a:graphicData>
            </a:graphic>
          </wp:inline>
        </w:drawing>
      </w:r>
      <w:bookmarkStart w:id="19" w:name="_GoBack"/>
      <w:bookmarkEnd w:id="19"/>
    </w:p>
    <w:p w14:paraId="2D43FE50">
      <w:pPr>
        <w:adjustRightInd w:val="0"/>
        <w:snapToGrid w:val="0"/>
        <w:spacing w:line="288" w:lineRule="auto"/>
        <w:ind w:left="0" w:leftChars="0" w:firstLine="0" w:firstLineChars="0"/>
        <w:jc w:val="center"/>
        <w:rPr>
          <w:rFonts w:hint="eastAsia" w:ascii="方正楷体_GB2312" w:eastAsia="方正楷体_GB2312"/>
          <w:color w:val="auto"/>
          <w:sz w:val="36"/>
          <w:szCs w:val="36"/>
          <w:highlight w:val="none"/>
        </w:rPr>
        <w:sectPr>
          <w:pgSz w:w="11906" w:h="16838"/>
          <w:pgMar w:top="1701" w:right="1531" w:bottom="1701" w:left="1531" w:header="851" w:footer="1077" w:gutter="0"/>
          <w:pgBorders>
            <w:top w:val="none" w:sz="0" w:space="0"/>
            <w:left w:val="none" w:sz="0" w:space="0"/>
            <w:bottom w:val="none" w:sz="0" w:space="0"/>
            <w:right w:val="none" w:sz="0" w:space="0"/>
          </w:pgBorders>
          <w:pgNumType w:start="21"/>
          <w:cols w:space="720" w:num="1"/>
          <w:docGrid w:linePitch="312" w:charSpace="0"/>
        </w:sectPr>
      </w:pPr>
      <w:r>
        <w:drawing>
          <wp:inline distT="0" distB="0" distL="114300" distR="114300">
            <wp:extent cx="5467350" cy="767715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0"/>
                    <a:stretch>
                      <a:fillRect/>
                    </a:stretch>
                  </pic:blipFill>
                  <pic:spPr>
                    <a:xfrm>
                      <a:off x="0" y="0"/>
                      <a:ext cx="5467350" cy="7677150"/>
                    </a:xfrm>
                    <a:prstGeom prst="rect">
                      <a:avLst/>
                    </a:prstGeom>
                    <a:noFill/>
                    <a:ln>
                      <a:noFill/>
                    </a:ln>
                  </pic:spPr>
                </pic:pic>
              </a:graphicData>
            </a:graphic>
          </wp:inline>
        </w:drawing>
      </w:r>
    </w:p>
    <w:p w14:paraId="222BC71C">
      <w:pPr>
        <w:spacing w:line="288" w:lineRule="auto"/>
        <w:ind w:firstLine="0" w:firstLineChars="0"/>
        <w:jc w:val="center"/>
        <w:rPr>
          <w:rFonts w:hint="eastAsia" w:ascii="黑体" w:hAnsi="黑体" w:eastAsia="黑体" w:cs="黑体"/>
          <w:color w:val="auto"/>
          <w:sz w:val="36"/>
          <w:szCs w:val="36"/>
          <w:highlight w:val="none"/>
        </w:rPr>
      </w:pPr>
      <w:r>
        <w:rPr>
          <w:rFonts w:hint="eastAsia" w:ascii="黑体" w:hAnsi="黑体" w:eastAsia="黑体" w:cs="黑体"/>
          <w:color w:val="auto"/>
          <w:sz w:val="36"/>
          <w:szCs w:val="36"/>
          <w:highlight w:val="none"/>
        </w:rPr>
        <w:t>目  录</w:t>
      </w:r>
    </w:p>
    <w:p w14:paraId="6FE638C1">
      <w:pPr>
        <w:spacing w:line="288" w:lineRule="auto"/>
        <w:ind w:firstLine="0" w:firstLineChars="0"/>
        <w:jc w:val="center"/>
        <w:rPr>
          <w:rFonts w:hint="eastAsia" w:ascii="黑体" w:hAnsi="黑体" w:eastAsia="黑体" w:cs="黑体"/>
          <w:color w:val="auto"/>
          <w:sz w:val="36"/>
          <w:szCs w:val="36"/>
          <w:highlight w:val="none"/>
        </w:rPr>
      </w:pPr>
    </w:p>
    <w:p w14:paraId="0292C490">
      <w:pPr>
        <w:pStyle w:val="9"/>
        <w:tabs>
          <w:tab w:val="right" w:leader="dot" w:pos="8844"/>
        </w:tabs>
        <w:spacing w:line="480" w:lineRule="auto"/>
        <w:ind w:left="0" w:leftChars="0" w:firstLine="0" w:firstLineChars="0"/>
        <w:rPr>
          <w:rFonts w:eastAsia="黑体"/>
          <w:color w:val="auto"/>
          <w:highlight w:val="none"/>
        </w:rPr>
      </w:pPr>
      <w:r>
        <w:rPr>
          <w:rFonts w:eastAsia="方正仿宋_GB2312"/>
          <w:color w:val="auto"/>
          <w:highlight w:val="none"/>
        </w:rPr>
        <w:fldChar w:fldCharType="begin"/>
      </w:r>
      <w:r>
        <w:rPr>
          <w:rFonts w:eastAsia="方正仿宋_GB2312"/>
          <w:color w:val="auto"/>
          <w:highlight w:val="none"/>
        </w:rPr>
        <w:instrText xml:space="preserve">TOC \o "1-2" \h \u </w:instrText>
      </w:r>
      <w:r>
        <w:rPr>
          <w:rFonts w:eastAsia="方正仿宋_GB2312"/>
          <w:color w:val="auto"/>
          <w:highlight w:val="none"/>
        </w:rPr>
        <w:fldChar w:fldCharType="separate"/>
      </w:r>
      <w:r>
        <w:rPr>
          <w:rFonts w:eastAsia="黑体"/>
          <w:color w:val="auto"/>
          <w:highlight w:val="none"/>
        </w:rPr>
        <w:fldChar w:fldCharType="begin"/>
      </w:r>
      <w:r>
        <w:rPr>
          <w:rFonts w:eastAsia="黑体"/>
          <w:color w:val="auto"/>
          <w:highlight w:val="none"/>
        </w:rPr>
        <w:instrText xml:space="preserve"> HYPERLINK \l _Toc12697 </w:instrText>
      </w:r>
      <w:r>
        <w:rPr>
          <w:rFonts w:eastAsia="黑体"/>
          <w:color w:val="auto"/>
          <w:highlight w:val="none"/>
        </w:rPr>
        <w:fldChar w:fldCharType="separate"/>
      </w:r>
      <w:r>
        <w:rPr>
          <w:rFonts w:eastAsia="黑体"/>
          <w:color w:val="auto"/>
          <w:highlight w:val="none"/>
        </w:rPr>
        <w:t>一、建设项目基本情况</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_Toc12697 \h </w:instrText>
      </w:r>
      <w:r>
        <w:rPr>
          <w:rFonts w:eastAsia="黑体"/>
          <w:color w:val="auto"/>
          <w:highlight w:val="none"/>
        </w:rPr>
        <w:fldChar w:fldCharType="separate"/>
      </w:r>
      <w:r>
        <w:rPr>
          <w:rFonts w:eastAsia="黑体"/>
          <w:color w:val="auto"/>
          <w:highlight w:val="none"/>
        </w:rPr>
        <w:t>1</w:t>
      </w:r>
      <w:r>
        <w:rPr>
          <w:rFonts w:eastAsia="黑体"/>
          <w:color w:val="auto"/>
          <w:highlight w:val="none"/>
        </w:rPr>
        <w:fldChar w:fldCharType="end"/>
      </w:r>
      <w:r>
        <w:rPr>
          <w:rFonts w:eastAsia="黑体"/>
          <w:color w:val="auto"/>
          <w:highlight w:val="none"/>
        </w:rPr>
        <w:fldChar w:fldCharType="end"/>
      </w:r>
    </w:p>
    <w:p w14:paraId="7034116F">
      <w:pPr>
        <w:pStyle w:val="9"/>
        <w:tabs>
          <w:tab w:val="right" w:leader="dot" w:pos="8844"/>
        </w:tabs>
        <w:spacing w:line="480" w:lineRule="auto"/>
        <w:ind w:left="0" w:leftChars="0" w:firstLine="0" w:firstLineChars="0"/>
        <w:rPr>
          <w:rFonts w:eastAsia="黑体"/>
          <w:color w:val="auto"/>
          <w:highlight w:val="none"/>
        </w:rPr>
      </w:pPr>
      <w:r>
        <w:rPr>
          <w:rFonts w:eastAsia="黑体"/>
          <w:color w:val="auto"/>
          <w:highlight w:val="none"/>
        </w:rPr>
        <w:fldChar w:fldCharType="begin"/>
      </w:r>
      <w:r>
        <w:rPr>
          <w:rFonts w:eastAsia="黑体"/>
          <w:color w:val="auto"/>
          <w:highlight w:val="none"/>
        </w:rPr>
        <w:instrText xml:space="preserve"> HYPERLINK \l _Toc27068 </w:instrText>
      </w:r>
      <w:r>
        <w:rPr>
          <w:rFonts w:eastAsia="黑体"/>
          <w:color w:val="auto"/>
          <w:highlight w:val="none"/>
        </w:rPr>
        <w:fldChar w:fldCharType="separate"/>
      </w:r>
      <w:r>
        <w:rPr>
          <w:rFonts w:eastAsia="黑体"/>
          <w:color w:val="auto"/>
          <w:highlight w:val="none"/>
        </w:rPr>
        <w:t>二、建设内容</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_Toc27068 \h </w:instrText>
      </w:r>
      <w:r>
        <w:rPr>
          <w:rFonts w:eastAsia="黑体"/>
          <w:color w:val="auto"/>
          <w:highlight w:val="none"/>
        </w:rPr>
        <w:fldChar w:fldCharType="separate"/>
      </w:r>
      <w:r>
        <w:rPr>
          <w:rFonts w:eastAsia="黑体"/>
          <w:color w:val="auto"/>
          <w:highlight w:val="none"/>
        </w:rPr>
        <w:t>20</w:t>
      </w:r>
      <w:r>
        <w:rPr>
          <w:rFonts w:eastAsia="黑体"/>
          <w:color w:val="auto"/>
          <w:highlight w:val="none"/>
        </w:rPr>
        <w:fldChar w:fldCharType="end"/>
      </w:r>
      <w:r>
        <w:rPr>
          <w:rFonts w:eastAsia="黑体"/>
          <w:color w:val="auto"/>
          <w:highlight w:val="none"/>
        </w:rPr>
        <w:fldChar w:fldCharType="end"/>
      </w:r>
    </w:p>
    <w:p w14:paraId="3D2092F3">
      <w:pPr>
        <w:pStyle w:val="9"/>
        <w:tabs>
          <w:tab w:val="right" w:leader="dot" w:pos="8844"/>
        </w:tabs>
        <w:spacing w:line="480" w:lineRule="auto"/>
        <w:ind w:left="0" w:leftChars="0" w:firstLine="0" w:firstLineChars="0"/>
        <w:rPr>
          <w:rFonts w:eastAsia="黑体"/>
          <w:color w:val="auto"/>
          <w:highlight w:val="none"/>
        </w:rPr>
      </w:pPr>
      <w:r>
        <w:rPr>
          <w:rFonts w:eastAsia="黑体"/>
          <w:color w:val="auto"/>
          <w:highlight w:val="none"/>
        </w:rPr>
        <w:fldChar w:fldCharType="begin"/>
      </w:r>
      <w:r>
        <w:rPr>
          <w:rFonts w:eastAsia="黑体"/>
          <w:color w:val="auto"/>
          <w:highlight w:val="none"/>
        </w:rPr>
        <w:instrText xml:space="preserve"> HYPERLINK \l _Toc787 </w:instrText>
      </w:r>
      <w:r>
        <w:rPr>
          <w:rFonts w:eastAsia="黑体"/>
          <w:color w:val="auto"/>
          <w:highlight w:val="none"/>
        </w:rPr>
        <w:fldChar w:fldCharType="separate"/>
      </w:r>
      <w:r>
        <w:rPr>
          <w:rFonts w:eastAsia="黑体"/>
          <w:color w:val="auto"/>
          <w:highlight w:val="none"/>
        </w:rPr>
        <w:t>三、生态环境现状、保护目标及评价标准</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_Toc787 \h </w:instrText>
      </w:r>
      <w:r>
        <w:rPr>
          <w:rFonts w:eastAsia="黑体"/>
          <w:color w:val="auto"/>
          <w:highlight w:val="none"/>
        </w:rPr>
        <w:fldChar w:fldCharType="separate"/>
      </w:r>
      <w:r>
        <w:rPr>
          <w:rFonts w:eastAsia="黑体"/>
          <w:color w:val="auto"/>
          <w:highlight w:val="none"/>
        </w:rPr>
        <w:t>41</w:t>
      </w:r>
      <w:r>
        <w:rPr>
          <w:rFonts w:eastAsia="黑体"/>
          <w:color w:val="auto"/>
          <w:highlight w:val="none"/>
        </w:rPr>
        <w:fldChar w:fldCharType="end"/>
      </w:r>
      <w:r>
        <w:rPr>
          <w:rFonts w:eastAsia="黑体"/>
          <w:color w:val="auto"/>
          <w:highlight w:val="none"/>
        </w:rPr>
        <w:fldChar w:fldCharType="end"/>
      </w:r>
    </w:p>
    <w:p w14:paraId="0026C419">
      <w:pPr>
        <w:pStyle w:val="9"/>
        <w:tabs>
          <w:tab w:val="right" w:leader="dot" w:pos="8844"/>
        </w:tabs>
        <w:spacing w:line="480" w:lineRule="auto"/>
        <w:ind w:left="0" w:leftChars="0" w:firstLine="0" w:firstLineChars="0"/>
        <w:rPr>
          <w:rFonts w:eastAsia="黑体"/>
          <w:color w:val="auto"/>
          <w:highlight w:val="none"/>
        </w:rPr>
      </w:pPr>
      <w:r>
        <w:rPr>
          <w:rFonts w:eastAsia="黑体"/>
          <w:color w:val="auto"/>
          <w:highlight w:val="none"/>
        </w:rPr>
        <w:fldChar w:fldCharType="begin"/>
      </w:r>
      <w:r>
        <w:rPr>
          <w:rFonts w:eastAsia="黑体"/>
          <w:color w:val="auto"/>
          <w:highlight w:val="none"/>
        </w:rPr>
        <w:instrText xml:space="preserve"> HYPERLINK \l _Toc10426 </w:instrText>
      </w:r>
      <w:r>
        <w:rPr>
          <w:rFonts w:eastAsia="黑体"/>
          <w:color w:val="auto"/>
          <w:highlight w:val="none"/>
        </w:rPr>
        <w:fldChar w:fldCharType="separate"/>
      </w:r>
      <w:r>
        <w:rPr>
          <w:rFonts w:eastAsia="黑体"/>
          <w:color w:val="auto"/>
          <w:highlight w:val="none"/>
        </w:rPr>
        <w:t>四、生态环境影响分析</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_Toc10426 \h </w:instrText>
      </w:r>
      <w:r>
        <w:rPr>
          <w:rFonts w:eastAsia="黑体"/>
          <w:color w:val="auto"/>
          <w:highlight w:val="none"/>
        </w:rPr>
        <w:fldChar w:fldCharType="separate"/>
      </w:r>
      <w:r>
        <w:rPr>
          <w:rFonts w:eastAsia="黑体"/>
          <w:color w:val="auto"/>
          <w:highlight w:val="none"/>
        </w:rPr>
        <w:t>56</w:t>
      </w:r>
      <w:r>
        <w:rPr>
          <w:rFonts w:eastAsia="黑体"/>
          <w:color w:val="auto"/>
          <w:highlight w:val="none"/>
        </w:rPr>
        <w:fldChar w:fldCharType="end"/>
      </w:r>
      <w:r>
        <w:rPr>
          <w:rFonts w:eastAsia="黑体"/>
          <w:color w:val="auto"/>
          <w:highlight w:val="none"/>
        </w:rPr>
        <w:fldChar w:fldCharType="end"/>
      </w:r>
    </w:p>
    <w:p w14:paraId="64D1CD19">
      <w:pPr>
        <w:pStyle w:val="9"/>
        <w:tabs>
          <w:tab w:val="right" w:leader="dot" w:pos="8844"/>
        </w:tabs>
        <w:spacing w:line="480" w:lineRule="auto"/>
        <w:ind w:left="0" w:leftChars="0" w:firstLine="0" w:firstLineChars="0"/>
        <w:rPr>
          <w:rFonts w:eastAsia="黑体"/>
          <w:color w:val="auto"/>
          <w:highlight w:val="none"/>
        </w:rPr>
      </w:pPr>
      <w:r>
        <w:rPr>
          <w:rFonts w:eastAsia="黑体"/>
          <w:color w:val="auto"/>
          <w:highlight w:val="none"/>
        </w:rPr>
        <w:fldChar w:fldCharType="begin"/>
      </w:r>
      <w:r>
        <w:rPr>
          <w:rFonts w:eastAsia="黑体"/>
          <w:color w:val="auto"/>
          <w:highlight w:val="none"/>
        </w:rPr>
        <w:instrText xml:space="preserve"> HYPERLINK \l _Toc32239 </w:instrText>
      </w:r>
      <w:r>
        <w:rPr>
          <w:rFonts w:eastAsia="黑体"/>
          <w:color w:val="auto"/>
          <w:highlight w:val="none"/>
        </w:rPr>
        <w:fldChar w:fldCharType="separate"/>
      </w:r>
      <w:r>
        <w:rPr>
          <w:rFonts w:eastAsia="黑体"/>
          <w:color w:val="auto"/>
          <w:highlight w:val="none"/>
        </w:rPr>
        <w:t>五、主要生态环境保护措施</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_Toc32239 \h </w:instrText>
      </w:r>
      <w:r>
        <w:rPr>
          <w:rFonts w:eastAsia="黑体"/>
          <w:color w:val="auto"/>
          <w:highlight w:val="none"/>
        </w:rPr>
        <w:fldChar w:fldCharType="separate"/>
      </w:r>
      <w:r>
        <w:rPr>
          <w:rFonts w:eastAsia="黑体"/>
          <w:color w:val="auto"/>
          <w:highlight w:val="none"/>
        </w:rPr>
        <w:t>65</w:t>
      </w:r>
      <w:r>
        <w:rPr>
          <w:rFonts w:eastAsia="黑体"/>
          <w:color w:val="auto"/>
          <w:highlight w:val="none"/>
        </w:rPr>
        <w:fldChar w:fldCharType="end"/>
      </w:r>
      <w:r>
        <w:rPr>
          <w:rFonts w:eastAsia="黑体"/>
          <w:color w:val="auto"/>
          <w:highlight w:val="none"/>
        </w:rPr>
        <w:fldChar w:fldCharType="end"/>
      </w:r>
    </w:p>
    <w:p w14:paraId="69367AEB">
      <w:pPr>
        <w:pStyle w:val="9"/>
        <w:tabs>
          <w:tab w:val="right" w:leader="dot" w:pos="8844"/>
        </w:tabs>
        <w:spacing w:line="480" w:lineRule="auto"/>
        <w:ind w:left="0" w:leftChars="0" w:firstLine="0" w:firstLineChars="0"/>
        <w:rPr>
          <w:rFonts w:eastAsia="黑体"/>
          <w:color w:val="auto"/>
          <w:highlight w:val="none"/>
        </w:rPr>
      </w:pPr>
      <w:r>
        <w:rPr>
          <w:rFonts w:eastAsia="黑体"/>
          <w:color w:val="auto"/>
          <w:highlight w:val="none"/>
        </w:rPr>
        <w:fldChar w:fldCharType="begin"/>
      </w:r>
      <w:r>
        <w:rPr>
          <w:rFonts w:eastAsia="黑体"/>
          <w:color w:val="auto"/>
          <w:highlight w:val="none"/>
        </w:rPr>
        <w:instrText xml:space="preserve"> HYPERLINK \l _Toc6724 </w:instrText>
      </w:r>
      <w:r>
        <w:rPr>
          <w:rFonts w:eastAsia="黑体"/>
          <w:color w:val="auto"/>
          <w:highlight w:val="none"/>
        </w:rPr>
        <w:fldChar w:fldCharType="separate"/>
      </w:r>
      <w:r>
        <w:rPr>
          <w:rFonts w:eastAsia="黑体"/>
          <w:color w:val="auto"/>
          <w:highlight w:val="none"/>
        </w:rPr>
        <w:t>六、生态环境保护措施监督检查清单</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_Toc6724 \h </w:instrText>
      </w:r>
      <w:r>
        <w:rPr>
          <w:rFonts w:eastAsia="黑体"/>
          <w:color w:val="auto"/>
          <w:highlight w:val="none"/>
        </w:rPr>
        <w:fldChar w:fldCharType="separate"/>
      </w:r>
      <w:r>
        <w:rPr>
          <w:rFonts w:eastAsia="黑体"/>
          <w:color w:val="auto"/>
          <w:highlight w:val="none"/>
        </w:rPr>
        <w:t>74</w:t>
      </w:r>
      <w:r>
        <w:rPr>
          <w:rFonts w:eastAsia="黑体"/>
          <w:color w:val="auto"/>
          <w:highlight w:val="none"/>
        </w:rPr>
        <w:fldChar w:fldCharType="end"/>
      </w:r>
      <w:r>
        <w:rPr>
          <w:rFonts w:eastAsia="黑体"/>
          <w:color w:val="auto"/>
          <w:highlight w:val="none"/>
        </w:rPr>
        <w:fldChar w:fldCharType="end"/>
      </w:r>
    </w:p>
    <w:p w14:paraId="5878C4F9">
      <w:pPr>
        <w:pStyle w:val="9"/>
        <w:tabs>
          <w:tab w:val="right" w:leader="dot" w:pos="8844"/>
        </w:tabs>
        <w:spacing w:line="480" w:lineRule="auto"/>
        <w:ind w:left="0" w:leftChars="0" w:firstLine="0" w:firstLineChars="0"/>
        <w:rPr>
          <w:color w:val="auto"/>
          <w:highlight w:val="none"/>
        </w:rPr>
      </w:pPr>
      <w:r>
        <w:rPr>
          <w:rFonts w:eastAsia="黑体"/>
          <w:color w:val="auto"/>
          <w:highlight w:val="none"/>
        </w:rPr>
        <w:fldChar w:fldCharType="begin"/>
      </w:r>
      <w:r>
        <w:rPr>
          <w:rFonts w:eastAsia="黑体"/>
          <w:color w:val="auto"/>
          <w:highlight w:val="none"/>
        </w:rPr>
        <w:instrText xml:space="preserve"> HYPERLINK \l _Toc26135 </w:instrText>
      </w:r>
      <w:r>
        <w:rPr>
          <w:rFonts w:eastAsia="黑体"/>
          <w:color w:val="auto"/>
          <w:highlight w:val="none"/>
        </w:rPr>
        <w:fldChar w:fldCharType="separate"/>
      </w:r>
      <w:r>
        <w:rPr>
          <w:rFonts w:eastAsia="黑体"/>
          <w:color w:val="auto"/>
          <w:highlight w:val="none"/>
        </w:rPr>
        <w:t>七、结论</w:t>
      </w:r>
      <w:r>
        <w:rPr>
          <w:rFonts w:eastAsia="黑体"/>
          <w:color w:val="auto"/>
          <w:highlight w:val="none"/>
        </w:rPr>
        <w:tab/>
      </w:r>
      <w:r>
        <w:rPr>
          <w:rFonts w:eastAsia="黑体"/>
          <w:color w:val="auto"/>
          <w:highlight w:val="none"/>
        </w:rPr>
        <w:fldChar w:fldCharType="begin"/>
      </w:r>
      <w:r>
        <w:rPr>
          <w:rFonts w:eastAsia="黑体"/>
          <w:color w:val="auto"/>
          <w:highlight w:val="none"/>
        </w:rPr>
        <w:instrText xml:space="preserve"> PAGEREF _Toc26135 \h </w:instrText>
      </w:r>
      <w:r>
        <w:rPr>
          <w:rFonts w:eastAsia="黑体"/>
          <w:color w:val="auto"/>
          <w:highlight w:val="none"/>
        </w:rPr>
        <w:fldChar w:fldCharType="separate"/>
      </w:r>
      <w:r>
        <w:rPr>
          <w:rFonts w:eastAsia="黑体"/>
          <w:color w:val="auto"/>
          <w:highlight w:val="none"/>
        </w:rPr>
        <w:t>77</w:t>
      </w:r>
      <w:r>
        <w:rPr>
          <w:rFonts w:eastAsia="黑体"/>
          <w:color w:val="auto"/>
          <w:highlight w:val="none"/>
        </w:rPr>
        <w:fldChar w:fldCharType="end"/>
      </w:r>
      <w:r>
        <w:rPr>
          <w:rFonts w:eastAsia="黑体"/>
          <w:color w:val="auto"/>
          <w:highlight w:val="none"/>
        </w:rPr>
        <w:fldChar w:fldCharType="end"/>
      </w:r>
    </w:p>
    <w:p w14:paraId="21DA687F">
      <w:pPr>
        <w:spacing w:line="480" w:lineRule="auto"/>
        <w:ind w:firstLine="0" w:firstLineChars="0"/>
        <w:rPr>
          <w:rFonts w:ascii="方正仿宋_GB2312" w:eastAsia="方正仿宋_GB2312"/>
          <w:color w:val="auto"/>
          <w:highlight w:val="none"/>
        </w:rPr>
      </w:pPr>
      <w:r>
        <w:rPr>
          <w:rFonts w:eastAsia="方正仿宋_GB2312"/>
          <w:color w:val="auto"/>
          <w:highlight w:val="none"/>
        </w:rPr>
        <w:fldChar w:fldCharType="end"/>
      </w:r>
    </w:p>
    <w:p w14:paraId="3A8C53CE">
      <w:pPr>
        <w:spacing w:line="480" w:lineRule="auto"/>
        <w:ind w:firstLine="0" w:firstLineChars="0"/>
        <w:rPr>
          <w:rFonts w:ascii="方正仿宋_GB2312" w:eastAsia="方正仿宋_GB2312"/>
          <w:color w:val="auto"/>
          <w:highlight w:val="none"/>
        </w:rPr>
        <w:sectPr>
          <w:pgSz w:w="11906" w:h="16838"/>
          <w:pgMar w:top="1701" w:right="1531" w:bottom="1701" w:left="1531" w:header="851" w:footer="1077" w:gutter="0"/>
          <w:pgBorders>
            <w:top w:val="none" w:sz="0" w:space="0"/>
            <w:left w:val="none" w:sz="0" w:space="0"/>
            <w:bottom w:val="none" w:sz="0" w:space="0"/>
            <w:right w:val="none" w:sz="0" w:space="0"/>
          </w:pgBorders>
          <w:pgNumType w:start="21"/>
          <w:cols w:space="720" w:num="1"/>
          <w:docGrid w:linePitch="312" w:charSpace="0"/>
        </w:sectPr>
      </w:pPr>
    </w:p>
    <w:p w14:paraId="18282336">
      <w:pPr>
        <w:spacing w:line="360" w:lineRule="auto"/>
        <w:ind w:firstLine="0" w:firstLineChars="0"/>
        <w:rPr>
          <w:rFonts w:hint="eastAsia" w:ascii="黑体" w:hAnsi="黑体" w:eastAsia="黑体" w:cs="黑体"/>
          <w:color w:val="auto"/>
          <w:highlight w:val="none"/>
          <w:lang w:eastAsia="zh-CN"/>
        </w:rPr>
      </w:pPr>
      <w:r>
        <w:rPr>
          <w:rFonts w:hint="eastAsia" w:ascii="黑体" w:hAnsi="黑体" w:eastAsia="黑体" w:cs="黑体"/>
          <w:color w:val="auto"/>
          <w:highlight w:val="none"/>
          <w:lang w:eastAsia="zh-CN"/>
        </w:rPr>
        <w:t>附图</w:t>
      </w:r>
    </w:p>
    <w:p w14:paraId="57D99B31">
      <w:pPr>
        <w:spacing w:line="360" w:lineRule="auto"/>
        <w:ind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 xml:space="preserve">附图1  </w:t>
      </w:r>
      <w:r>
        <w:rPr>
          <w:rFonts w:hint="eastAsia" w:eastAsia="黑体" w:cs="Times New Roman"/>
          <w:b w:val="0"/>
          <w:bCs w:val="0"/>
          <w:color w:val="auto"/>
          <w:highlight w:val="none"/>
          <w:lang w:val="en-US" w:eastAsia="zh-CN"/>
        </w:rPr>
        <w:t>项目地理位置图</w:t>
      </w:r>
    </w:p>
    <w:p w14:paraId="2F7C073C">
      <w:pPr>
        <w:spacing w:line="360" w:lineRule="auto"/>
        <w:ind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 xml:space="preserve">附图2  </w:t>
      </w:r>
      <w:r>
        <w:rPr>
          <w:rFonts w:hint="eastAsia" w:ascii="黑体" w:hAnsi="黑体" w:eastAsia="黑体" w:cs="黑体"/>
          <w:color w:val="auto"/>
          <w:highlight w:val="none"/>
          <w:lang w:eastAsia="zh-CN"/>
        </w:rPr>
        <w:t>项目</w:t>
      </w:r>
      <w:r>
        <w:rPr>
          <w:rFonts w:hint="eastAsia" w:eastAsia="黑体" w:cs="Times New Roman"/>
          <w:b w:val="0"/>
          <w:bCs w:val="0"/>
          <w:color w:val="auto"/>
          <w:highlight w:val="none"/>
          <w:lang w:val="en-US" w:eastAsia="zh-CN"/>
        </w:rPr>
        <w:t>路线平、纵面缩图</w:t>
      </w:r>
    </w:p>
    <w:p w14:paraId="70570705">
      <w:pPr>
        <w:pStyle w:val="5"/>
        <w:spacing w:line="360" w:lineRule="auto"/>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 xml:space="preserve">附图3  </w:t>
      </w:r>
      <w:r>
        <w:rPr>
          <w:rFonts w:hint="default" w:ascii="Times New Roman" w:hAnsi="Times New Roman" w:eastAsia="黑体" w:cs="Times New Roman"/>
          <w:color w:val="auto"/>
          <w:sz w:val="24"/>
          <w:szCs w:val="32"/>
          <w:highlight w:val="none"/>
        </w:rPr>
        <w:t>项目区域</w:t>
      </w:r>
      <w:r>
        <w:rPr>
          <w:rFonts w:hint="eastAsia" w:ascii="Times New Roman" w:hAnsi="Times New Roman" w:eastAsia="黑体" w:cs="Times New Roman"/>
          <w:color w:val="auto"/>
          <w:sz w:val="24"/>
          <w:szCs w:val="32"/>
          <w:highlight w:val="none"/>
          <w:lang w:val="en-US" w:eastAsia="zh-CN"/>
        </w:rPr>
        <w:t>水系图</w:t>
      </w:r>
    </w:p>
    <w:p w14:paraId="6BBF2536">
      <w:pPr>
        <w:spacing w:line="360" w:lineRule="auto"/>
        <w:ind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附图4  项目与黑龙江省生态功能区划位置关系图</w:t>
      </w:r>
    </w:p>
    <w:p w14:paraId="08674C19">
      <w:pPr>
        <w:spacing w:line="360" w:lineRule="auto"/>
        <w:ind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附图5  项目与黑龙江省主体功能区划位置关系图</w:t>
      </w:r>
    </w:p>
    <w:p w14:paraId="4F34C854">
      <w:pPr>
        <w:spacing w:line="360" w:lineRule="auto"/>
        <w:ind w:firstLine="0" w:firstLineChars="0"/>
        <w:rPr>
          <w:rFonts w:hint="default" w:ascii="黑体" w:hAnsi="黑体" w:eastAsia="黑体" w:cs="黑体"/>
          <w:color w:val="auto"/>
          <w:highlight w:val="none"/>
          <w:lang w:val="en-US" w:eastAsia="zh-CN"/>
        </w:rPr>
      </w:pPr>
      <w:r>
        <w:rPr>
          <w:rFonts w:hint="eastAsia" w:ascii="黑体" w:hAnsi="黑体" w:eastAsia="黑体" w:cs="黑体"/>
          <w:color w:val="auto"/>
          <w:highlight w:val="none"/>
        </w:rPr>
        <w:t xml:space="preserve">附图6  </w:t>
      </w:r>
      <w:r>
        <w:rPr>
          <w:rFonts w:hint="default" w:ascii="黑体" w:hAnsi="黑体" w:eastAsia="黑体" w:cs="黑体"/>
          <w:color w:val="auto"/>
          <w:highlight w:val="none"/>
          <w:lang w:val="en-US" w:eastAsia="zh-CN"/>
        </w:rPr>
        <w:t>声环境保护目标图</w:t>
      </w:r>
    </w:p>
    <w:p w14:paraId="478DA8D3">
      <w:pPr>
        <w:spacing w:line="360" w:lineRule="auto"/>
        <w:ind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7</w:t>
      </w:r>
      <w:r>
        <w:rPr>
          <w:rFonts w:hint="eastAsia" w:ascii="黑体" w:hAnsi="黑体" w:eastAsia="黑体" w:cs="黑体"/>
          <w:color w:val="auto"/>
          <w:highlight w:val="none"/>
        </w:rPr>
        <w:t xml:space="preserve"> </w:t>
      </w:r>
      <w:r>
        <w:rPr>
          <w:rFonts w:hint="eastAsia" w:ascii="黑体" w:hAnsi="黑体" w:eastAsia="黑体" w:cs="黑体"/>
          <w:color w:val="auto"/>
          <w:highlight w:val="none"/>
          <w:lang w:val="en-US" w:eastAsia="zh-CN"/>
        </w:rPr>
        <w:t xml:space="preserve"> </w:t>
      </w:r>
      <w:r>
        <w:rPr>
          <w:rFonts w:hint="default" w:ascii="黑体" w:hAnsi="黑体" w:eastAsia="黑体" w:cs="黑体"/>
          <w:color w:val="auto"/>
          <w:highlight w:val="none"/>
          <w:lang w:val="en-US" w:eastAsia="zh-CN"/>
        </w:rPr>
        <w:t>声环境质量现状监测点位图</w:t>
      </w:r>
    </w:p>
    <w:p w14:paraId="3611675A">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8</w:t>
      </w:r>
      <w:r>
        <w:rPr>
          <w:rFonts w:hint="eastAsia" w:ascii="黑体" w:hAnsi="黑体" w:eastAsia="黑体" w:cs="黑体"/>
          <w:color w:val="auto"/>
          <w:highlight w:val="none"/>
        </w:rPr>
        <w:t xml:space="preserve"> </w:t>
      </w:r>
      <w:r>
        <w:rPr>
          <w:rFonts w:hint="eastAsia" w:ascii="黑体" w:hAnsi="黑体" w:eastAsia="黑体" w:cs="黑体"/>
          <w:color w:val="auto"/>
          <w:highlight w:val="none"/>
          <w:lang w:val="en-US" w:eastAsia="zh-CN"/>
        </w:rPr>
        <w:t xml:space="preserve"> </w:t>
      </w:r>
      <w:r>
        <w:rPr>
          <w:rFonts w:hint="default" w:eastAsia="黑体" w:cs="Times New Roman"/>
          <w:color w:val="auto"/>
          <w:sz w:val="24"/>
          <w:szCs w:val="24"/>
          <w:highlight w:val="none"/>
          <w:lang w:val="en-US" w:eastAsia="zh-CN"/>
        </w:rPr>
        <w:t>项目与</w:t>
      </w:r>
      <w:r>
        <w:rPr>
          <w:rFonts w:hint="eastAsia" w:eastAsia="黑体" w:cs="Times New Roman"/>
          <w:color w:val="auto"/>
          <w:sz w:val="24"/>
          <w:szCs w:val="24"/>
          <w:highlight w:val="none"/>
          <w:lang w:val="en-US" w:eastAsia="zh-CN"/>
        </w:rPr>
        <w:t>黑龙江东升省级自然保护区</w:t>
      </w:r>
      <w:r>
        <w:rPr>
          <w:rFonts w:hint="default" w:eastAsia="黑体" w:cs="Times New Roman"/>
          <w:color w:val="auto"/>
          <w:sz w:val="24"/>
          <w:szCs w:val="24"/>
          <w:highlight w:val="none"/>
          <w:lang w:val="en-US" w:eastAsia="zh-CN"/>
        </w:rPr>
        <w:t>位置关系图</w:t>
      </w:r>
    </w:p>
    <w:p w14:paraId="546B29A4">
      <w:pPr>
        <w:ind w:left="0" w:leftChars="0" w:firstLine="0" w:firstLineChars="0"/>
        <w:rPr>
          <w:rFonts w:hint="eastAsia" w:ascii="黑体" w:hAnsi="黑体" w:eastAsia="黑体" w:cs="黑体"/>
          <w:color w:val="auto"/>
          <w:highlight w:val="none"/>
        </w:rPr>
      </w:pPr>
      <w:r>
        <w:rPr>
          <w:rFonts w:hint="eastAsia" w:eastAsia="黑体" w:cs="Times New Roman"/>
          <w:color w:val="auto"/>
          <w:sz w:val="24"/>
          <w:szCs w:val="24"/>
          <w:highlight w:val="none"/>
          <w:lang w:val="en-US" w:eastAsia="zh-CN"/>
        </w:rPr>
        <w:t xml:space="preserve">附图9  </w:t>
      </w:r>
      <w:r>
        <w:rPr>
          <w:rFonts w:hint="default" w:eastAsia="黑体" w:cs="Times New Roman"/>
          <w:color w:val="auto"/>
          <w:sz w:val="24"/>
          <w:szCs w:val="24"/>
          <w:highlight w:val="none"/>
          <w:lang w:val="en-US" w:eastAsia="zh-CN"/>
        </w:rPr>
        <w:t>项目与</w:t>
      </w:r>
      <w:r>
        <w:rPr>
          <w:rFonts w:hint="eastAsia" w:eastAsia="黑体" w:cs="Times New Roman"/>
          <w:color w:val="auto"/>
          <w:sz w:val="24"/>
          <w:szCs w:val="24"/>
          <w:highlight w:val="none"/>
          <w:lang w:val="en-US" w:eastAsia="zh-CN"/>
        </w:rPr>
        <w:t>黑龙江完达山国家级森林公园</w:t>
      </w:r>
      <w:r>
        <w:rPr>
          <w:rFonts w:hint="default" w:eastAsia="黑体" w:cs="Times New Roman"/>
          <w:color w:val="auto"/>
          <w:sz w:val="24"/>
          <w:szCs w:val="24"/>
          <w:highlight w:val="none"/>
          <w:lang w:val="en-US" w:eastAsia="zh-CN"/>
        </w:rPr>
        <w:t>位置关系图</w:t>
      </w:r>
    </w:p>
    <w:p w14:paraId="2AD29029">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10</w:t>
      </w:r>
      <w:r>
        <w:rPr>
          <w:rFonts w:hint="eastAsia" w:ascii="黑体" w:hAnsi="黑体" w:eastAsia="黑体" w:cs="黑体"/>
          <w:color w:val="auto"/>
          <w:highlight w:val="none"/>
        </w:rPr>
        <w:t xml:space="preserve"> </w:t>
      </w:r>
      <w:r>
        <w:rPr>
          <w:rFonts w:hint="eastAsia" w:ascii="黑体" w:hAnsi="黑体" w:eastAsia="黑体" w:cs="黑体"/>
          <w:color w:val="auto"/>
          <w:highlight w:val="none"/>
          <w:lang w:val="en-US" w:eastAsia="zh-CN"/>
        </w:rPr>
        <w:t xml:space="preserve"> </w:t>
      </w:r>
      <w:r>
        <w:rPr>
          <w:rFonts w:hint="default" w:ascii="黑体" w:hAnsi="黑体" w:eastAsia="黑体" w:cs="黑体"/>
          <w:color w:val="auto"/>
          <w:highlight w:val="none"/>
          <w:lang w:val="en-US" w:eastAsia="zh-CN"/>
        </w:rPr>
        <w:t>项目与</w:t>
      </w:r>
      <w:r>
        <w:rPr>
          <w:rFonts w:hint="eastAsia" w:ascii="黑体" w:hAnsi="黑体" w:eastAsia="黑体" w:cs="黑体"/>
          <w:color w:val="auto"/>
          <w:highlight w:val="none"/>
          <w:lang w:val="en-US" w:eastAsia="zh-CN"/>
        </w:rPr>
        <w:t>生态保护红线</w:t>
      </w:r>
      <w:r>
        <w:rPr>
          <w:rFonts w:hint="default" w:ascii="黑体" w:hAnsi="黑体" w:eastAsia="黑体" w:cs="黑体"/>
          <w:color w:val="auto"/>
          <w:highlight w:val="none"/>
          <w:lang w:val="en-US" w:eastAsia="zh-CN"/>
        </w:rPr>
        <w:t>位置关系图</w:t>
      </w:r>
    </w:p>
    <w:p w14:paraId="529360B1">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11 </w:t>
      </w:r>
      <w:r>
        <w:rPr>
          <w:rFonts w:hint="eastAsia" w:ascii="黑体" w:hAnsi="黑体" w:eastAsia="黑体" w:cs="黑体"/>
          <w:color w:val="auto"/>
          <w:highlight w:val="none"/>
        </w:rPr>
        <w:t xml:space="preserve"> 项目生态系统分布图</w:t>
      </w:r>
    </w:p>
    <w:p w14:paraId="4F525F41">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12  </w:t>
      </w:r>
      <w:r>
        <w:rPr>
          <w:rFonts w:hint="eastAsia" w:ascii="黑体" w:hAnsi="黑体" w:eastAsia="黑体" w:cs="黑体"/>
          <w:color w:val="auto"/>
          <w:highlight w:val="none"/>
        </w:rPr>
        <w:t>项目土地利用类型图</w:t>
      </w:r>
    </w:p>
    <w:p w14:paraId="7BE659F2">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13</w:t>
      </w:r>
      <w:r>
        <w:rPr>
          <w:rFonts w:hint="eastAsia" w:ascii="黑体" w:hAnsi="黑体" w:eastAsia="黑体" w:cs="黑体"/>
          <w:color w:val="auto"/>
          <w:highlight w:val="none"/>
        </w:rPr>
        <w:t xml:space="preserve"> </w:t>
      </w:r>
      <w:r>
        <w:rPr>
          <w:rFonts w:hint="eastAsia" w:ascii="黑体" w:hAnsi="黑体" w:eastAsia="黑体" w:cs="黑体"/>
          <w:color w:val="auto"/>
          <w:highlight w:val="none"/>
          <w:lang w:val="en-US" w:eastAsia="zh-CN"/>
        </w:rPr>
        <w:t xml:space="preserve"> </w:t>
      </w:r>
      <w:r>
        <w:rPr>
          <w:rFonts w:hint="eastAsia" w:ascii="黑体" w:hAnsi="黑体" w:eastAsia="黑体" w:cs="黑体"/>
          <w:color w:val="auto"/>
          <w:highlight w:val="none"/>
        </w:rPr>
        <w:t>项目植被利用类型图</w:t>
      </w:r>
    </w:p>
    <w:p w14:paraId="007215DD">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14  项目植被覆盖度空间分布图</w:t>
      </w:r>
    </w:p>
    <w:p w14:paraId="61383D3E">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15 </w:t>
      </w:r>
      <w:r>
        <w:rPr>
          <w:rFonts w:hint="eastAsia" w:ascii="黑体" w:hAnsi="黑体" w:eastAsia="黑体" w:cs="黑体"/>
          <w:color w:val="auto"/>
          <w:highlight w:val="none"/>
        </w:rPr>
        <w:t xml:space="preserve"> 项目</w:t>
      </w:r>
      <w:r>
        <w:rPr>
          <w:rFonts w:hint="eastAsia" w:ascii="黑体" w:hAnsi="黑体" w:eastAsia="黑体" w:cs="黑体"/>
          <w:color w:val="auto"/>
          <w:highlight w:val="none"/>
          <w:lang w:eastAsia="zh-CN"/>
        </w:rPr>
        <w:t>调查样方</w:t>
      </w:r>
      <w:r>
        <w:rPr>
          <w:rFonts w:hint="eastAsia" w:ascii="黑体" w:hAnsi="黑体" w:eastAsia="黑体" w:cs="黑体"/>
          <w:color w:val="auto"/>
          <w:highlight w:val="none"/>
        </w:rPr>
        <w:t>分布图</w:t>
      </w:r>
    </w:p>
    <w:p w14:paraId="1A84C7F6">
      <w:pPr>
        <w:ind w:left="0" w:leftChars="0" w:firstLine="0" w:firstLineChars="0"/>
        <w:rPr>
          <w:rFonts w:hint="default" w:eastAsia="黑体" w:cs="Times New Roman"/>
          <w:color w:val="auto"/>
          <w:sz w:val="24"/>
          <w:szCs w:val="24"/>
          <w:highlight w:val="none"/>
          <w:lang w:val="en-US" w:eastAsia="zh-CN"/>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16 </w:t>
      </w:r>
      <w:r>
        <w:rPr>
          <w:rFonts w:hint="eastAsia" w:ascii="黑体" w:hAnsi="黑体" w:eastAsia="黑体" w:cs="黑体"/>
          <w:color w:val="auto"/>
          <w:highlight w:val="none"/>
        </w:rPr>
        <w:t xml:space="preserve"> </w:t>
      </w:r>
      <w:r>
        <w:rPr>
          <w:rFonts w:hint="default" w:eastAsia="黑体" w:cs="Times New Roman"/>
          <w:color w:val="auto"/>
          <w:sz w:val="24"/>
          <w:szCs w:val="24"/>
          <w:highlight w:val="none"/>
          <w:lang w:val="en-US" w:eastAsia="zh-CN"/>
        </w:rPr>
        <w:t>项目调查样线布设图</w:t>
      </w:r>
    </w:p>
    <w:p w14:paraId="6613449C">
      <w:pPr>
        <w:ind w:left="0" w:leftChars="0" w:firstLine="0" w:firstLineChars="0"/>
        <w:rPr>
          <w:rFonts w:hint="eastAsia" w:ascii="黑体" w:hAnsi="黑体" w:eastAsia="黑体" w:cs="黑体"/>
          <w:color w:val="auto"/>
          <w:highlight w:val="none"/>
        </w:rPr>
      </w:pPr>
      <w:r>
        <w:rPr>
          <w:rFonts w:hint="eastAsia" w:eastAsia="黑体" w:cs="Times New Roman"/>
          <w:color w:val="auto"/>
          <w:sz w:val="24"/>
          <w:szCs w:val="24"/>
          <w:highlight w:val="none"/>
          <w:lang w:val="en-US" w:eastAsia="zh-CN"/>
        </w:rPr>
        <w:t xml:space="preserve">附图17  </w:t>
      </w:r>
      <w:r>
        <w:rPr>
          <w:rFonts w:hint="default" w:eastAsia="黑体" w:cs="Times New Roman"/>
          <w:color w:val="auto"/>
          <w:sz w:val="24"/>
          <w:szCs w:val="24"/>
          <w:highlight w:val="none"/>
          <w:lang w:val="en-US" w:eastAsia="zh-CN"/>
        </w:rPr>
        <w:t>项目总平面布置图及施工总布置图</w:t>
      </w:r>
    </w:p>
    <w:p w14:paraId="5E45F944">
      <w:pPr>
        <w:ind w:left="0" w:leftChars="0" w:firstLine="0" w:firstLineChars="0"/>
        <w:rPr>
          <w:rFonts w:hint="default" w:eastAsia="黑体" w:cs="Times New Roman"/>
          <w:color w:val="auto"/>
          <w:sz w:val="24"/>
          <w:szCs w:val="24"/>
          <w:highlight w:val="none"/>
          <w:lang w:val="en-US" w:eastAsia="zh-CN"/>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18  </w:t>
      </w:r>
      <w:r>
        <w:rPr>
          <w:rFonts w:hint="default" w:eastAsia="黑体" w:cs="Times New Roman"/>
          <w:color w:val="auto"/>
          <w:sz w:val="24"/>
          <w:szCs w:val="24"/>
          <w:highlight w:val="none"/>
          <w:lang w:val="en-US" w:eastAsia="zh-CN"/>
        </w:rPr>
        <w:t>项目生态监测布点图</w:t>
      </w:r>
    </w:p>
    <w:p w14:paraId="54027B6C">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19 </w:t>
      </w:r>
      <w:r>
        <w:rPr>
          <w:rFonts w:hint="eastAsia" w:ascii="黑体" w:hAnsi="黑体" w:eastAsia="黑体" w:cs="黑体"/>
          <w:color w:val="auto"/>
          <w:highlight w:val="none"/>
        </w:rPr>
        <w:t xml:space="preserve"> </w:t>
      </w:r>
      <w:r>
        <w:rPr>
          <w:rFonts w:hint="default" w:eastAsia="黑体" w:cs="Times New Roman"/>
          <w:color w:val="auto"/>
          <w:sz w:val="24"/>
          <w:szCs w:val="24"/>
          <w:highlight w:val="none"/>
          <w:lang w:val="en-US" w:eastAsia="zh-CN"/>
        </w:rPr>
        <w:t>项目生态保护措施布置图</w:t>
      </w:r>
    </w:p>
    <w:p w14:paraId="5CE126A2">
      <w:pPr>
        <w:ind w:left="0" w:leftChars="0" w:firstLine="0" w:firstLineChars="0"/>
        <w:rPr>
          <w:rFonts w:hint="eastAsia" w:ascii="黑体" w:hAnsi="黑体" w:eastAsia="黑体" w:cs="黑体"/>
          <w:color w:val="auto"/>
          <w:highlight w:val="none"/>
        </w:rPr>
      </w:pPr>
      <w:r>
        <w:rPr>
          <w:rFonts w:hint="eastAsia" w:ascii="黑体" w:hAnsi="黑体" w:eastAsia="黑体" w:cs="黑体"/>
          <w:color w:val="auto"/>
          <w:highlight w:val="none"/>
        </w:rPr>
        <w:t>附图</w:t>
      </w:r>
      <w:r>
        <w:rPr>
          <w:rFonts w:hint="eastAsia" w:ascii="黑体" w:hAnsi="黑体" w:eastAsia="黑体" w:cs="黑体"/>
          <w:color w:val="auto"/>
          <w:highlight w:val="none"/>
          <w:lang w:val="en-US" w:eastAsia="zh-CN"/>
        </w:rPr>
        <w:t xml:space="preserve">20 </w:t>
      </w:r>
      <w:r>
        <w:rPr>
          <w:rFonts w:hint="eastAsia" w:ascii="黑体" w:hAnsi="黑体" w:eastAsia="黑体" w:cs="黑体"/>
          <w:color w:val="auto"/>
          <w:highlight w:val="none"/>
        </w:rPr>
        <w:t xml:space="preserve"> </w:t>
      </w:r>
      <w:r>
        <w:rPr>
          <w:rFonts w:hint="eastAsia" w:ascii="黑体" w:hAnsi="黑体" w:eastAsia="黑体" w:cs="黑体"/>
          <w:color w:val="auto"/>
          <w:highlight w:val="none"/>
          <w:lang w:val="en-US" w:eastAsia="zh-CN"/>
        </w:rPr>
        <w:t>主要国家保护野生动植物分布图</w:t>
      </w:r>
    </w:p>
    <w:p w14:paraId="53A9B9AB">
      <w:pPr>
        <w:pStyle w:val="5"/>
        <w:ind w:left="0" w:leftChars="0" w:firstLine="0" w:firstLineChars="0"/>
        <w:rPr>
          <w:rFonts w:hint="eastAsia" w:eastAsia="黑体" w:cs="Times New Roman"/>
          <w:color w:val="auto"/>
          <w:sz w:val="24"/>
          <w:szCs w:val="24"/>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21  </w:t>
      </w:r>
      <w:r>
        <w:rPr>
          <w:rFonts w:hint="default" w:eastAsia="黑体" w:cs="Times New Roman"/>
          <w:color w:val="auto"/>
          <w:sz w:val="24"/>
          <w:szCs w:val="24"/>
          <w:highlight w:val="none"/>
          <w:lang w:val="en-US" w:eastAsia="zh-CN"/>
        </w:rPr>
        <w:t>物种</w:t>
      </w:r>
      <w:r>
        <w:rPr>
          <w:rFonts w:hint="default" w:ascii="黑体" w:hAnsi="黑体" w:eastAsia="黑体" w:cs="黑体"/>
          <w:color w:val="auto"/>
          <w:highlight w:val="none"/>
          <w:lang w:val="en-US" w:eastAsia="zh-CN"/>
        </w:rPr>
        <w:t>适宜</w:t>
      </w:r>
      <w:r>
        <w:rPr>
          <w:rFonts w:hint="default" w:eastAsia="黑体" w:cs="Times New Roman"/>
          <w:color w:val="auto"/>
          <w:sz w:val="24"/>
          <w:szCs w:val="24"/>
          <w:highlight w:val="none"/>
          <w:lang w:val="en-US" w:eastAsia="zh-CN"/>
        </w:rPr>
        <w:t>生境分布图</w:t>
      </w:r>
      <w:r>
        <w:rPr>
          <w:rFonts w:hint="eastAsia" w:eastAsia="黑体" w:cs="Times New Roman"/>
          <w:color w:val="auto"/>
          <w:sz w:val="24"/>
          <w:szCs w:val="24"/>
          <w:highlight w:val="none"/>
          <w:lang w:val="en-US" w:eastAsia="zh-CN"/>
        </w:rPr>
        <w:t>（东北兔）</w:t>
      </w:r>
    </w:p>
    <w:p w14:paraId="075E7301">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22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eastAsia="en-US"/>
        </w:rPr>
        <w:t>黑枕黄鹂</w:t>
      </w:r>
      <w:r>
        <w:rPr>
          <w:rFonts w:hint="eastAsia" w:ascii="黑体" w:hAnsi="黑体" w:eastAsia="黑体" w:cs="黑体"/>
          <w:color w:val="auto"/>
          <w:highlight w:val="none"/>
          <w:lang w:val="en-US" w:eastAsia="zh-CN"/>
        </w:rPr>
        <w:t>）</w:t>
      </w:r>
    </w:p>
    <w:p w14:paraId="59F3A636">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23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eastAsia="zh-CN"/>
        </w:rPr>
        <w:t>红隼</w:t>
      </w:r>
      <w:r>
        <w:rPr>
          <w:rFonts w:hint="eastAsia" w:ascii="黑体" w:hAnsi="黑体" w:eastAsia="黑体" w:cs="黑体"/>
          <w:color w:val="auto"/>
          <w:highlight w:val="none"/>
          <w:lang w:val="en-US" w:eastAsia="zh-CN"/>
        </w:rPr>
        <w:t>）</w:t>
      </w:r>
    </w:p>
    <w:p w14:paraId="40B1A32D">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24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eastAsia="zh-CN"/>
        </w:rPr>
        <w:t>黄鼬</w:t>
      </w:r>
      <w:r>
        <w:rPr>
          <w:rFonts w:hint="eastAsia" w:ascii="黑体" w:hAnsi="黑体" w:eastAsia="黑体" w:cs="黑体"/>
          <w:color w:val="auto"/>
          <w:highlight w:val="none"/>
          <w:lang w:val="en-US" w:eastAsia="zh-CN"/>
        </w:rPr>
        <w:t>）</w:t>
      </w:r>
    </w:p>
    <w:p w14:paraId="2C2BC05B">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25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（丽斑麻蜥）</w:t>
      </w:r>
    </w:p>
    <w:p w14:paraId="19D8D3BF">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26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val="en-US" w:eastAsia="en-US"/>
        </w:rPr>
        <w:t>琵嘴鸭</w:t>
      </w:r>
      <w:r>
        <w:rPr>
          <w:rFonts w:hint="eastAsia" w:ascii="黑体" w:hAnsi="黑体" w:eastAsia="黑体" w:cs="黑体"/>
          <w:color w:val="auto"/>
          <w:highlight w:val="none"/>
          <w:lang w:val="en-US" w:eastAsia="zh-CN"/>
        </w:rPr>
        <w:t>）</w:t>
      </w:r>
    </w:p>
    <w:p w14:paraId="054F6DF7">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27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rPr>
        <w:t>普通鵟</w:t>
      </w:r>
      <w:r>
        <w:rPr>
          <w:rFonts w:hint="eastAsia" w:ascii="黑体" w:hAnsi="黑体" w:eastAsia="黑体" w:cs="黑体"/>
          <w:color w:val="auto"/>
          <w:highlight w:val="none"/>
          <w:lang w:val="en-US" w:eastAsia="zh-CN"/>
        </w:rPr>
        <w:t>）</w:t>
      </w:r>
    </w:p>
    <w:p w14:paraId="2DB80229">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28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eastAsia="zh-CN"/>
        </w:rPr>
        <w:t>普通夜鹰</w:t>
      </w:r>
      <w:r>
        <w:rPr>
          <w:rFonts w:hint="eastAsia" w:ascii="黑体" w:hAnsi="黑体" w:eastAsia="黑体" w:cs="黑体"/>
          <w:color w:val="auto"/>
          <w:highlight w:val="none"/>
          <w:lang w:val="en-US" w:eastAsia="zh-CN"/>
        </w:rPr>
        <w:t>）</w:t>
      </w:r>
    </w:p>
    <w:p w14:paraId="1A3FB6CB">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29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eastAsia="zh-CN"/>
        </w:rPr>
        <w:t>太平鸟</w:t>
      </w:r>
      <w:r>
        <w:rPr>
          <w:rFonts w:hint="eastAsia" w:ascii="黑体" w:hAnsi="黑体" w:eastAsia="黑体" w:cs="黑体"/>
          <w:color w:val="auto"/>
          <w:highlight w:val="none"/>
          <w:lang w:val="en-US" w:eastAsia="zh-CN"/>
        </w:rPr>
        <w:t>）</w:t>
      </w:r>
    </w:p>
    <w:p w14:paraId="61125D3B">
      <w:pPr>
        <w:pStyle w:val="5"/>
        <w:ind w:left="0" w:leftChars="0" w:firstLine="0" w:firstLineChars="0"/>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eastAsia="zh-CN"/>
        </w:rPr>
        <w:t>附图</w:t>
      </w:r>
      <w:r>
        <w:rPr>
          <w:rFonts w:hint="eastAsia" w:ascii="黑体" w:hAnsi="黑体" w:eastAsia="黑体" w:cs="黑体"/>
          <w:color w:val="auto"/>
          <w:highlight w:val="none"/>
          <w:lang w:val="en-US" w:eastAsia="zh-CN"/>
        </w:rPr>
        <w:t xml:space="preserve">30  </w:t>
      </w:r>
      <w:r>
        <w:rPr>
          <w:rFonts w:hint="default" w:eastAsia="黑体" w:cs="Times New Roman"/>
          <w:color w:val="auto"/>
          <w:sz w:val="24"/>
          <w:szCs w:val="24"/>
          <w:highlight w:val="none"/>
          <w:lang w:val="en-US" w:eastAsia="zh-CN"/>
        </w:rPr>
        <w:t>物种适宜生境分布图</w:t>
      </w:r>
      <w:r>
        <w:rPr>
          <w:rFonts w:hint="eastAsia" w:ascii="黑体" w:hAnsi="黑体" w:eastAsia="黑体" w:cs="黑体"/>
          <w:color w:val="auto"/>
          <w:highlight w:val="none"/>
          <w:lang w:val="en-US" w:eastAsia="zh-CN"/>
        </w:rPr>
        <w:t>（</w:t>
      </w:r>
      <w:r>
        <w:rPr>
          <w:rFonts w:hint="eastAsia" w:ascii="黑体" w:hAnsi="黑体" w:eastAsia="黑体" w:cs="黑体"/>
          <w:color w:val="auto"/>
          <w:highlight w:val="none"/>
          <w:lang w:eastAsia="zh-CN"/>
        </w:rPr>
        <w:t>香鼬</w:t>
      </w:r>
      <w:r>
        <w:rPr>
          <w:rFonts w:hint="eastAsia" w:ascii="黑体" w:hAnsi="黑体" w:eastAsia="黑体" w:cs="黑体"/>
          <w:color w:val="auto"/>
          <w:highlight w:val="none"/>
          <w:lang w:val="en-US" w:eastAsia="zh-CN"/>
        </w:rPr>
        <w:t>）</w:t>
      </w:r>
    </w:p>
    <w:p w14:paraId="43CA7B66">
      <w:pPr>
        <w:ind w:left="0" w:leftChars="0" w:firstLine="0" w:firstLineChars="0"/>
        <w:rPr>
          <w:rFonts w:hint="eastAsia"/>
          <w:color w:val="auto"/>
          <w:lang w:val="en-US" w:eastAsia="zh-CN"/>
        </w:rPr>
      </w:pPr>
    </w:p>
    <w:p w14:paraId="22607DB0">
      <w:pPr>
        <w:pStyle w:val="5"/>
        <w:rPr>
          <w:rFonts w:hint="eastAsia"/>
          <w:color w:val="auto"/>
          <w:lang w:val="en-US" w:eastAsia="zh-CN"/>
        </w:rPr>
      </w:pPr>
    </w:p>
    <w:p w14:paraId="6A76E0DC">
      <w:pPr>
        <w:rPr>
          <w:rFonts w:hint="eastAsia"/>
          <w:color w:val="auto"/>
          <w:lang w:val="en-US" w:eastAsia="zh-CN"/>
        </w:rPr>
      </w:pPr>
    </w:p>
    <w:p w14:paraId="687FC42E">
      <w:pPr>
        <w:spacing w:line="360" w:lineRule="auto"/>
        <w:ind w:firstLine="0" w:firstLineChars="0"/>
        <w:rPr>
          <w:rFonts w:hint="default"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附件</w:t>
      </w:r>
    </w:p>
    <w:p w14:paraId="6FEEF632">
      <w:pPr>
        <w:pStyle w:val="5"/>
        <w:ind w:left="0" w:leftChars="0" w:firstLine="0" w:firstLineChars="0"/>
        <w:rPr>
          <w:rFonts w:hint="eastAsia" w:ascii="Times New Roman" w:hAnsi="Times New Roman" w:eastAsia="黑体" w:cs="Times New Roman"/>
          <w:color w:val="auto"/>
          <w:highlight w:val="none"/>
          <w:lang w:val="en-US" w:eastAsia="zh-CN"/>
        </w:rPr>
      </w:pPr>
      <w:r>
        <w:rPr>
          <w:rFonts w:hint="eastAsia" w:ascii="Times New Roman" w:hAnsi="Times New Roman" w:eastAsia="黑体" w:cs="Times New Roman"/>
          <w:color w:val="auto"/>
          <w:highlight w:val="none"/>
          <w:lang w:val="en-US" w:eastAsia="zh-CN"/>
        </w:rPr>
        <w:t xml:space="preserve">附件1 </w:t>
      </w:r>
      <w:r>
        <w:rPr>
          <w:rFonts w:hint="eastAsia" w:eastAsia="黑体" w:cs="Times New Roman"/>
          <w:color w:val="auto"/>
          <w:highlight w:val="none"/>
          <w:lang w:val="en-US" w:eastAsia="zh-CN"/>
        </w:rPr>
        <w:t>检</w:t>
      </w:r>
      <w:r>
        <w:rPr>
          <w:rFonts w:hint="eastAsia" w:ascii="Times New Roman" w:hAnsi="Times New Roman" w:eastAsia="黑体" w:cs="Times New Roman"/>
          <w:color w:val="auto"/>
          <w:highlight w:val="none"/>
          <w:lang w:val="en-US" w:eastAsia="zh-CN"/>
        </w:rPr>
        <w:t>测报告</w:t>
      </w:r>
    </w:p>
    <w:p w14:paraId="448CB7CE">
      <w:pPr>
        <w:pStyle w:val="5"/>
        <w:ind w:left="0" w:leftChars="0" w:firstLine="0" w:firstLineChars="0"/>
        <w:rPr>
          <w:rFonts w:hint="eastAsia" w:ascii="Times New Roman" w:hAnsi="Times New Roman" w:eastAsia="黑体" w:cs="Times New Roman"/>
          <w:color w:val="auto"/>
          <w:highlight w:val="none"/>
          <w:lang w:val="en-US" w:eastAsia="zh-CN"/>
        </w:rPr>
      </w:pPr>
      <w:r>
        <w:rPr>
          <w:rFonts w:hint="eastAsia" w:ascii="Times New Roman" w:hAnsi="Times New Roman" w:eastAsia="黑体" w:cs="Times New Roman"/>
          <w:color w:val="auto"/>
          <w:highlight w:val="none"/>
          <w:lang w:val="en-US" w:eastAsia="zh-CN"/>
        </w:rPr>
        <w:t>附件2 关于项目不涉及新增占地、不突破永久用地指标征求意见的复函</w:t>
      </w:r>
    </w:p>
    <w:p w14:paraId="06155580">
      <w:pPr>
        <w:pStyle w:val="5"/>
        <w:ind w:left="0" w:leftChars="0" w:firstLine="0" w:firstLineChars="0"/>
        <w:rPr>
          <w:rFonts w:hint="default" w:ascii="Times New Roman" w:hAnsi="Times New Roman" w:eastAsia="黑体" w:cs="Times New Roman"/>
          <w:color w:val="auto"/>
          <w:highlight w:val="none"/>
          <w:lang w:val="en-US" w:eastAsia="zh-CN"/>
        </w:rPr>
      </w:pPr>
      <w:r>
        <w:rPr>
          <w:rFonts w:hint="eastAsia" w:ascii="Times New Roman" w:hAnsi="Times New Roman" w:eastAsia="黑体" w:cs="Times New Roman"/>
          <w:color w:val="auto"/>
          <w:highlight w:val="none"/>
          <w:lang w:val="en-US" w:eastAsia="zh-CN"/>
        </w:rPr>
        <w:t>附件3 关于同意郝家至银龙公路永红村至银龙村段改扩建工程占用黑龙江东升省级自然保护区的意见</w:t>
      </w:r>
    </w:p>
    <w:p w14:paraId="49BFD868">
      <w:pPr>
        <w:pStyle w:val="5"/>
        <w:ind w:left="0" w:leftChars="0" w:firstLine="0" w:firstLineChars="0"/>
        <w:rPr>
          <w:rFonts w:hint="default" w:ascii="Times New Roman" w:hAnsi="Times New Roman" w:eastAsia="黑体" w:cs="Times New Roman"/>
          <w:color w:val="auto"/>
          <w:highlight w:val="none"/>
          <w:lang w:val="en-US" w:eastAsia="zh-CN"/>
        </w:rPr>
      </w:pPr>
      <w:r>
        <w:rPr>
          <w:rFonts w:hint="eastAsia" w:ascii="Times New Roman" w:hAnsi="Times New Roman" w:eastAsia="黑体" w:cs="Times New Roman"/>
          <w:color w:val="auto"/>
          <w:highlight w:val="none"/>
          <w:lang w:val="en-US" w:eastAsia="zh-CN"/>
        </w:rPr>
        <w:t>附件4 关于《关于征求郝家至银龙公路永红村至银龙村段改扩建工程占用生态保护红线的函》的复函</w:t>
      </w:r>
    </w:p>
    <w:p w14:paraId="5D5A631F">
      <w:pPr>
        <w:pStyle w:val="5"/>
        <w:ind w:left="0" w:leftChars="0" w:firstLine="0" w:firstLineChars="0"/>
        <w:rPr>
          <w:rFonts w:hint="default" w:ascii="Times New Roman" w:hAnsi="Times New Roman" w:eastAsia="黑体" w:cs="Times New Roman"/>
          <w:color w:val="auto"/>
          <w:highlight w:val="none"/>
          <w:lang w:val="en-US" w:eastAsia="zh-CN"/>
        </w:rPr>
      </w:pPr>
      <w:r>
        <w:rPr>
          <w:rFonts w:hint="eastAsia" w:ascii="Times New Roman" w:hAnsi="Times New Roman" w:eastAsia="黑体" w:cs="Times New Roman"/>
          <w:color w:val="auto"/>
          <w:highlight w:val="none"/>
          <w:lang w:val="en-US" w:eastAsia="zh-CN"/>
        </w:rPr>
        <w:t>附件5 关于申请郝家至银龙公路永红村至银龙村段改扩建工程占用黑龙江完达山国家级森林公园的复函</w:t>
      </w:r>
    </w:p>
    <w:p w14:paraId="1DDF7978">
      <w:pPr>
        <w:pStyle w:val="5"/>
        <w:ind w:left="0" w:leftChars="0" w:firstLine="0" w:firstLineChars="0"/>
        <w:rPr>
          <w:rFonts w:hint="eastAsia" w:ascii="Times New Roman" w:hAnsi="Times New Roman" w:eastAsia="黑体" w:cs="Times New Roman"/>
          <w:color w:val="auto"/>
          <w:highlight w:val="none"/>
          <w:lang w:val="en-US" w:eastAsia="zh-CN"/>
        </w:rPr>
      </w:pPr>
      <w:r>
        <w:rPr>
          <w:rFonts w:hint="eastAsia" w:ascii="Times New Roman" w:hAnsi="Times New Roman" w:eastAsia="黑体" w:cs="Times New Roman"/>
          <w:color w:val="auto"/>
          <w:highlight w:val="none"/>
          <w:lang w:val="en-US" w:eastAsia="zh-CN"/>
        </w:rPr>
        <w:t>附件</w:t>
      </w:r>
      <w:r>
        <w:rPr>
          <w:rFonts w:hint="eastAsia" w:eastAsia="黑体" w:cs="Times New Roman"/>
          <w:color w:val="auto"/>
          <w:highlight w:val="none"/>
          <w:lang w:val="en-US" w:eastAsia="zh-CN"/>
        </w:rPr>
        <w:t>6</w:t>
      </w:r>
      <w:r>
        <w:rPr>
          <w:rFonts w:hint="eastAsia" w:ascii="Times New Roman" w:hAnsi="Times New Roman" w:eastAsia="黑体" w:cs="Times New Roman"/>
          <w:color w:val="auto"/>
          <w:highlight w:val="none"/>
          <w:lang w:val="en-US" w:eastAsia="zh-CN"/>
        </w:rPr>
        <w:t xml:space="preserve"> 生态环境分区管控分析报告</w:t>
      </w:r>
      <w:r>
        <w:rPr>
          <w:rFonts w:hint="eastAsia" w:eastAsia="黑体" w:cs="Times New Roman"/>
          <w:color w:val="auto"/>
          <w:highlight w:val="none"/>
          <w:lang w:val="en-US" w:eastAsia="zh-CN"/>
        </w:rPr>
        <w:t>郝家至银龙公路永红村至银龙村段改扩建工程</w:t>
      </w:r>
    </w:p>
    <w:p w14:paraId="259938E8">
      <w:pPr>
        <w:ind w:left="0" w:leftChars="0" w:firstLine="0" w:firstLineChars="0"/>
        <w:rPr>
          <w:rFonts w:hint="default" w:ascii="Times New Roman" w:hAnsi="Times New Roman" w:eastAsia="黑体" w:cs="Times New Roman"/>
          <w:color w:val="auto"/>
          <w:highlight w:val="none"/>
          <w:lang w:val="en-US" w:eastAsia="zh-CN"/>
        </w:rPr>
      </w:pPr>
    </w:p>
    <w:p w14:paraId="0ADE4885">
      <w:pPr>
        <w:ind w:left="0" w:leftChars="0" w:firstLine="0" w:firstLineChars="0"/>
        <w:rPr>
          <w:rFonts w:hint="default" w:ascii="Times New Roman" w:hAnsi="Times New Roman" w:eastAsia="黑体" w:cs="Times New Roman"/>
          <w:color w:val="auto"/>
          <w:highlight w:val="none"/>
          <w:lang w:val="en-US" w:eastAsia="zh-CN"/>
        </w:rPr>
        <w:sectPr>
          <w:pgSz w:w="11906" w:h="16838"/>
          <w:pgMar w:top="1701" w:right="1531" w:bottom="1701" w:left="1531" w:header="851" w:footer="1077" w:gutter="0"/>
          <w:pgBorders>
            <w:top w:val="none" w:sz="0" w:space="0"/>
            <w:left w:val="none" w:sz="0" w:space="0"/>
            <w:bottom w:val="none" w:sz="0" w:space="0"/>
            <w:right w:val="none" w:sz="0" w:space="0"/>
          </w:pgBorders>
          <w:pgNumType w:start="21"/>
          <w:cols w:space="720" w:num="1"/>
          <w:docGrid w:linePitch="312" w:charSpace="0"/>
        </w:sectPr>
      </w:pPr>
    </w:p>
    <w:p w14:paraId="77D8E423">
      <w:pPr>
        <w:pStyle w:val="31"/>
        <w:rPr>
          <w:color w:val="auto"/>
          <w:highlight w:val="none"/>
        </w:rPr>
      </w:pPr>
      <w:bookmarkStart w:id="0" w:name="_Toc22070"/>
      <w:bookmarkStart w:id="1" w:name="_Toc12697"/>
      <w:r>
        <w:rPr>
          <w:color w:val="auto"/>
          <w:highlight w:val="none"/>
        </w:rPr>
        <w:t>一、建设项目基本情况</w:t>
      </w:r>
      <w:bookmarkEnd w:id="0"/>
      <w:bookmarkEnd w:id="1"/>
    </w:p>
    <w:tbl>
      <w:tblPr>
        <w:tblStyle w:val="18"/>
        <w:tblW w:w="4993"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137"/>
        <w:gridCol w:w="2855"/>
        <w:gridCol w:w="1942"/>
        <w:gridCol w:w="2924"/>
      </w:tblGrid>
      <w:tr w14:paraId="1E18D6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94" w:hRule="atLeast"/>
        </w:trPr>
        <w:tc>
          <w:tcPr>
            <w:tcW w:w="642" w:type="pct"/>
            <w:noWrap w:val="0"/>
            <w:tcMar>
              <w:top w:w="16" w:type="dxa"/>
              <w:left w:w="16" w:type="dxa"/>
              <w:right w:w="16" w:type="dxa"/>
            </w:tcMar>
            <w:vAlign w:val="center"/>
          </w:tcPr>
          <w:p w14:paraId="4D67F8FF">
            <w:pPr>
              <w:pStyle w:val="37"/>
              <w:rPr>
                <w:color w:val="auto"/>
                <w:highlight w:val="none"/>
              </w:rPr>
            </w:pPr>
            <w:r>
              <w:rPr>
                <w:color w:val="auto"/>
                <w:highlight w:val="none"/>
              </w:rPr>
              <w:t>建设项目名称</w:t>
            </w:r>
          </w:p>
        </w:tc>
        <w:tc>
          <w:tcPr>
            <w:tcW w:w="4357" w:type="pct"/>
            <w:gridSpan w:val="3"/>
            <w:noWrap w:val="0"/>
            <w:vAlign w:val="center"/>
          </w:tcPr>
          <w:p w14:paraId="6B07A481">
            <w:pPr>
              <w:pStyle w:val="37"/>
              <w:rPr>
                <w:rFonts w:hint="eastAsia" w:eastAsia="宋体"/>
                <w:color w:val="auto"/>
                <w:highlight w:val="none"/>
                <w:lang w:eastAsia="zh-CN"/>
              </w:rPr>
            </w:pPr>
            <w:r>
              <w:rPr>
                <w:rFonts w:hint="eastAsia"/>
                <w:color w:val="auto"/>
                <w:spacing w:val="-6"/>
                <w:highlight w:val="none"/>
                <w:lang w:val="en-US" w:eastAsia="zh-CN"/>
              </w:rPr>
              <w:t>郝家至银龙公路永红村至银龙村段改扩建工程</w:t>
            </w:r>
          </w:p>
        </w:tc>
      </w:tr>
      <w:tr w14:paraId="291CF7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1" w:hRule="atLeast"/>
        </w:trPr>
        <w:tc>
          <w:tcPr>
            <w:tcW w:w="642" w:type="pct"/>
            <w:noWrap w:val="0"/>
            <w:tcMar>
              <w:top w:w="16" w:type="dxa"/>
              <w:left w:w="16" w:type="dxa"/>
              <w:right w:w="16" w:type="dxa"/>
            </w:tcMar>
            <w:vAlign w:val="center"/>
          </w:tcPr>
          <w:p w14:paraId="543E9FE8">
            <w:pPr>
              <w:pStyle w:val="37"/>
              <w:rPr>
                <w:color w:val="auto"/>
                <w:highlight w:val="none"/>
              </w:rPr>
            </w:pPr>
            <w:r>
              <w:rPr>
                <w:color w:val="auto"/>
                <w:highlight w:val="none"/>
              </w:rPr>
              <w:t>项目代码</w:t>
            </w:r>
          </w:p>
        </w:tc>
        <w:tc>
          <w:tcPr>
            <w:tcW w:w="4357" w:type="pct"/>
            <w:gridSpan w:val="3"/>
            <w:noWrap w:val="0"/>
            <w:vAlign w:val="center"/>
          </w:tcPr>
          <w:p w14:paraId="5D215228">
            <w:pPr>
              <w:pStyle w:val="37"/>
              <w:rPr>
                <w:rFonts w:hint="default" w:eastAsia="宋体"/>
                <w:color w:val="auto"/>
                <w:highlight w:val="none"/>
                <w:lang w:val="en-US" w:eastAsia="zh-CN"/>
              </w:rPr>
            </w:pPr>
            <w:r>
              <w:rPr>
                <w:rFonts w:hint="eastAsia"/>
                <w:color w:val="auto"/>
                <w:highlight w:val="none"/>
                <w:lang w:val="en-US" w:eastAsia="zh-CN"/>
              </w:rPr>
              <w:t>2509-230523-04-01-637940</w:t>
            </w:r>
          </w:p>
        </w:tc>
      </w:tr>
      <w:tr w14:paraId="7DD44F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52" w:hRule="atLeast"/>
        </w:trPr>
        <w:tc>
          <w:tcPr>
            <w:tcW w:w="642" w:type="pct"/>
            <w:noWrap w:val="0"/>
            <w:tcMar>
              <w:top w:w="16" w:type="dxa"/>
              <w:left w:w="16" w:type="dxa"/>
              <w:right w:w="16" w:type="dxa"/>
            </w:tcMar>
            <w:vAlign w:val="center"/>
          </w:tcPr>
          <w:p w14:paraId="28390D43">
            <w:pPr>
              <w:pStyle w:val="37"/>
              <w:rPr>
                <w:color w:val="auto"/>
                <w:highlight w:val="none"/>
              </w:rPr>
            </w:pPr>
            <w:r>
              <w:rPr>
                <w:color w:val="auto"/>
                <w:highlight w:val="none"/>
              </w:rPr>
              <w:t>建设单位联系人</w:t>
            </w:r>
          </w:p>
        </w:tc>
        <w:tc>
          <w:tcPr>
            <w:tcW w:w="1611" w:type="pct"/>
            <w:noWrap w:val="0"/>
            <w:vAlign w:val="center"/>
          </w:tcPr>
          <w:p w14:paraId="1E7EFA97">
            <w:pPr>
              <w:snapToGrid w:val="0"/>
              <w:spacing w:line="240" w:lineRule="auto"/>
              <w:ind w:firstLine="0" w:firstLineChars="0"/>
              <w:jc w:val="center"/>
              <w:rPr>
                <w:color w:val="auto"/>
                <w:highlight w:val="none"/>
              </w:rPr>
            </w:pPr>
            <w:r>
              <w:rPr>
                <w:color w:val="auto"/>
                <w:highlight w:val="none"/>
              </w:rPr>
              <w:t>段宇</w:t>
            </w:r>
          </w:p>
        </w:tc>
        <w:tc>
          <w:tcPr>
            <w:tcW w:w="1096" w:type="pct"/>
            <w:noWrap w:val="0"/>
            <w:vAlign w:val="center"/>
          </w:tcPr>
          <w:p w14:paraId="5B0EAD3C">
            <w:pPr>
              <w:snapToGrid w:val="0"/>
              <w:spacing w:line="240" w:lineRule="auto"/>
              <w:ind w:firstLine="0" w:firstLineChars="0"/>
              <w:jc w:val="center"/>
              <w:rPr>
                <w:color w:val="auto"/>
                <w:highlight w:val="none"/>
              </w:rPr>
            </w:pPr>
            <w:r>
              <w:rPr>
                <w:color w:val="auto"/>
                <w:highlight w:val="none"/>
              </w:rPr>
              <w:t>联系方式</w:t>
            </w:r>
          </w:p>
        </w:tc>
        <w:tc>
          <w:tcPr>
            <w:tcW w:w="1649" w:type="pct"/>
            <w:noWrap w:val="0"/>
            <w:vAlign w:val="center"/>
          </w:tcPr>
          <w:p w14:paraId="02C359F8">
            <w:pPr>
              <w:snapToGrid w:val="0"/>
              <w:spacing w:line="240" w:lineRule="auto"/>
              <w:ind w:firstLine="0" w:firstLineChars="0"/>
              <w:jc w:val="center"/>
              <w:rPr>
                <w:rFonts w:hint="default"/>
                <w:color w:val="auto"/>
                <w:highlight w:val="none"/>
              </w:rPr>
            </w:pPr>
            <w:r>
              <w:rPr>
                <w:rFonts w:hint="eastAsia"/>
                <w:color w:val="auto"/>
                <w:highlight w:val="none"/>
              </w:rPr>
              <w:t>0469-5423151</w:t>
            </w:r>
          </w:p>
        </w:tc>
      </w:tr>
      <w:tr w14:paraId="0CA73E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94" w:hRule="atLeast"/>
        </w:trPr>
        <w:tc>
          <w:tcPr>
            <w:tcW w:w="642" w:type="pct"/>
            <w:noWrap w:val="0"/>
            <w:tcMar>
              <w:top w:w="16" w:type="dxa"/>
              <w:left w:w="16" w:type="dxa"/>
              <w:right w:w="16" w:type="dxa"/>
            </w:tcMar>
            <w:vAlign w:val="center"/>
          </w:tcPr>
          <w:p w14:paraId="3AA6B8C0">
            <w:pPr>
              <w:pStyle w:val="37"/>
              <w:rPr>
                <w:color w:val="auto"/>
                <w:highlight w:val="none"/>
              </w:rPr>
            </w:pPr>
            <w:r>
              <w:rPr>
                <w:color w:val="auto"/>
                <w:highlight w:val="none"/>
              </w:rPr>
              <w:t>建设地点</w:t>
            </w:r>
          </w:p>
        </w:tc>
        <w:tc>
          <w:tcPr>
            <w:tcW w:w="4357" w:type="pct"/>
            <w:gridSpan w:val="3"/>
            <w:noWrap w:val="0"/>
            <w:vAlign w:val="center"/>
          </w:tcPr>
          <w:p w14:paraId="6CC57269">
            <w:pPr>
              <w:pStyle w:val="38"/>
              <w:rPr>
                <w:rFonts w:hint="default"/>
                <w:color w:val="auto"/>
                <w:highlight w:val="none"/>
              </w:rPr>
            </w:pPr>
            <w:r>
              <w:rPr>
                <w:rFonts w:hint="eastAsia"/>
                <w:color w:val="auto"/>
                <w:highlight w:val="none"/>
                <w:u w:val="single"/>
                <w:lang w:eastAsia="zh-CN"/>
              </w:rPr>
              <w:t>黑龙江</w:t>
            </w:r>
            <w:r>
              <w:rPr>
                <w:color w:val="auto"/>
                <w:highlight w:val="none"/>
              </w:rPr>
              <w:t>省</w:t>
            </w:r>
            <w:r>
              <w:rPr>
                <w:rFonts w:hint="eastAsia"/>
                <w:color w:val="auto"/>
                <w:highlight w:val="none"/>
                <w:u w:val="single"/>
                <w:lang w:eastAsia="zh-CN"/>
              </w:rPr>
              <w:t>双鸭山</w:t>
            </w:r>
            <w:r>
              <w:rPr>
                <w:color w:val="auto"/>
                <w:highlight w:val="none"/>
              </w:rPr>
              <w:t>市</w:t>
            </w:r>
            <w:r>
              <w:rPr>
                <w:rFonts w:hint="eastAsia"/>
                <w:color w:val="auto"/>
                <w:highlight w:val="none"/>
                <w:u w:val="single"/>
                <w:lang w:eastAsia="zh-CN"/>
              </w:rPr>
              <w:t>宝清</w:t>
            </w:r>
            <w:r>
              <w:rPr>
                <w:rFonts w:hint="eastAsia"/>
                <w:color w:val="auto"/>
                <w:highlight w:val="none"/>
                <w:lang w:eastAsia="zh-CN"/>
              </w:rPr>
              <w:t>县</w:t>
            </w:r>
            <w:r>
              <w:rPr>
                <w:rFonts w:hint="eastAsia"/>
                <w:color w:val="auto"/>
                <w:highlight w:val="none"/>
                <w:u w:val="single"/>
                <w:lang w:val="en-US" w:eastAsia="zh-CN"/>
              </w:rPr>
              <w:t>起点位于清原镇永红村附近与Y034公路交叉口处，终点位于银龙村</w:t>
            </w:r>
          </w:p>
        </w:tc>
      </w:tr>
      <w:tr w14:paraId="62B18B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trPr>
        <w:tc>
          <w:tcPr>
            <w:tcW w:w="642" w:type="pct"/>
            <w:noWrap w:val="0"/>
            <w:tcMar>
              <w:top w:w="16" w:type="dxa"/>
              <w:left w:w="16" w:type="dxa"/>
              <w:right w:w="16" w:type="dxa"/>
            </w:tcMar>
            <w:vAlign w:val="center"/>
          </w:tcPr>
          <w:p w14:paraId="3FD5A9B3">
            <w:pPr>
              <w:pStyle w:val="37"/>
              <w:rPr>
                <w:color w:val="auto"/>
                <w:highlight w:val="none"/>
              </w:rPr>
            </w:pPr>
            <w:r>
              <w:rPr>
                <w:color w:val="auto"/>
                <w:highlight w:val="none"/>
              </w:rPr>
              <w:t>地理坐标</w:t>
            </w:r>
          </w:p>
        </w:tc>
        <w:tc>
          <w:tcPr>
            <w:tcW w:w="4357" w:type="pct"/>
            <w:gridSpan w:val="3"/>
            <w:noWrap w:val="0"/>
            <w:vAlign w:val="center"/>
          </w:tcPr>
          <w:p w14:paraId="1B9F3DFE">
            <w:pPr>
              <w:pStyle w:val="37"/>
              <w:spacing w:line="360" w:lineRule="auto"/>
              <w:jc w:val="center"/>
              <w:rPr>
                <w:color w:val="auto"/>
                <w:highlight w:val="none"/>
              </w:rPr>
            </w:pPr>
            <w:r>
              <w:rPr>
                <w:color w:val="auto"/>
                <w:highlight w:val="none"/>
              </w:rPr>
              <w:t>起点（</w:t>
            </w:r>
            <w:r>
              <w:rPr>
                <w:rFonts w:hint="eastAsia"/>
                <w:color w:val="auto"/>
                <w:highlight w:val="none"/>
                <w:u w:val="single"/>
                <w:lang w:val="en-US" w:eastAsia="zh-CN"/>
              </w:rPr>
              <w:t xml:space="preserve"> 132 </w:t>
            </w:r>
            <w:r>
              <w:rPr>
                <w:color w:val="auto"/>
                <w:highlight w:val="none"/>
              </w:rPr>
              <w:t>度</w:t>
            </w:r>
            <w:r>
              <w:rPr>
                <w:color w:val="auto"/>
                <w:highlight w:val="none"/>
                <w:u w:val="single"/>
              </w:rPr>
              <w:t xml:space="preserve"> </w:t>
            </w:r>
            <w:r>
              <w:rPr>
                <w:rFonts w:hint="eastAsia"/>
                <w:color w:val="auto"/>
                <w:highlight w:val="none"/>
                <w:u w:val="single"/>
                <w:lang w:val="en-US" w:eastAsia="zh-CN"/>
              </w:rPr>
              <w:t>13</w:t>
            </w:r>
            <w:r>
              <w:rPr>
                <w:color w:val="auto"/>
                <w:highlight w:val="none"/>
                <w:u w:val="single"/>
              </w:rPr>
              <w:t xml:space="preserve"> </w:t>
            </w:r>
            <w:r>
              <w:rPr>
                <w:color w:val="auto"/>
                <w:highlight w:val="none"/>
              </w:rPr>
              <w:t>分</w:t>
            </w:r>
            <w:r>
              <w:rPr>
                <w:color w:val="auto"/>
                <w:highlight w:val="none"/>
                <w:u w:val="single"/>
              </w:rPr>
              <w:t xml:space="preserve"> </w:t>
            </w:r>
            <w:r>
              <w:rPr>
                <w:rFonts w:hint="eastAsia"/>
                <w:color w:val="auto"/>
                <w:highlight w:val="none"/>
                <w:u w:val="single"/>
                <w:lang w:val="en-US" w:eastAsia="zh-CN"/>
              </w:rPr>
              <w:t>26.921</w:t>
            </w:r>
            <w:r>
              <w:rPr>
                <w:color w:val="auto"/>
                <w:highlight w:val="none"/>
                <w:u w:val="single"/>
              </w:rPr>
              <w:t xml:space="preserve"> </w:t>
            </w:r>
            <w:r>
              <w:rPr>
                <w:color w:val="auto"/>
                <w:highlight w:val="none"/>
              </w:rPr>
              <w:t>秒，</w:t>
            </w:r>
            <w:r>
              <w:rPr>
                <w:color w:val="auto"/>
                <w:highlight w:val="none"/>
                <w:u w:val="single"/>
              </w:rPr>
              <w:t xml:space="preserve"> </w:t>
            </w:r>
            <w:r>
              <w:rPr>
                <w:rFonts w:hint="eastAsia"/>
                <w:color w:val="auto"/>
                <w:highlight w:val="none"/>
                <w:u w:val="single"/>
                <w:lang w:val="en-US" w:eastAsia="zh-CN"/>
              </w:rPr>
              <w:t>46</w:t>
            </w:r>
            <w:r>
              <w:rPr>
                <w:color w:val="auto"/>
                <w:highlight w:val="none"/>
                <w:u w:val="single"/>
              </w:rPr>
              <w:t xml:space="preserve"> </w:t>
            </w:r>
            <w:r>
              <w:rPr>
                <w:color w:val="auto"/>
                <w:highlight w:val="none"/>
              </w:rPr>
              <w:t>度</w:t>
            </w:r>
            <w:r>
              <w:rPr>
                <w:color w:val="auto"/>
                <w:highlight w:val="none"/>
                <w:u w:val="single"/>
              </w:rPr>
              <w:t xml:space="preserve"> </w:t>
            </w:r>
            <w:r>
              <w:rPr>
                <w:rFonts w:hint="eastAsia"/>
                <w:color w:val="auto"/>
                <w:highlight w:val="none"/>
                <w:u w:val="single"/>
                <w:lang w:val="en-US" w:eastAsia="zh-CN"/>
              </w:rPr>
              <w:t xml:space="preserve">26 </w:t>
            </w:r>
            <w:r>
              <w:rPr>
                <w:color w:val="auto"/>
                <w:highlight w:val="none"/>
              </w:rPr>
              <w:t>分</w:t>
            </w:r>
            <w:r>
              <w:rPr>
                <w:color w:val="auto"/>
                <w:highlight w:val="none"/>
                <w:u w:val="single"/>
              </w:rPr>
              <w:t xml:space="preserve"> </w:t>
            </w:r>
            <w:r>
              <w:rPr>
                <w:rFonts w:hint="eastAsia"/>
                <w:color w:val="auto"/>
                <w:highlight w:val="none"/>
                <w:u w:val="single"/>
                <w:lang w:val="en-US" w:eastAsia="zh-CN"/>
              </w:rPr>
              <w:t>0.107</w:t>
            </w:r>
            <w:r>
              <w:rPr>
                <w:color w:val="auto"/>
                <w:highlight w:val="none"/>
                <w:u w:val="single"/>
              </w:rPr>
              <w:t xml:space="preserve"> </w:t>
            </w:r>
            <w:r>
              <w:rPr>
                <w:color w:val="auto"/>
                <w:highlight w:val="none"/>
              </w:rPr>
              <w:t>秒）</w:t>
            </w:r>
          </w:p>
          <w:p w14:paraId="04B310FF">
            <w:pPr>
              <w:pStyle w:val="37"/>
              <w:spacing w:line="360" w:lineRule="auto"/>
              <w:jc w:val="center"/>
              <w:rPr>
                <w:color w:val="auto"/>
                <w:highlight w:val="none"/>
              </w:rPr>
            </w:pPr>
            <w:r>
              <w:rPr>
                <w:color w:val="auto"/>
                <w:highlight w:val="none"/>
              </w:rPr>
              <w:t>终点（</w:t>
            </w:r>
            <w:r>
              <w:rPr>
                <w:color w:val="auto"/>
                <w:highlight w:val="none"/>
                <w:u w:val="single"/>
              </w:rPr>
              <w:t xml:space="preserve"> </w:t>
            </w:r>
            <w:r>
              <w:rPr>
                <w:rFonts w:hint="eastAsia"/>
                <w:color w:val="auto"/>
                <w:highlight w:val="none"/>
                <w:u w:val="single"/>
                <w:lang w:val="en-US" w:eastAsia="zh-CN"/>
              </w:rPr>
              <w:t>132</w:t>
            </w:r>
            <w:r>
              <w:rPr>
                <w:color w:val="auto"/>
                <w:highlight w:val="none"/>
                <w:u w:val="single"/>
              </w:rPr>
              <w:t xml:space="preserve"> </w:t>
            </w:r>
            <w:r>
              <w:rPr>
                <w:color w:val="auto"/>
                <w:highlight w:val="none"/>
              </w:rPr>
              <w:t>度</w:t>
            </w:r>
            <w:r>
              <w:rPr>
                <w:color w:val="auto"/>
                <w:highlight w:val="none"/>
                <w:u w:val="single"/>
              </w:rPr>
              <w:t xml:space="preserve"> </w:t>
            </w:r>
            <w:r>
              <w:rPr>
                <w:rFonts w:hint="eastAsia"/>
                <w:color w:val="auto"/>
                <w:highlight w:val="none"/>
                <w:u w:val="single"/>
                <w:lang w:val="en-US" w:eastAsia="zh-CN"/>
              </w:rPr>
              <w:t>38</w:t>
            </w:r>
            <w:r>
              <w:rPr>
                <w:color w:val="auto"/>
                <w:highlight w:val="none"/>
                <w:u w:val="single"/>
              </w:rPr>
              <w:t xml:space="preserve"> </w:t>
            </w:r>
            <w:r>
              <w:rPr>
                <w:color w:val="auto"/>
                <w:highlight w:val="none"/>
              </w:rPr>
              <w:t>分</w:t>
            </w:r>
            <w:r>
              <w:rPr>
                <w:color w:val="auto"/>
                <w:highlight w:val="none"/>
                <w:u w:val="single"/>
              </w:rPr>
              <w:t xml:space="preserve"> </w:t>
            </w:r>
            <w:r>
              <w:rPr>
                <w:rFonts w:hint="eastAsia"/>
                <w:color w:val="auto"/>
                <w:highlight w:val="none"/>
                <w:u w:val="single"/>
                <w:lang w:val="en-US" w:eastAsia="zh-CN"/>
              </w:rPr>
              <w:t>26.769</w:t>
            </w:r>
            <w:r>
              <w:rPr>
                <w:color w:val="auto"/>
                <w:highlight w:val="none"/>
                <w:u w:val="single"/>
              </w:rPr>
              <w:t xml:space="preserve"> </w:t>
            </w:r>
            <w:r>
              <w:rPr>
                <w:color w:val="auto"/>
                <w:highlight w:val="none"/>
              </w:rPr>
              <w:t>秒，</w:t>
            </w:r>
            <w:r>
              <w:rPr>
                <w:color w:val="auto"/>
                <w:highlight w:val="none"/>
                <w:u w:val="single"/>
              </w:rPr>
              <w:t xml:space="preserve"> </w:t>
            </w:r>
            <w:r>
              <w:rPr>
                <w:rFonts w:hint="eastAsia"/>
                <w:color w:val="auto"/>
                <w:highlight w:val="none"/>
                <w:u w:val="single"/>
                <w:lang w:val="en-US" w:eastAsia="zh-CN"/>
              </w:rPr>
              <w:t>46</w:t>
            </w:r>
            <w:r>
              <w:rPr>
                <w:color w:val="auto"/>
                <w:highlight w:val="none"/>
                <w:u w:val="single"/>
              </w:rPr>
              <w:t xml:space="preserve"> </w:t>
            </w:r>
            <w:r>
              <w:rPr>
                <w:color w:val="auto"/>
                <w:highlight w:val="none"/>
              </w:rPr>
              <w:t>度</w:t>
            </w:r>
            <w:r>
              <w:rPr>
                <w:color w:val="auto"/>
                <w:highlight w:val="none"/>
                <w:u w:val="single"/>
              </w:rPr>
              <w:t xml:space="preserve"> </w:t>
            </w:r>
            <w:r>
              <w:rPr>
                <w:rFonts w:hint="eastAsia"/>
                <w:color w:val="auto"/>
                <w:highlight w:val="none"/>
                <w:u w:val="single"/>
                <w:lang w:val="en-US" w:eastAsia="zh-CN"/>
              </w:rPr>
              <w:t>37</w:t>
            </w:r>
            <w:r>
              <w:rPr>
                <w:color w:val="auto"/>
                <w:highlight w:val="none"/>
                <w:u w:val="single"/>
              </w:rPr>
              <w:t xml:space="preserve"> </w:t>
            </w:r>
            <w:r>
              <w:rPr>
                <w:color w:val="auto"/>
                <w:highlight w:val="none"/>
              </w:rPr>
              <w:t>分</w:t>
            </w:r>
            <w:r>
              <w:rPr>
                <w:color w:val="auto"/>
                <w:highlight w:val="none"/>
                <w:u w:val="single"/>
              </w:rPr>
              <w:t xml:space="preserve"> </w:t>
            </w:r>
            <w:r>
              <w:rPr>
                <w:rFonts w:hint="eastAsia"/>
                <w:color w:val="auto"/>
                <w:highlight w:val="none"/>
                <w:u w:val="single"/>
                <w:lang w:val="en-US" w:eastAsia="zh-CN"/>
              </w:rPr>
              <w:t>12.810</w:t>
            </w:r>
            <w:r>
              <w:rPr>
                <w:color w:val="auto"/>
                <w:highlight w:val="none"/>
                <w:u w:val="single"/>
              </w:rPr>
              <w:t xml:space="preserve"> </w:t>
            </w:r>
            <w:r>
              <w:rPr>
                <w:color w:val="auto"/>
                <w:highlight w:val="none"/>
              </w:rPr>
              <w:t>秒）</w:t>
            </w:r>
          </w:p>
        </w:tc>
      </w:tr>
      <w:tr w14:paraId="3C6365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trPr>
        <w:tc>
          <w:tcPr>
            <w:tcW w:w="642" w:type="pct"/>
            <w:noWrap w:val="0"/>
            <w:tcMar>
              <w:top w:w="16" w:type="dxa"/>
              <w:left w:w="16" w:type="dxa"/>
              <w:right w:w="16" w:type="dxa"/>
            </w:tcMar>
            <w:vAlign w:val="center"/>
          </w:tcPr>
          <w:p w14:paraId="58762CE2">
            <w:pPr>
              <w:pStyle w:val="37"/>
              <w:rPr>
                <w:color w:val="auto"/>
                <w:highlight w:val="none"/>
              </w:rPr>
            </w:pPr>
            <w:r>
              <w:rPr>
                <w:color w:val="auto"/>
                <w:highlight w:val="none"/>
              </w:rPr>
              <w:t>建设项目行业类别</w:t>
            </w:r>
          </w:p>
        </w:tc>
        <w:tc>
          <w:tcPr>
            <w:tcW w:w="1611" w:type="pct"/>
            <w:noWrap w:val="0"/>
            <w:vAlign w:val="center"/>
          </w:tcPr>
          <w:p w14:paraId="4F2D45F2">
            <w:pPr>
              <w:pStyle w:val="37"/>
              <w:spacing w:line="288" w:lineRule="auto"/>
              <w:rPr>
                <w:color w:val="auto"/>
                <w:highlight w:val="none"/>
              </w:rPr>
            </w:pPr>
            <w:r>
              <w:rPr>
                <w:color w:val="auto"/>
                <w:highlight w:val="none"/>
              </w:rPr>
              <w:t>五十二、交通运输业、管道运输业-130项、等级公路（不含维护；不含生命救援、应急保通工程以及国防交通保障项目；不含改扩建四级公路）</w:t>
            </w:r>
          </w:p>
        </w:tc>
        <w:tc>
          <w:tcPr>
            <w:tcW w:w="1096" w:type="pct"/>
            <w:noWrap w:val="0"/>
            <w:vAlign w:val="center"/>
          </w:tcPr>
          <w:p w14:paraId="5B29C7F3">
            <w:pPr>
              <w:pStyle w:val="37"/>
              <w:rPr>
                <w:color w:val="auto"/>
                <w:highlight w:val="none"/>
              </w:rPr>
            </w:pPr>
            <w:r>
              <w:rPr>
                <w:color w:val="auto"/>
                <w:highlight w:val="none"/>
              </w:rPr>
              <w:t>用地面积（m</w:t>
            </w:r>
            <w:r>
              <w:rPr>
                <w:color w:val="auto"/>
                <w:highlight w:val="none"/>
                <w:vertAlign w:val="superscript"/>
              </w:rPr>
              <w:t>2</w:t>
            </w:r>
            <w:r>
              <w:rPr>
                <w:color w:val="auto"/>
                <w:highlight w:val="none"/>
              </w:rPr>
              <w:t>）/长度（km）</w:t>
            </w:r>
          </w:p>
        </w:tc>
        <w:tc>
          <w:tcPr>
            <w:tcW w:w="1649" w:type="pct"/>
            <w:noWrap w:val="0"/>
            <w:vAlign w:val="center"/>
          </w:tcPr>
          <w:p w14:paraId="7E5C9E17">
            <w:pPr>
              <w:pStyle w:val="37"/>
              <w:rPr>
                <w:rFonts w:hint="default"/>
                <w:color w:val="auto"/>
                <w:highlight w:val="none"/>
              </w:rPr>
            </w:pPr>
            <w:r>
              <w:rPr>
                <w:rFonts w:hint="eastAsia"/>
                <w:color w:val="auto"/>
                <w:highlight w:val="none"/>
                <w:lang w:val="en-US" w:eastAsia="zh-CN"/>
              </w:rPr>
              <w:t>4022</w:t>
            </w:r>
            <w:r>
              <w:rPr>
                <w:color w:val="auto"/>
                <w:highlight w:val="none"/>
              </w:rPr>
              <w:t>m</w:t>
            </w:r>
            <w:r>
              <w:rPr>
                <w:color w:val="auto"/>
                <w:highlight w:val="none"/>
                <w:vertAlign w:val="superscript"/>
              </w:rPr>
              <w:t>2</w:t>
            </w:r>
            <w:r>
              <w:rPr>
                <w:color w:val="auto"/>
                <w:highlight w:val="none"/>
              </w:rPr>
              <w:t>/</w:t>
            </w:r>
            <w:r>
              <w:rPr>
                <w:rFonts w:hint="eastAsia"/>
                <w:color w:val="auto"/>
                <w:highlight w:val="none"/>
                <w:lang w:val="en-US" w:eastAsia="zh-CN"/>
              </w:rPr>
              <w:t>42.77</w:t>
            </w:r>
            <w:r>
              <w:rPr>
                <w:color w:val="auto"/>
                <w:highlight w:val="none"/>
              </w:rPr>
              <w:t>km</w:t>
            </w:r>
          </w:p>
        </w:tc>
      </w:tr>
      <w:tr w14:paraId="6C1C0D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0" w:hRule="atLeast"/>
        </w:trPr>
        <w:tc>
          <w:tcPr>
            <w:tcW w:w="642" w:type="pct"/>
            <w:noWrap w:val="0"/>
            <w:tcMar>
              <w:top w:w="16" w:type="dxa"/>
              <w:left w:w="16" w:type="dxa"/>
              <w:right w:w="16" w:type="dxa"/>
            </w:tcMar>
            <w:vAlign w:val="center"/>
          </w:tcPr>
          <w:p w14:paraId="76BBABBC">
            <w:pPr>
              <w:pStyle w:val="38"/>
              <w:rPr>
                <w:color w:val="auto"/>
                <w:highlight w:val="none"/>
              </w:rPr>
            </w:pPr>
            <w:r>
              <w:rPr>
                <w:color w:val="auto"/>
                <w:highlight w:val="none"/>
              </w:rPr>
              <w:t>建设性质</w:t>
            </w:r>
          </w:p>
        </w:tc>
        <w:tc>
          <w:tcPr>
            <w:tcW w:w="1611" w:type="pct"/>
            <w:noWrap w:val="0"/>
            <w:vAlign w:val="center"/>
          </w:tcPr>
          <w:p w14:paraId="2FDEBD75">
            <w:pPr>
              <w:pStyle w:val="38"/>
              <w:jc w:val="left"/>
              <w:rPr>
                <w:color w:val="auto"/>
                <w:highlight w:val="none"/>
              </w:rPr>
            </w:pPr>
            <w:r>
              <w:rPr>
                <w:rFonts w:hint="eastAsia"/>
                <w:color w:val="auto"/>
                <w:highlight w:val="none"/>
                <w:lang w:eastAsia="zh-CN"/>
              </w:rPr>
              <w:t>□</w:t>
            </w:r>
            <w:r>
              <w:rPr>
                <w:color w:val="auto"/>
                <w:highlight w:val="none"/>
              </w:rPr>
              <w:t>新建（迁建）</w:t>
            </w:r>
          </w:p>
          <w:p w14:paraId="2C29481E">
            <w:pPr>
              <w:pStyle w:val="38"/>
              <w:jc w:val="left"/>
              <w:rPr>
                <w:color w:val="auto"/>
                <w:highlight w:val="none"/>
              </w:rPr>
            </w:pPr>
            <w:r>
              <w:rPr>
                <w:color w:val="auto"/>
                <w:highlight w:val="none"/>
              </w:rPr>
              <w:sym w:font="Wingdings 2" w:char="0052"/>
            </w:r>
            <w:r>
              <w:rPr>
                <w:color w:val="auto"/>
                <w:highlight w:val="none"/>
              </w:rPr>
              <w:t>改建</w:t>
            </w:r>
          </w:p>
          <w:p w14:paraId="01B5F928">
            <w:pPr>
              <w:pStyle w:val="38"/>
              <w:jc w:val="left"/>
              <w:rPr>
                <w:color w:val="auto"/>
                <w:highlight w:val="none"/>
              </w:rPr>
            </w:pPr>
            <w:r>
              <w:rPr>
                <w:color w:val="auto"/>
                <w:highlight w:val="none"/>
              </w:rPr>
              <w:sym w:font="Wingdings 2" w:char="0052"/>
            </w:r>
            <w:r>
              <w:rPr>
                <w:color w:val="auto"/>
                <w:highlight w:val="none"/>
              </w:rPr>
              <w:t>扩建</w:t>
            </w:r>
          </w:p>
          <w:p w14:paraId="690C7158">
            <w:pPr>
              <w:pStyle w:val="38"/>
              <w:jc w:val="left"/>
              <w:rPr>
                <w:color w:val="auto"/>
                <w:highlight w:val="none"/>
              </w:rPr>
            </w:pPr>
            <w:r>
              <w:rPr>
                <w:color w:val="auto"/>
                <w:highlight w:val="none"/>
              </w:rPr>
              <w:t>□技术改造</w:t>
            </w:r>
          </w:p>
        </w:tc>
        <w:tc>
          <w:tcPr>
            <w:tcW w:w="1096" w:type="pct"/>
            <w:noWrap w:val="0"/>
            <w:vAlign w:val="center"/>
          </w:tcPr>
          <w:p w14:paraId="1D106DFC">
            <w:pPr>
              <w:pStyle w:val="37"/>
              <w:rPr>
                <w:color w:val="auto"/>
                <w:highlight w:val="none"/>
              </w:rPr>
            </w:pPr>
            <w:r>
              <w:rPr>
                <w:color w:val="auto"/>
                <w:highlight w:val="none"/>
              </w:rPr>
              <w:t>建设项目申报情形</w:t>
            </w:r>
          </w:p>
        </w:tc>
        <w:tc>
          <w:tcPr>
            <w:tcW w:w="1649" w:type="pct"/>
            <w:noWrap w:val="0"/>
            <w:vAlign w:val="center"/>
          </w:tcPr>
          <w:p w14:paraId="0597CEF9">
            <w:pPr>
              <w:pStyle w:val="38"/>
              <w:jc w:val="both"/>
              <w:rPr>
                <w:color w:val="auto"/>
                <w:highlight w:val="none"/>
              </w:rPr>
            </w:pPr>
            <w:r>
              <w:rPr>
                <w:color w:val="auto"/>
                <w:highlight w:val="none"/>
              </w:rPr>
              <w:sym w:font="Wingdings 2" w:char="0052"/>
            </w:r>
            <w:r>
              <w:rPr>
                <w:color w:val="auto"/>
                <w:highlight w:val="none"/>
              </w:rPr>
              <w:t>首次申报项目</w:t>
            </w:r>
          </w:p>
          <w:p w14:paraId="6191FDC5">
            <w:pPr>
              <w:pStyle w:val="38"/>
              <w:jc w:val="both"/>
              <w:rPr>
                <w:color w:val="auto"/>
                <w:highlight w:val="none"/>
              </w:rPr>
            </w:pPr>
            <w:r>
              <w:rPr>
                <w:color w:val="auto"/>
                <w:highlight w:val="none"/>
              </w:rPr>
              <w:t>□不予批准后再次申报项目</w:t>
            </w:r>
          </w:p>
          <w:p w14:paraId="49568BE1">
            <w:pPr>
              <w:pStyle w:val="38"/>
              <w:jc w:val="both"/>
              <w:rPr>
                <w:color w:val="auto"/>
                <w:highlight w:val="none"/>
              </w:rPr>
            </w:pPr>
            <w:r>
              <w:rPr>
                <w:color w:val="auto"/>
                <w:highlight w:val="none"/>
              </w:rPr>
              <w:t>□超五年重新审核项目</w:t>
            </w:r>
          </w:p>
          <w:p w14:paraId="216408E9">
            <w:pPr>
              <w:pStyle w:val="38"/>
              <w:jc w:val="both"/>
              <w:rPr>
                <w:color w:val="auto"/>
                <w:highlight w:val="none"/>
              </w:rPr>
            </w:pPr>
            <w:r>
              <w:rPr>
                <w:color w:val="auto"/>
                <w:highlight w:val="none"/>
              </w:rPr>
              <w:t>□重大变动重新报批项目</w:t>
            </w:r>
          </w:p>
        </w:tc>
      </w:tr>
      <w:tr w14:paraId="1E763A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41" w:hRule="atLeast"/>
        </w:trPr>
        <w:tc>
          <w:tcPr>
            <w:tcW w:w="642" w:type="pct"/>
            <w:noWrap w:val="0"/>
            <w:tcMar>
              <w:top w:w="16" w:type="dxa"/>
              <w:left w:w="16" w:type="dxa"/>
              <w:right w:w="16" w:type="dxa"/>
            </w:tcMar>
            <w:vAlign w:val="center"/>
          </w:tcPr>
          <w:p w14:paraId="7B1FFC6A">
            <w:pPr>
              <w:pStyle w:val="38"/>
              <w:rPr>
                <w:color w:val="auto"/>
                <w:highlight w:val="none"/>
              </w:rPr>
            </w:pPr>
            <w:r>
              <w:rPr>
                <w:color w:val="auto"/>
                <w:highlight w:val="none"/>
              </w:rPr>
              <w:t>项目审批（核准/备案）部门（选填）</w:t>
            </w:r>
          </w:p>
        </w:tc>
        <w:tc>
          <w:tcPr>
            <w:tcW w:w="1611" w:type="pct"/>
            <w:noWrap w:val="0"/>
            <w:vAlign w:val="center"/>
          </w:tcPr>
          <w:p w14:paraId="5BCA4D9D">
            <w:pPr>
              <w:pStyle w:val="38"/>
              <w:rPr>
                <w:rFonts w:hint="eastAsia" w:eastAsia="宋体"/>
                <w:color w:val="auto"/>
                <w:highlight w:val="none"/>
                <w:lang w:eastAsia="zh-CN"/>
              </w:rPr>
            </w:pPr>
            <w:r>
              <w:rPr>
                <w:rFonts w:hint="eastAsia"/>
                <w:color w:val="auto"/>
                <w:highlight w:val="none"/>
                <w:lang w:val="en-US" w:eastAsia="zh-CN"/>
              </w:rPr>
              <w:t>宝清县发展和改革局</w:t>
            </w:r>
          </w:p>
        </w:tc>
        <w:tc>
          <w:tcPr>
            <w:tcW w:w="1096" w:type="pct"/>
            <w:noWrap w:val="0"/>
            <w:vAlign w:val="center"/>
          </w:tcPr>
          <w:p w14:paraId="64385260">
            <w:pPr>
              <w:pStyle w:val="38"/>
              <w:rPr>
                <w:color w:val="auto"/>
                <w:highlight w:val="none"/>
              </w:rPr>
            </w:pPr>
            <w:r>
              <w:rPr>
                <w:color w:val="auto"/>
                <w:highlight w:val="none"/>
              </w:rPr>
              <w:t>项目审批（核准/备案）文号（选填）</w:t>
            </w:r>
          </w:p>
        </w:tc>
        <w:tc>
          <w:tcPr>
            <w:tcW w:w="1649" w:type="pct"/>
            <w:noWrap w:val="0"/>
            <w:vAlign w:val="center"/>
          </w:tcPr>
          <w:p w14:paraId="1BC1BEBD">
            <w:pPr>
              <w:pStyle w:val="37"/>
              <w:rPr>
                <w:rFonts w:hint="default"/>
                <w:color w:val="auto"/>
                <w:highlight w:val="none"/>
                <w:lang w:val="en-US"/>
              </w:rPr>
            </w:pPr>
            <w:r>
              <w:rPr>
                <w:rFonts w:hint="eastAsia"/>
                <w:color w:val="auto"/>
                <w:highlight w:val="none"/>
                <w:lang w:val="en-US" w:eastAsia="zh-CN"/>
              </w:rPr>
              <w:t>宝发改[2025]64号</w:t>
            </w:r>
          </w:p>
        </w:tc>
      </w:tr>
      <w:tr w14:paraId="4615BE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99" w:hRule="atLeast"/>
        </w:trPr>
        <w:tc>
          <w:tcPr>
            <w:tcW w:w="642" w:type="pct"/>
            <w:noWrap w:val="0"/>
            <w:tcMar>
              <w:top w:w="16" w:type="dxa"/>
              <w:left w:w="16" w:type="dxa"/>
              <w:right w:w="16" w:type="dxa"/>
            </w:tcMar>
            <w:vAlign w:val="center"/>
          </w:tcPr>
          <w:p w14:paraId="2EC97C61">
            <w:pPr>
              <w:pStyle w:val="37"/>
              <w:rPr>
                <w:color w:val="auto"/>
                <w:highlight w:val="none"/>
              </w:rPr>
            </w:pPr>
            <w:r>
              <w:rPr>
                <w:color w:val="auto"/>
                <w:highlight w:val="none"/>
              </w:rPr>
              <w:t>总投资（万元）</w:t>
            </w:r>
          </w:p>
        </w:tc>
        <w:tc>
          <w:tcPr>
            <w:tcW w:w="1611" w:type="pct"/>
            <w:noWrap w:val="0"/>
            <w:vAlign w:val="center"/>
          </w:tcPr>
          <w:p w14:paraId="5BE0F24D">
            <w:pPr>
              <w:pStyle w:val="37"/>
              <w:rPr>
                <w:rFonts w:hint="default"/>
                <w:color w:val="auto"/>
                <w:highlight w:val="none"/>
                <w:lang w:val="en-US" w:eastAsia="zh-CN"/>
              </w:rPr>
            </w:pPr>
            <w:r>
              <w:rPr>
                <w:rFonts w:hint="eastAsia"/>
                <w:color w:val="auto"/>
                <w:highlight w:val="none"/>
                <w:lang w:val="en-US" w:eastAsia="zh-CN"/>
              </w:rPr>
              <w:t>9461.0305</w:t>
            </w:r>
          </w:p>
        </w:tc>
        <w:tc>
          <w:tcPr>
            <w:tcW w:w="1096" w:type="pct"/>
            <w:noWrap w:val="0"/>
            <w:tcMar>
              <w:top w:w="16" w:type="dxa"/>
              <w:left w:w="16" w:type="dxa"/>
              <w:right w:w="16" w:type="dxa"/>
            </w:tcMar>
            <w:vAlign w:val="center"/>
          </w:tcPr>
          <w:p w14:paraId="3ECA3AAA">
            <w:pPr>
              <w:pStyle w:val="37"/>
              <w:rPr>
                <w:color w:val="auto"/>
                <w:highlight w:val="none"/>
              </w:rPr>
            </w:pPr>
            <w:r>
              <w:rPr>
                <w:color w:val="auto"/>
                <w:highlight w:val="none"/>
              </w:rPr>
              <w:t>环保投资（万元）</w:t>
            </w:r>
          </w:p>
        </w:tc>
        <w:tc>
          <w:tcPr>
            <w:tcW w:w="1649" w:type="pct"/>
            <w:noWrap w:val="0"/>
            <w:vAlign w:val="center"/>
          </w:tcPr>
          <w:p w14:paraId="74A78C06">
            <w:pPr>
              <w:pStyle w:val="37"/>
              <w:rPr>
                <w:rFonts w:hint="default" w:eastAsia="宋体"/>
                <w:color w:val="auto"/>
                <w:highlight w:val="none"/>
                <w:lang w:val="en-US" w:eastAsia="zh-CN"/>
              </w:rPr>
            </w:pPr>
            <w:r>
              <w:rPr>
                <w:rFonts w:hint="eastAsia"/>
                <w:color w:val="auto"/>
                <w:highlight w:val="none"/>
                <w:lang w:val="en-US" w:eastAsia="zh-CN"/>
              </w:rPr>
              <w:t>121</w:t>
            </w:r>
          </w:p>
        </w:tc>
      </w:tr>
      <w:tr w14:paraId="5BCC54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9" w:hRule="atLeast"/>
        </w:trPr>
        <w:tc>
          <w:tcPr>
            <w:tcW w:w="642" w:type="pct"/>
            <w:noWrap w:val="0"/>
            <w:tcMar>
              <w:top w:w="16" w:type="dxa"/>
              <w:left w:w="16" w:type="dxa"/>
              <w:right w:w="16" w:type="dxa"/>
            </w:tcMar>
            <w:vAlign w:val="center"/>
          </w:tcPr>
          <w:p w14:paraId="262148EF">
            <w:pPr>
              <w:pStyle w:val="37"/>
              <w:rPr>
                <w:color w:val="auto"/>
                <w:highlight w:val="none"/>
              </w:rPr>
            </w:pPr>
            <w:r>
              <w:rPr>
                <w:color w:val="auto"/>
                <w:highlight w:val="none"/>
              </w:rPr>
              <w:t>环保投资占比（%）</w:t>
            </w:r>
          </w:p>
        </w:tc>
        <w:tc>
          <w:tcPr>
            <w:tcW w:w="1611" w:type="pct"/>
            <w:noWrap w:val="0"/>
            <w:vAlign w:val="center"/>
          </w:tcPr>
          <w:p w14:paraId="692C8D7F">
            <w:pPr>
              <w:pStyle w:val="37"/>
              <w:rPr>
                <w:rFonts w:hint="default" w:eastAsia="宋体"/>
                <w:color w:val="auto"/>
                <w:highlight w:val="none"/>
                <w:lang w:val="en-US" w:eastAsia="zh-CN"/>
              </w:rPr>
            </w:pPr>
            <w:r>
              <w:rPr>
                <w:rFonts w:hint="eastAsia"/>
                <w:color w:val="auto"/>
                <w:highlight w:val="none"/>
                <w:lang w:val="en-US" w:eastAsia="zh-CN"/>
              </w:rPr>
              <w:t>1.28</w:t>
            </w:r>
          </w:p>
        </w:tc>
        <w:tc>
          <w:tcPr>
            <w:tcW w:w="1096" w:type="pct"/>
            <w:noWrap w:val="0"/>
            <w:tcMar>
              <w:top w:w="16" w:type="dxa"/>
              <w:left w:w="16" w:type="dxa"/>
              <w:right w:w="16" w:type="dxa"/>
            </w:tcMar>
            <w:vAlign w:val="center"/>
          </w:tcPr>
          <w:p w14:paraId="6B7A0650">
            <w:pPr>
              <w:pStyle w:val="37"/>
              <w:rPr>
                <w:color w:val="auto"/>
                <w:highlight w:val="none"/>
              </w:rPr>
            </w:pPr>
            <w:r>
              <w:rPr>
                <w:color w:val="auto"/>
                <w:highlight w:val="none"/>
              </w:rPr>
              <w:t>施工工期</w:t>
            </w:r>
          </w:p>
        </w:tc>
        <w:tc>
          <w:tcPr>
            <w:tcW w:w="1649" w:type="pct"/>
            <w:noWrap w:val="0"/>
            <w:vAlign w:val="center"/>
          </w:tcPr>
          <w:p w14:paraId="55B5D0E2">
            <w:pPr>
              <w:pStyle w:val="37"/>
              <w:rPr>
                <w:rFonts w:hint="default"/>
                <w:color w:val="auto"/>
                <w:highlight w:val="none"/>
                <w:lang w:val="en-US"/>
              </w:rPr>
            </w:pPr>
            <w:r>
              <w:rPr>
                <w:rFonts w:hint="eastAsia"/>
                <w:color w:val="auto"/>
                <w:highlight w:val="none"/>
              </w:rPr>
              <w:t>202</w:t>
            </w:r>
            <w:r>
              <w:rPr>
                <w:rFonts w:hint="eastAsia"/>
                <w:color w:val="auto"/>
                <w:highlight w:val="none"/>
                <w:lang w:val="en-US" w:eastAsia="zh-CN"/>
              </w:rPr>
              <w:t>6.10</w:t>
            </w:r>
            <w:r>
              <w:rPr>
                <w:rFonts w:hint="eastAsia"/>
                <w:color w:val="auto"/>
                <w:highlight w:val="none"/>
              </w:rPr>
              <w:t>至</w:t>
            </w:r>
            <w:r>
              <w:rPr>
                <w:rFonts w:hint="eastAsia"/>
                <w:color w:val="auto"/>
                <w:highlight w:val="none"/>
                <w:lang w:val="en-US" w:eastAsia="zh-CN"/>
              </w:rPr>
              <w:t>2027.10</w:t>
            </w:r>
          </w:p>
        </w:tc>
      </w:tr>
      <w:tr w14:paraId="558BBC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371" w:hRule="atLeast"/>
        </w:trPr>
        <w:tc>
          <w:tcPr>
            <w:tcW w:w="642" w:type="pct"/>
            <w:noWrap w:val="0"/>
            <w:tcMar>
              <w:top w:w="16" w:type="dxa"/>
              <w:left w:w="16" w:type="dxa"/>
              <w:right w:w="16" w:type="dxa"/>
            </w:tcMar>
            <w:vAlign w:val="center"/>
          </w:tcPr>
          <w:p w14:paraId="729F17CB">
            <w:pPr>
              <w:pStyle w:val="37"/>
              <w:rPr>
                <w:color w:val="auto"/>
                <w:highlight w:val="none"/>
              </w:rPr>
            </w:pPr>
            <w:r>
              <w:rPr>
                <w:color w:val="auto"/>
                <w:highlight w:val="none"/>
              </w:rPr>
              <w:t>是否开工建设</w:t>
            </w:r>
          </w:p>
        </w:tc>
        <w:tc>
          <w:tcPr>
            <w:tcW w:w="4357" w:type="pct"/>
            <w:gridSpan w:val="3"/>
            <w:noWrap w:val="0"/>
            <w:vAlign w:val="center"/>
          </w:tcPr>
          <w:p w14:paraId="7E54E985">
            <w:pPr>
              <w:pStyle w:val="38"/>
              <w:spacing w:line="360" w:lineRule="auto"/>
              <w:jc w:val="left"/>
              <w:rPr>
                <w:color w:val="auto"/>
                <w:highlight w:val="none"/>
              </w:rPr>
            </w:pPr>
            <w:r>
              <w:rPr>
                <w:color w:val="auto"/>
                <w:highlight w:val="none"/>
              </w:rPr>
              <w:sym w:font="Wingdings 2" w:char="0052"/>
            </w:r>
            <w:r>
              <w:rPr>
                <w:color w:val="auto"/>
                <w:highlight w:val="none"/>
              </w:rPr>
              <w:t>否</w:t>
            </w:r>
          </w:p>
          <w:p w14:paraId="0FEF93FC">
            <w:pPr>
              <w:pStyle w:val="38"/>
              <w:spacing w:line="360" w:lineRule="auto"/>
              <w:jc w:val="left"/>
              <w:rPr>
                <w:color w:val="auto"/>
                <w:highlight w:val="none"/>
              </w:rPr>
            </w:pPr>
            <w:r>
              <w:rPr>
                <w:color w:val="auto"/>
                <w:highlight w:val="none"/>
              </w:rPr>
              <w:t>□是：</w:t>
            </w:r>
            <w:r>
              <w:rPr>
                <w:color w:val="auto"/>
                <w:highlight w:val="none"/>
                <w:u w:val="single"/>
              </w:rPr>
              <w:t xml:space="preserve">                            </w:t>
            </w:r>
            <w:r>
              <w:rPr>
                <w:color w:val="auto"/>
                <w:highlight w:val="none"/>
              </w:rPr>
              <w:t xml:space="preserve"> </w:t>
            </w:r>
          </w:p>
        </w:tc>
      </w:tr>
      <w:tr w14:paraId="57C590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11" w:hRule="atLeast"/>
        </w:trPr>
        <w:tc>
          <w:tcPr>
            <w:tcW w:w="642" w:type="pct"/>
            <w:noWrap w:val="0"/>
            <w:tcMar>
              <w:top w:w="16" w:type="dxa"/>
              <w:left w:w="16" w:type="dxa"/>
              <w:right w:w="16" w:type="dxa"/>
            </w:tcMar>
            <w:vAlign w:val="center"/>
          </w:tcPr>
          <w:p w14:paraId="049B8219">
            <w:pPr>
              <w:pStyle w:val="37"/>
              <w:keepNext w:val="0"/>
              <w:keepLines w:val="0"/>
              <w:pageBreakBefore w:val="0"/>
              <w:widowControl w:val="0"/>
              <w:kinsoku/>
              <w:wordWrap/>
              <w:overflowPunct/>
              <w:topLinePunct w:val="0"/>
              <w:bidi w:val="0"/>
              <w:adjustRightInd/>
              <w:snapToGrid/>
              <w:spacing w:line="360" w:lineRule="auto"/>
              <w:textAlignment w:val="auto"/>
              <w:rPr>
                <w:color w:val="auto"/>
                <w:highlight w:val="none"/>
              </w:rPr>
            </w:pPr>
            <w:r>
              <w:rPr>
                <w:color w:val="auto"/>
                <w:highlight w:val="none"/>
              </w:rPr>
              <w:t>专项评价设置情况</w:t>
            </w:r>
          </w:p>
        </w:tc>
        <w:tc>
          <w:tcPr>
            <w:tcW w:w="4357" w:type="pct"/>
            <w:gridSpan w:val="3"/>
            <w:noWrap w:val="0"/>
            <w:tcMar>
              <w:top w:w="16" w:type="dxa"/>
              <w:left w:w="16" w:type="dxa"/>
              <w:right w:w="16" w:type="dxa"/>
            </w:tcMar>
            <w:vAlign w:val="center"/>
          </w:tcPr>
          <w:p w14:paraId="37BCEC71">
            <w:pPr>
              <w:pStyle w:val="38"/>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olor w:val="auto"/>
                <w:highlight w:val="none"/>
                <w:lang w:val="en-US" w:eastAsia="zh-CN"/>
              </w:rPr>
            </w:pPr>
            <w:r>
              <w:rPr>
                <w:rFonts w:hint="eastAsia" w:cs="宋体"/>
                <w:color w:val="auto"/>
                <w:kern w:val="0"/>
                <w:szCs w:val="21"/>
              </w:rPr>
              <w:t>本项目设置</w:t>
            </w:r>
            <w:r>
              <w:rPr>
                <w:rFonts w:hint="eastAsia"/>
                <w:color w:val="auto"/>
                <w:kern w:val="0"/>
                <w:szCs w:val="21"/>
              </w:rPr>
              <w:t>生态</w:t>
            </w:r>
            <w:r>
              <w:rPr>
                <w:rFonts w:hint="eastAsia" w:cs="宋体"/>
                <w:color w:val="auto"/>
                <w:kern w:val="0"/>
                <w:szCs w:val="21"/>
              </w:rPr>
              <w:t>、</w:t>
            </w:r>
            <w:r>
              <w:rPr>
                <w:color w:val="auto"/>
              </w:rPr>
              <w:t>噪声</w:t>
            </w:r>
            <w:r>
              <w:rPr>
                <w:rFonts w:hint="eastAsia"/>
                <w:color w:val="auto"/>
              </w:rPr>
              <w:t>2个</w:t>
            </w:r>
            <w:r>
              <w:rPr>
                <w:color w:val="auto"/>
              </w:rPr>
              <w:t>专项评价</w:t>
            </w:r>
            <w:r>
              <w:rPr>
                <w:rFonts w:hint="eastAsia"/>
                <w:color w:val="auto"/>
              </w:rPr>
              <w:t>，设置理由如下：</w:t>
            </w:r>
          </w:p>
          <w:p w14:paraId="6AB76E8A">
            <w:pPr>
              <w:pStyle w:val="38"/>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color w:val="auto"/>
                <w:highlight w:val="none"/>
              </w:rPr>
            </w:pPr>
            <w:r>
              <w:rPr>
                <w:rFonts w:hint="eastAsia"/>
                <w:color w:val="auto"/>
                <w:highlight w:val="none"/>
                <w:lang w:val="en-US" w:eastAsia="zh-CN"/>
              </w:rPr>
              <w:t>1、</w:t>
            </w:r>
            <w:r>
              <w:rPr>
                <w:color w:val="auto"/>
                <w:highlight w:val="none"/>
              </w:rPr>
              <w:t>依据</w:t>
            </w:r>
            <w:r>
              <w:rPr>
                <w:rFonts w:hint="eastAsia"/>
                <w:color w:val="auto"/>
                <w:highlight w:val="none"/>
              </w:rPr>
              <w:t>《建设项目环境影响报告表编制技术指南（生态影响类）（试行）》</w:t>
            </w:r>
            <w:r>
              <w:rPr>
                <w:color w:val="auto"/>
                <w:highlight w:val="none"/>
              </w:rPr>
              <w:t>表1专项评价设置原则表，</w:t>
            </w:r>
            <w:r>
              <w:rPr>
                <w:rFonts w:hint="eastAsia"/>
                <w:color w:val="auto"/>
                <w:highlight w:val="none"/>
                <w:lang w:eastAsia="zh-CN"/>
              </w:rPr>
              <w:t>本项目占地</w:t>
            </w:r>
            <w:r>
              <w:rPr>
                <w:rFonts w:hint="eastAsia"/>
                <w:color w:val="auto"/>
                <w:lang w:eastAsia="zh-CN"/>
              </w:rPr>
              <w:t>与</w:t>
            </w:r>
            <w:r>
              <w:rPr>
                <w:rFonts w:hint="eastAsia"/>
                <w:color w:val="auto"/>
                <w:kern w:val="0"/>
                <w:szCs w:val="21"/>
                <w:highlight w:val="none"/>
              </w:rPr>
              <w:t>黑龙江东升省级自然保护区</w:t>
            </w:r>
            <w:r>
              <w:rPr>
                <w:rFonts w:hint="eastAsia" w:ascii="Times New Roman" w:hAnsi="Times New Roman" w:eastAsia="宋体" w:cs="Times New Roman"/>
                <w:color w:val="auto"/>
                <w:kern w:val="0"/>
                <w:szCs w:val="21"/>
                <w:highlight w:val="none"/>
                <w:lang w:eastAsia="zh-CN"/>
              </w:rPr>
              <w:t>、</w:t>
            </w:r>
            <w:r>
              <w:rPr>
                <w:rFonts w:hint="eastAsia"/>
                <w:color w:val="auto"/>
                <w:highlight w:val="none"/>
                <w:lang w:val="en-US" w:eastAsia="zh-CN"/>
              </w:rPr>
              <w:t>黑龙江完达山国家级森林公园、</w:t>
            </w:r>
            <w:r>
              <w:rPr>
                <w:rFonts w:hint="eastAsia" w:ascii="Times New Roman" w:hAnsi="Times New Roman" w:eastAsia="宋体" w:cs="Times New Roman"/>
                <w:color w:val="auto"/>
                <w:kern w:val="0"/>
                <w:szCs w:val="21"/>
                <w:highlight w:val="none"/>
                <w:lang w:eastAsia="zh-CN"/>
              </w:rPr>
              <w:t>生态保护红线均有</w:t>
            </w:r>
            <w:r>
              <w:rPr>
                <w:rFonts w:hint="eastAsia" w:ascii="Times New Roman" w:hAnsi="Times New Roman" w:eastAsia="宋体" w:cs="Times New Roman"/>
                <w:color w:val="auto"/>
                <w:kern w:val="0"/>
                <w:szCs w:val="21"/>
                <w:lang w:eastAsia="zh-CN"/>
              </w:rPr>
              <w:t>交叉重叠</w:t>
            </w:r>
            <w:r>
              <w:rPr>
                <w:color w:val="auto"/>
                <w:highlight w:val="none"/>
              </w:rPr>
              <w:t>，属于“涉及环境敏感区（不包括饮用水水源保护区，以居住、医疗卫生、文化教育、科研、行政办公为主要功能的区域，以及文物保护单位）的项目”，应设置生态专项评价；</w:t>
            </w:r>
          </w:p>
          <w:p w14:paraId="5F4D16EE">
            <w:pPr>
              <w:pStyle w:val="38"/>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color w:val="auto"/>
                <w:highlight w:val="none"/>
              </w:rPr>
            </w:pPr>
            <w:r>
              <w:rPr>
                <w:rFonts w:hint="eastAsia" w:ascii="Times New Roman" w:hAnsi="Times New Roman" w:eastAsia="宋体" w:cs="Times New Roman"/>
                <w:color w:val="auto"/>
                <w:highlight w:val="none"/>
                <w:lang w:val="en-US" w:eastAsia="zh-CN"/>
              </w:rPr>
              <w:t>2、依据</w:t>
            </w:r>
            <w:r>
              <w:rPr>
                <w:rFonts w:hint="eastAsia"/>
                <w:color w:val="auto"/>
                <w:highlight w:val="none"/>
              </w:rPr>
              <w:t>《建设项目环境影响报告表编制技术指南（生态影响类）（试行）》</w:t>
            </w:r>
            <w:r>
              <w:rPr>
                <w:rFonts w:hint="eastAsia" w:ascii="Times New Roman" w:hAnsi="Times New Roman" w:eastAsia="宋体" w:cs="Times New Roman"/>
                <w:color w:val="auto"/>
                <w:highlight w:val="none"/>
                <w:lang w:val="en-US" w:eastAsia="zh-CN"/>
              </w:rPr>
              <w:t>表1专项评价设置原则表，本项目为公路建设项目，沿线声环境保护目标有</w:t>
            </w:r>
            <w:r>
              <w:rPr>
                <w:rFonts w:hint="eastAsia" w:cs="Times New Roman"/>
                <w:color w:val="auto"/>
                <w:highlight w:val="none"/>
                <w:lang w:val="en-US" w:eastAsia="zh-CN"/>
              </w:rPr>
              <w:t>两处零散户、联合屯、头道林子村、东旭村、二道林子村、三道林子村、东升卫生院、中岗村、银龙村</w:t>
            </w:r>
            <w:r>
              <w:rPr>
                <w:rFonts w:hint="eastAsia" w:ascii="Times New Roman" w:hAnsi="Times New Roman" w:eastAsia="宋体" w:cs="Times New Roman"/>
                <w:color w:val="auto"/>
                <w:highlight w:val="none"/>
                <w:lang w:val="en-US" w:eastAsia="zh-CN"/>
              </w:rPr>
              <w:t>，属于“公路、铁路、机场等交通运输业涉及环境敏感区（以居住、医疗卫生、文化教育、科研、行政办公为主要功能的区域）的项目”，应设置噪声专项评价。</w:t>
            </w:r>
          </w:p>
        </w:tc>
      </w:tr>
      <w:tr w14:paraId="3BCFCD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89" w:hRule="atLeast"/>
        </w:trPr>
        <w:tc>
          <w:tcPr>
            <w:tcW w:w="642" w:type="pct"/>
            <w:noWrap w:val="0"/>
            <w:tcMar>
              <w:top w:w="16" w:type="dxa"/>
              <w:left w:w="16" w:type="dxa"/>
              <w:right w:w="16" w:type="dxa"/>
            </w:tcMar>
            <w:vAlign w:val="center"/>
          </w:tcPr>
          <w:p w14:paraId="1DA18F91">
            <w:pPr>
              <w:pStyle w:val="37"/>
              <w:keepNext w:val="0"/>
              <w:keepLines w:val="0"/>
              <w:pageBreakBefore w:val="0"/>
              <w:widowControl w:val="0"/>
              <w:kinsoku/>
              <w:wordWrap/>
              <w:overflowPunct/>
              <w:topLinePunct w:val="0"/>
              <w:bidi w:val="0"/>
              <w:adjustRightInd/>
              <w:snapToGrid/>
              <w:spacing w:line="360" w:lineRule="auto"/>
              <w:jc w:val="center"/>
              <w:textAlignment w:val="auto"/>
              <w:rPr>
                <w:color w:val="auto"/>
                <w:highlight w:val="none"/>
              </w:rPr>
            </w:pPr>
            <w:r>
              <w:rPr>
                <w:color w:val="auto"/>
                <w:highlight w:val="none"/>
              </w:rPr>
              <w:t>规划情况</w:t>
            </w:r>
          </w:p>
        </w:tc>
        <w:tc>
          <w:tcPr>
            <w:tcW w:w="4357" w:type="pct"/>
            <w:gridSpan w:val="3"/>
            <w:noWrap w:val="0"/>
            <w:tcMar>
              <w:top w:w="16" w:type="dxa"/>
              <w:left w:w="16" w:type="dxa"/>
              <w:right w:w="16" w:type="dxa"/>
            </w:tcMar>
            <w:vAlign w:val="center"/>
          </w:tcPr>
          <w:p w14:paraId="70E117EF">
            <w:pPr>
              <w:autoSpaceDE w:val="0"/>
              <w:autoSpaceDN w:val="0"/>
              <w:adjustRightInd w:val="0"/>
              <w:snapToGrid w:val="0"/>
              <w:ind w:firstLine="480" w:firstLineChars="200"/>
              <w:jc w:val="center"/>
              <w:rPr>
                <w:rFonts w:hint="default" w:eastAsia="宋体"/>
                <w:color w:val="auto"/>
                <w:highlight w:val="none"/>
                <w:lang w:val="en-US" w:eastAsia="zh-CN"/>
              </w:rPr>
            </w:pPr>
            <w:r>
              <w:rPr>
                <w:rFonts w:hint="eastAsia"/>
                <w:color w:val="auto"/>
                <w:highlight w:val="none"/>
                <w:lang w:val="en-US" w:eastAsia="zh-CN"/>
              </w:rPr>
              <w:t>/</w:t>
            </w:r>
          </w:p>
        </w:tc>
      </w:tr>
      <w:tr w14:paraId="1D79D4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397" w:hRule="atLeast"/>
        </w:trPr>
        <w:tc>
          <w:tcPr>
            <w:tcW w:w="642" w:type="pct"/>
            <w:noWrap w:val="0"/>
            <w:tcMar>
              <w:top w:w="16" w:type="dxa"/>
              <w:left w:w="16" w:type="dxa"/>
              <w:right w:w="16" w:type="dxa"/>
            </w:tcMar>
            <w:vAlign w:val="center"/>
          </w:tcPr>
          <w:p w14:paraId="215B7A98">
            <w:pPr>
              <w:pStyle w:val="38"/>
              <w:keepNext w:val="0"/>
              <w:keepLines w:val="0"/>
              <w:pageBreakBefore w:val="0"/>
              <w:widowControl w:val="0"/>
              <w:kinsoku/>
              <w:wordWrap/>
              <w:overflowPunct/>
              <w:topLinePunct w:val="0"/>
              <w:bidi w:val="0"/>
              <w:adjustRightInd/>
              <w:snapToGrid/>
              <w:spacing w:line="360" w:lineRule="auto"/>
              <w:jc w:val="center"/>
              <w:textAlignment w:val="auto"/>
              <w:rPr>
                <w:color w:val="auto"/>
                <w:highlight w:val="none"/>
              </w:rPr>
            </w:pPr>
            <w:r>
              <w:rPr>
                <w:color w:val="auto"/>
                <w:highlight w:val="none"/>
              </w:rPr>
              <w:t>规划环境影响评价情况</w:t>
            </w:r>
          </w:p>
        </w:tc>
        <w:tc>
          <w:tcPr>
            <w:tcW w:w="4357" w:type="pct"/>
            <w:gridSpan w:val="3"/>
            <w:noWrap w:val="0"/>
            <w:tcMar>
              <w:top w:w="16" w:type="dxa"/>
              <w:left w:w="16" w:type="dxa"/>
              <w:right w:w="16" w:type="dxa"/>
            </w:tcMar>
            <w:vAlign w:val="center"/>
          </w:tcPr>
          <w:p w14:paraId="0771C70C">
            <w:pPr>
              <w:adjustRightInd w:val="0"/>
              <w:snapToGrid w:val="0"/>
              <w:ind w:firstLine="480" w:firstLineChars="200"/>
              <w:jc w:val="center"/>
              <w:rPr>
                <w:rFonts w:hint="default" w:eastAsia="宋体"/>
                <w:color w:val="auto"/>
                <w:highlight w:val="none"/>
                <w:lang w:val="en-US" w:eastAsia="zh-CN"/>
              </w:rPr>
            </w:pPr>
            <w:r>
              <w:rPr>
                <w:rFonts w:hint="eastAsia"/>
                <w:color w:val="auto"/>
                <w:highlight w:val="none"/>
                <w:lang w:val="en-US" w:eastAsia="zh-CN"/>
              </w:rPr>
              <w:t>/</w:t>
            </w:r>
          </w:p>
        </w:tc>
      </w:tr>
      <w:tr w14:paraId="5B58B6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642" w:type="pct"/>
            <w:noWrap w:val="0"/>
            <w:tcMar>
              <w:top w:w="16" w:type="dxa"/>
              <w:left w:w="16" w:type="dxa"/>
              <w:right w:w="16" w:type="dxa"/>
            </w:tcMar>
            <w:vAlign w:val="center"/>
          </w:tcPr>
          <w:p w14:paraId="3EE2EC96">
            <w:pPr>
              <w:pStyle w:val="38"/>
              <w:keepNext w:val="0"/>
              <w:keepLines w:val="0"/>
              <w:pageBreakBefore w:val="0"/>
              <w:widowControl w:val="0"/>
              <w:kinsoku/>
              <w:wordWrap/>
              <w:overflowPunct/>
              <w:topLinePunct w:val="0"/>
              <w:bidi w:val="0"/>
              <w:adjustRightInd/>
              <w:snapToGrid/>
              <w:spacing w:line="360" w:lineRule="auto"/>
              <w:textAlignment w:val="auto"/>
              <w:rPr>
                <w:color w:val="auto"/>
                <w:highlight w:val="none"/>
              </w:rPr>
            </w:pPr>
            <w:r>
              <w:rPr>
                <w:color w:val="auto"/>
                <w:highlight w:val="none"/>
              </w:rPr>
              <w:t>规划及规划环境影响评价符合性分析</w:t>
            </w:r>
          </w:p>
        </w:tc>
        <w:tc>
          <w:tcPr>
            <w:tcW w:w="4357" w:type="pct"/>
            <w:gridSpan w:val="3"/>
            <w:noWrap w:val="0"/>
            <w:tcMar>
              <w:top w:w="16" w:type="dxa"/>
              <w:left w:w="16" w:type="dxa"/>
              <w:right w:w="16" w:type="dxa"/>
            </w:tcMar>
            <w:vAlign w:val="center"/>
          </w:tcPr>
          <w:p w14:paraId="3EC1B905">
            <w:pPr>
              <w:pStyle w:val="5"/>
              <w:spacing w:line="360" w:lineRule="auto"/>
              <w:ind w:left="0" w:leftChars="0" w:firstLine="480" w:firstLineChars="200"/>
              <w:jc w:val="center"/>
              <w:rPr>
                <w:rFonts w:hint="default" w:eastAsia="宋体"/>
                <w:color w:val="auto"/>
                <w:highlight w:val="none"/>
                <w:lang w:val="en-US" w:eastAsia="zh-CN"/>
              </w:rPr>
            </w:pPr>
            <w:r>
              <w:rPr>
                <w:rFonts w:hint="eastAsia"/>
                <w:color w:val="auto"/>
                <w:highlight w:val="none"/>
                <w:lang w:val="en-US" w:eastAsia="zh-CN"/>
              </w:rPr>
              <w:t>/</w:t>
            </w:r>
          </w:p>
        </w:tc>
      </w:tr>
      <w:tr w14:paraId="25BB48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33" w:hRule="atLeast"/>
        </w:trPr>
        <w:tc>
          <w:tcPr>
            <w:tcW w:w="642" w:type="pct"/>
            <w:noWrap w:val="0"/>
            <w:tcMar>
              <w:top w:w="16" w:type="dxa"/>
              <w:left w:w="16" w:type="dxa"/>
              <w:right w:w="16" w:type="dxa"/>
            </w:tcMar>
            <w:vAlign w:val="center"/>
          </w:tcPr>
          <w:p w14:paraId="21D47B06">
            <w:pPr>
              <w:pStyle w:val="37"/>
              <w:ind w:firstLine="0" w:firstLineChars="0"/>
              <w:rPr>
                <w:rFonts w:hint="eastAsia" w:ascii="Times New Roman" w:hAnsi="Times New Roman" w:eastAsia="宋体" w:cs="Times New Roman"/>
                <w:color w:val="auto"/>
                <w:kern w:val="2"/>
                <w:sz w:val="24"/>
                <w:szCs w:val="24"/>
                <w:highlight w:val="yellow"/>
                <w:lang w:val="en-US" w:eastAsia="zh-CN" w:bidi="ar-SA"/>
              </w:rPr>
            </w:pPr>
            <w:bookmarkStart w:id="2" w:name="_Hlk56690880"/>
            <w:r>
              <w:rPr>
                <w:color w:val="auto"/>
                <w:highlight w:val="none"/>
              </w:rPr>
              <w:t>其他符合性分析</w:t>
            </w:r>
          </w:p>
        </w:tc>
        <w:tc>
          <w:tcPr>
            <w:tcW w:w="4357" w:type="pct"/>
            <w:gridSpan w:val="3"/>
            <w:noWrap w:val="0"/>
            <w:tcMar>
              <w:top w:w="16" w:type="dxa"/>
              <w:left w:w="16" w:type="dxa"/>
              <w:right w:w="16" w:type="dxa"/>
            </w:tcMar>
            <w:vAlign w:val="center"/>
          </w:tcPr>
          <w:p w14:paraId="5D039480">
            <w:pPr>
              <w:autoSpaceDE w:val="0"/>
              <w:autoSpaceDN w:val="0"/>
              <w:adjustRightInd w:val="0"/>
              <w:snapToGrid w:val="0"/>
              <w:ind w:firstLine="480"/>
              <w:rPr>
                <w:rFonts w:hint="eastAsia"/>
                <w:color w:val="auto"/>
                <w:highlight w:val="none"/>
              </w:rPr>
            </w:pPr>
            <w:r>
              <w:rPr>
                <w:rFonts w:hint="eastAsia"/>
                <w:color w:val="auto"/>
                <w:highlight w:val="none"/>
                <w:lang w:val="en-US" w:eastAsia="zh-CN"/>
              </w:rPr>
              <w:t>1、</w:t>
            </w:r>
            <w:r>
              <w:rPr>
                <w:rFonts w:hint="eastAsia"/>
                <w:color w:val="auto"/>
                <w:highlight w:val="none"/>
              </w:rPr>
              <w:t>产业</w:t>
            </w:r>
            <w:r>
              <w:rPr>
                <w:rFonts w:hint="eastAsia"/>
                <w:color w:val="auto"/>
                <w:highlight w:val="none"/>
                <w:lang w:eastAsia="zh-CN"/>
              </w:rPr>
              <w:t>政策</w:t>
            </w:r>
            <w:r>
              <w:rPr>
                <w:rFonts w:hint="eastAsia"/>
                <w:color w:val="auto"/>
                <w:highlight w:val="none"/>
              </w:rPr>
              <w:t>符合性分析</w:t>
            </w:r>
          </w:p>
          <w:p w14:paraId="5690ED61">
            <w:pPr>
              <w:autoSpaceDE w:val="0"/>
              <w:autoSpaceDN w:val="0"/>
              <w:adjustRightInd w:val="0"/>
              <w:snapToGrid w:val="0"/>
              <w:ind w:firstLine="480"/>
              <w:rPr>
                <w:rFonts w:hint="eastAsia"/>
                <w:color w:val="auto"/>
                <w:highlight w:val="none"/>
              </w:rPr>
            </w:pPr>
            <w:r>
              <w:rPr>
                <w:rFonts w:hint="eastAsia"/>
                <w:color w:val="auto"/>
                <w:highlight w:val="none"/>
              </w:rPr>
              <w:t>本项目为</w:t>
            </w:r>
            <w:r>
              <w:rPr>
                <w:rFonts w:hint="eastAsia"/>
                <w:color w:val="auto"/>
                <w:spacing w:val="-6"/>
                <w:highlight w:val="none"/>
                <w:lang w:eastAsia="zh-CN"/>
              </w:rPr>
              <w:t>郝家至银龙公路永红村至银龙村段改扩建工程</w:t>
            </w:r>
            <w:r>
              <w:rPr>
                <w:rFonts w:hint="eastAsia"/>
                <w:color w:val="auto"/>
                <w:highlight w:val="none"/>
              </w:rPr>
              <w:t>，根据《产业结构调整指导目录（20</w:t>
            </w:r>
            <w:r>
              <w:rPr>
                <w:rFonts w:hint="eastAsia"/>
                <w:color w:val="auto"/>
                <w:highlight w:val="none"/>
                <w:lang w:val="en-US" w:eastAsia="zh-CN"/>
              </w:rPr>
              <w:t>24</w:t>
            </w:r>
            <w:r>
              <w:rPr>
                <w:rFonts w:hint="eastAsia"/>
                <w:color w:val="auto"/>
                <w:highlight w:val="none"/>
              </w:rPr>
              <w:t>年本）》，</w:t>
            </w:r>
            <w:r>
              <w:rPr>
                <w:color w:val="auto"/>
                <w:szCs w:val="21"/>
              </w:rPr>
              <w:t>本项目属于</w:t>
            </w:r>
            <w:r>
              <w:rPr>
                <w:rFonts w:hint="eastAsia"/>
                <w:color w:val="auto"/>
                <w:szCs w:val="21"/>
              </w:rPr>
              <w:t>“第一类鼓励类</w:t>
            </w:r>
            <w:r>
              <w:rPr>
                <w:rFonts w:hint="eastAsia"/>
                <w:color w:val="auto"/>
              </w:rPr>
              <w:t>-二十四、公路及道路运输（含城市客运）-</w:t>
            </w:r>
            <w:r>
              <w:rPr>
                <w:color w:val="auto"/>
              </w:rPr>
              <w:t>2</w:t>
            </w:r>
            <w:r>
              <w:rPr>
                <w:rFonts w:hint="eastAsia"/>
                <w:color w:val="auto"/>
              </w:rPr>
              <w:t>、公路智能运输系统开发：快速客货运输、公路甩挂运输系统开发与建设，公路集装箱和厢式运输，农村公路和客货运输网络开发与建设，出租汽车服务调度信息系统开发与建设</w:t>
            </w:r>
            <w:r>
              <w:rPr>
                <w:rFonts w:hint="eastAsia"/>
                <w:color w:val="auto"/>
                <w:szCs w:val="21"/>
              </w:rPr>
              <w:t>”</w:t>
            </w:r>
            <w:r>
              <w:rPr>
                <w:color w:val="auto"/>
                <w:szCs w:val="21"/>
              </w:rPr>
              <w:t>，</w:t>
            </w:r>
            <w:r>
              <w:rPr>
                <w:rFonts w:hint="eastAsia"/>
                <w:color w:val="auto"/>
                <w:szCs w:val="21"/>
              </w:rPr>
              <w:t>是国家鼓励类项目，</w:t>
            </w:r>
            <w:r>
              <w:rPr>
                <w:color w:val="auto"/>
                <w:szCs w:val="21"/>
              </w:rPr>
              <w:t>符合国家产业政策</w:t>
            </w:r>
            <w:r>
              <w:rPr>
                <w:rFonts w:hint="eastAsia"/>
                <w:color w:val="auto"/>
                <w:highlight w:val="none"/>
              </w:rPr>
              <w:t>。</w:t>
            </w:r>
          </w:p>
          <w:p w14:paraId="2DF16FB3">
            <w:pPr>
              <w:autoSpaceDE w:val="0"/>
              <w:autoSpaceDN w:val="0"/>
              <w:adjustRightInd w:val="0"/>
              <w:snapToGrid w:val="0"/>
              <w:ind w:firstLine="480"/>
              <w:rPr>
                <w:rFonts w:hint="eastAsia" w:ascii="宋体" w:hAnsi="宋体"/>
                <w:color w:val="auto"/>
                <w:highlight w:val="none"/>
                <w:lang w:eastAsia="zh-CN"/>
              </w:rPr>
            </w:pPr>
            <w:r>
              <w:rPr>
                <w:rFonts w:hint="eastAsia"/>
                <w:color w:val="auto"/>
                <w:highlight w:val="none"/>
                <w:lang w:val="en-US" w:eastAsia="zh-CN"/>
              </w:rPr>
              <w:t>2、与</w:t>
            </w:r>
            <w:r>
              <w:rPr>
                <w:rFonts w:hint="eastAsia" w:ascii="宋体" w:hAnsi="宋体"/>
                <w:color w:val="auto"/>
                <w:highlight w:val="none"/>
              </w:rPr>
              <w:t>《自然资源部</w:t>
            </w:r>
            <w:r>
              <w:rPr>
                <w:rFonts w:hint="eastAsia"/>
                <w:color w:val="auto"/>
                <w:highlight w:val="none"/>
              </w:rPr>
              <w:t xml:space="preserve"> </w:t>
            </w:r>
            <w:r>
              <w:rPr>
                <w:rFonts w:hint="eastAsia" w:ascii="宋体" w:hAnsi="宋体"/>
                <w:color w:val="auto"/>
                <w:highlight w:val="none"/>
              </w:rPr>
              <w:t>生态环境部</w:t>
            </w:r>
            <w:r>
              <w:rPr>
                <w:rFonts w:hint="eastAsia"/>
                <w:color w:val="auto"/>
                <w:highlight w:val="none"/>
              </w:rPr>
              <w:t xml:space="preserve"> </w:t>
            </w:r>
            <w:r>
              <w:rPr>
                <w:rFonts w:hint="eastAsia" w:ascii="宋体" w:hAnsi="宋体"/>
                <w:color w:val="auto"/>
                <w:highlight w:val="none"/>
              </w:rPr>
              <w:t>国家林业和草原局关于加强生态保护红线管理的通知（试行）》（自然资发</w:t>
            </w:r>
            <w:r>
              <w:rPr>
                <w:rFonts w:hint="eastAsia" w:ascii="宋体" w:hAnsi="宋体"/>
                <w:color w:val="auto"/>
                <w:kern w:val="0"/>
                <w:highlight w:val="none"/>
              </w:rPr>
              <w:t>﹝</w:t>
            </w:r>
            <w:r>
              <w:rPr>
                <w:rFonts w:hint="eastAsia"/>
                <w:color w:val="auto"/>
                <w:kern w:val="0"/>
                <w:highlight w:val="none"/>
              </w:rPr>
              <w:t>2</w:t>
            </w:r>
            <w:r>
              <w:rPr>
                <w:color w:val="auto"/>
                <w:kern w:val="0"/>
                <w:highlight w:val="none"/>
              </w:rPr>
              <w:t>02</w:t>
            </w:r>
            <w:r>
              <w:rPr>
                <w:rFonts w:hint="eastAsia"/>
                <w:color w:val="auto"/>
                <w:kern w:val="0"/>
                <w:highlight w:val="none"/>
              </w:rPr>
              <w:t>2</w:t>
            </w:r>
            <w:r>
              <w:rPr>
                <w:rFonts w:hint="eastAsia" w:ascii="宋体" w:hAnsi="宋体"/>
                <w:color w:val="auto"/>
                <w:kern w:val="0"/>
                <w:highlight w:val="none"/>
              </w:rPr>
              <w:t>﹞</w:t>
            </w:r>
            <w:r>
              <w:rPr>
                <w:rFonts w:hint="eastAsia"/>
                <w:color w:val="auto"/>
                <w:highlight w:val="none"/>
              </w:rPr>
              <w:t>142</w:t>
            </w:r>
            <w:r>
              <w:rPr>
                <w:rFonts w:hint="eastAsia" w:ascii="宋体" w:hAnsi="宋体"/>
                <w:color w:val="auto"/>
                <w:highlight w:val="none"/>
              </w:rPr>
              <w:t>号）</w:t>
            </w:r>
            <w:r>
              <w:rPr>
                <w:rFonts w:hint="eastAsia" w:ascii="宋体" w:hAnsi="宋体"/>
                <w:color w:val="auto"/>
                <w:highlight w:val="none"/>
                <w:lang w:eastAsia="zh-CN"/>
              </w:rPr>
              <w:t>符合性分析</w:t>
            </w:r>
          </w:p>
          <w:p w14:paraId="7D171C25">
            <w:pPr>
              <w:autoSpaceDE w:val="0"/>
              <w:autoSpaceDN w:val="0"/>
              <w:adjustRightInd w:val="0"/>
              <w:snapToGrid w:val="0"/>
              <w:ind w:firstLine="480"/>
              <w:rPr>
                <w:rFonts w:hint="eastAsia" w:cs="宋体"/>
                <w:color w:val="auto"/>
                <w:kern w:val="0"/>
                <w:szCs w:val="21"/>
                <w:highlight w:val="none"/>
              </w:rPr>
            </w:pPr>
            <w:r>
              <w:rPr>
                <w:rFonts w:hint="eastAsia" w:cs="宋体"/>
                <w:color w:val="auto"/>
                <w:kern w:val="0"/>
                <w:szCs w:val="21"/>
                <w:highlight w:val="none"/>
              </w:rPr>
              <w:t>根据《自然资源部 生态环境部 国家林业和草原局关于加强生态保护红线管理的通知（试行）》中“一、加强人为活动管控：</w:t>
            </w:r>
            <w:r>
              <w:rPr>
                <w:rFonts w:hint="eastAsia" w:ascii="Times New Roman" w:hAnsi="Times New Roman" w:eastAsia="宋体" w:cs="宋体"/>
                <w:color w:val="auto"/>
                <w:kern w:val="0"/>
                <w:szCs w:val="21"/>
                <w:highlight w:val="none"/>
                <w:lang w:eastAsia="zh-CN"/>
              </w:rPr>
              <w:t>（一）</w:t>
            </w:r>
            <w:r>
              <w:rPr>
                <w:rFonts w:hint="eastAsia" w:ascii="Times New Roman" w:hAnsi="Times New Roman" w:eastAsia="宋体" w:cs="宋体"/>
                <w:color w:val="auto"/>
                <w:kern w:val="0"/>
                <w:szCs w:val="21"/>
                <w:highlight w:val="none"/>
                <w:lang w:val="en-US" w:eastAsia="zh-CN"/>
              </w:rPr>
              <w:t>规范管控对生态功能不造成破坏的有限人为活动。生态保护红线是国土空间规划中的重要管控边界，生态保护红线内自然保护地核心保护区外，禁止开发性、生产性建设活动，在符合法律法规的前提下，仅允许以下对生态功能不造成破坏的有限人为活动。</w:t>
            </w:r>
            <w:r>
              <w:rPr>
                <w:rFonts w:hint="eastAsia" w:cs="宋体"/>
                <w:color w:val="auto"/>
                <w:kern w:val="0"/>
                <w:szCs w:val="21"/>
                <w:highlight w:val="none"/>
                <w:lang w:val="en-US" w:eastAsia="zh-CN"/>
              </w:rPr>
              <w:t>6.</w:t>
            </w:r>
            <w:r>
              <w:rPr>
                <w:rFonts w:hint="eastAsia" w:cs="宋体"/>
                <w:color w:val="auto"/>
                <w:kern w:val="0"/>
                <w:szCs w:val="21"/>
                <w:highlight w:val="none"/>
              </w:rPr>
              <w:t>必须且无法避让、符合县级以上国土空间规划的线性基础设施、通讯和防洪、供水设施建设和船舶航行、航道疏浚清淤等活动；已有的合法水利、交通运输等设施运行维护改造。”</w:t>
            </w:r>
          </w:p>
          <w:p w14:paraId="42C127D7">
            <w:pPr>
              <w:pStyle w:val="5"/>
              <w:ind w:left="0" w:leftChars="0" w:firstLine="480" w:firstLineChars="200"/>
              <w:outlineLvl w:val="0"/>
              <w:rPr>
                <w:rFonts w:hint="eastAsia" w:cs="宋体"/>
                <w:color w:val="auto"/>
                <w:kern w:val="0"/>
                <w:szCs w:val="21"/>
                <w:highlight w:val="none"/>
              </w:rPr>
            </w:pPr>
            <w:r>
              <w:rPr>
                <w:rFonts w:hint="eastAsia" w:cs="宋体"/>
                <w:color w:val="auto"/>
                <w:kern w:val="0"/>
                <w:szCs w:val="21"/>
                <w:highlight w:val="none"/>
              </w:rPr>
              <w:t>本项目为</w:t>
            </w:r>
            <w:r>
              <w:rPr>
                <w:rFonts w:hint="eastAsia" w:cs="宋体"/>
                <w:color w:val="auto"/>
                <w:kern w:val="0"/>
                <w:szCs w:val="21"/>
                <w:highlight w:val="none"/>
                <w:lang w:eastAsia="zh-CN"/>
              </w:rPr>
              <w:t>郝家至银龙公路永红村至银龙村段改扩建工程</w:t>
            </w:r>
            <w:r>
              <w:rPr>
                <w:rFonts w:hint="eastAsia" w:cs="宋体"/>
                <w:color w:val="auto"/>
                <w:kern w:val="0"/>
                <w:szCs w:val="21"/>
                <w:highlight w:val="none"/>
              </w:rPr>
              <w:t>，</w:t>
            </w:r>
            <w:r>
              <w:rPr>
                <w:rFonts w:hint="eastAsia"/>
                <w:color w:val="auto"/>
                <w:sz w:val="24"/>
                <w:szCs w:val="24"/>
                <w:highlight w:val="none"/>
                <w:lang w:val="en-US" w:eastAsia="zh-CN"/>
              </w:rPr>
              <w:t>属于</w:t>
            </w:r>
            <w:r>
              <w:rPr>
                <w:rFonts w:hint="eastAsia" w:cs="宋体"/>
                <w:color w:val="auto"/>
                <w:kern w:val="0"/>
                <w:szCs w:val="21"/>
                <w:highlight w:val="none"/>
              </w:rPr>
              <w:t>线性基础设施</w:t>
            </w:r>
            <w:r>
              <w:rPr>
                <w:rFonts w:hint="eastAsia"/>
                <w:color w:val="auto"/>
                <w:sz w:val="24"/>
                <w:szCs w:val="24"/>
                <w:highlight w:val="none"/>
                <w:lang w:val="en-US" w:eastAsia="zh-CN"/>
              </w:rPr>
              <w:t>建设，本项目不新增永久占地，项目已取得宝清县自然资源局《</w:t>
            </w:r>
            <w:r>
              <w:rPr>
                <w:rFonts w:hint="eastAsia" w:cs="宋体"/>
                <w:color w:val="auto"/>
                <w:kern w:val="0"/>
                <w:szCs w:val="21"/>
                <w:highlight w:val="none"/>
              </w:rPr>
              <w:t>关于郝家至银龙公路永红村至银龙村段改扩</w:t>
            </w:r>
            <w:r>
              <w:rPr>
                <w:rFonts w:hint="eastAsia" w:ascii="Times New Roman" w:hAnsi="Times New Roman" w:eastAsia="宋体" w:cs="宋体"/>
                <w:color w:val="auto"/>
                <w:kern w:val="0"/>
                <w:szCs w:val="21"/>
                <w:highlight w:val="none"/>
              </w:rPr>
              <w:t>建工程不涉及新增占地、不突破永久用地指标征求意见的复函</w:t>
            </w:r>
            <w:r>
              <w:rPr>
                <w:rFonts w:hint="eastAsia" w:ascii="Times New Roman" w:hAnsi="Times New Roman" w:eastAsia="宋体" w:cs="宋体"/>
                <w:color w:val="auto"/>
                <w:kern w:val="0"/>
                <w:szCs w:val="21"/>
                <w:highlight w:val="none"/>
                <w:lang w:eastAsia="zh-CN"/>
              </w:rPr>
              <w:t>》（附件</w:t>
            </w:r>
            <w:r>
              <w:rPr>
                <w:rFonts w:hint="eastAsia" w:ascii="Times New Roman" w:hAnsi="Times New Roman" w:eastAsia="宋体" w:cs="宋体"/>
                <w:color w:val="auto"/>
                <w:kern w:val="0"/>
                <w:szCs w:val="21"/>
                <w:highlight w:val="none"/>
                <w:lang w:val="en-US" w:eastAsia="zh-CN"/>
              </w:rPr>
              <w:t>2</w:t>
            </w:r>
            <w:r>
              <w:rPr>
                <w:rFonts w:hint="eastAsia" w:ascii="Times New Roman" w:hAnsi="Times New Roman" w:eastAsia="宋体" w:cs="宋体"/>
                <w:color w:val="auto"/>
                <w:kern w:val="0"/>
                <w:szCs w:val="21"/>
                <w:highlight w:val="none"/>
                <w:lang w:eastAsia="zh-CN"/>
              </w:rPr>
              <w:t>）、</w:t>
            </w:r>
            <w:r>
              <w:rPr>
                <w:rFonts w:hint="eastAsia" w:ascii="Times New Roman" w:hAnsi="Times New Roman" w:eastAsia="宋体" w:cs="宋体"/>
                <w:color w:val="auto"/>
                <w:kern w:val="0"/>
                <w:szCs w:val="21"/>
                <w:highlight w:val="none"/>
                <w:lang w:val="en-US" w:eastAsia="zh-CN"/>
              </w:rPr>
              <w:t>关于《关于征求郝家至银龙公路永红村至银龙村段改扩建工程占用生态保护红线的函》的复函</w:t>
            </w:r>
            <w:r>
              <w:rPr>
                <w:rFonts w:hint="eastAsia" w:ascii="Times New Roman" w:hAnsi="Times New Roman" w:eastAsia="宋体" w:cs="宋体"/>
                <w:color w:val="auto"/>
                <w:kern w:val="0"/>
                <w:szCs w:val="21"/>
                <w:highlight w:val="none"/>
                <w:lang w:eastAsia="zh-CN"/>
              </w:rPr>
              <w:t>（附</w:t>
            </w:r>
            <w:r>
              <w:rPr>
                <w:rFonts w:hint="eastAsia" w:cs="宋体"/>
                <w:color w:val="auto"/>
                <w:kern w:val="0"/>
                <w:szCs w:val="21"/>
                <w:highlight w:val="none"/>
                <w:lang w:eastAsia="zh-CN"/>
              </w:rPr>
              <w:t>件</w:t>
            </w:r>
            <w:r>
              <w:rPr>
                <w:rFonts w:hint="eastAsia" w:cs="宋体"/>
                <w:color w:val="auto"/>
                <w:kern w:val="0"/>
                <w:szCs w:val="21"/>
                <w:highlight w:val="none"/>
                <w:lang w:val="en-US" w:eastAsia="zh-CN"/>
              </w:rPr>
              <w:t>4</w:t>
            </w:r>
            <w:r>
              <w:rPr>
                <w:rFonts w:hint="eastAsia" w:cs="宋体"/>
                <w:color w:val="auto"/>
                <w:kern w:val="0"/>
                <w:szCs w:val="21"/>
                <w:highlight w:val="none"/>
                <w:lang w:eastAsia="zh-CN"/>
              </w:rPr>
              <w:t>）</w:t>
            </w:r>
            <w:r>
              <w:rPr>
                <w:rFonts w:hint="eastAsia" w:cs="宋体"/>
                <w:color w:val="auto"/>
                <w:kern w:val="0"/>
                <w:szCs w:val="21"/>
                <w:highlight w:val="none"/>
                <w:lang w:val="en-US" w:eastAsia="zh-CN"/>
              </w:rPr>
              <w:t>，项目桩号</w:t>
            </w:r>
            <w:r>
              <w:rPr>
                <w:rFonts w:hint="eastAsia"/>
                <w:color w:val="auto"/>
                <w:highlight w:val="none"/>
                <w:lang w:eastAsia="zh-CN"/>
              </w:rPr>
              <w:t>K</w:t>
            </w:r>
            <w:r>
              <w:rPr>
                <w:rFonts w:hint="eastAsia"/>
                <w:color w:val="auto"/>
                <w:highlight w:val="none"/>
                <w:lang w:val="en-US" w:eastAsia="zh-CN"/>
              </w:rPr>
              <w:t>18+968</w:t>
            </w:r>
            <w:r>
              <w:rPr>
                <w:rFonts w:hint="eastAsia"/>
                <w:color w:val="auto"/>
                <w:highlight w:val="none"/>
                <w:lang w:eastAsia="zh-CN"/>
              </w:rPr>
              <w:t>~K</w:t>
            </w:r>
            <w:r>
              <w:rPr>
                <w:rFonts w:hint="eastAsia"/>
                <w:color w:val="auto"/>
                <w:highlight w:val="none"/>
                <w:lang w:val="en-US" w:eastAsia="zh-CN"/>
              </w:rPr>
              <w:t>20+700段</w:t>
            </w:r>
            <w:r>
              <w:rPr>
                <w:rFonts w:hint="eastAsia" w:cs="宋体"/>
                <w:color w:val="auto"/>
                <w:kern w:val="0"/>
                <w:szCs w:val="21"/>
                <w:highlight w:val="none"/>
                <w:lang w:val="en-US" w:eastAsia="zh-CN"/>
              </w:rPr>
              <w:t>位于</w:t>
            </w:r>
            <w:r>
              <w:rPr>
                <w:rFonts w:hint="eastAsia" w:cs="宋体"/>
                <w:color w:val="auto"/>
                <w:kern w:val="0"/>
                <w:szCs w:val="21"/>
                <w:highlight w:val="none"/>
              </w:rPr>
              <w:t>生态保护红线范围内，项目属于上述“</w:t>
            </w:r>
            <w:r>
              <w:rPr>
                <w:rFonts w:hint="eastAsia" w:ascii="Times New Roman" w:hAnsi="Times New Roman" w:eastAsia="宋体" w:cs="宋体"/>
                <w:color w:val="auto"/>
                <w:kern w:val="0"/>
                <w:szCs w:val="21"/>
                <w:highlight w:val="none"/>
                <w:lang w:val="en-US" w:eastAsia="zh-CN"/>
              </w:rPr>
              <w:t>生态保护红线内自然保护地核心保护区外，</w:t>
            </w:r>
            <w:r>
              <w:rPr>
                <w:rFonts w:hint="eastAsia" w:cs="宋体"/>
                <w:color w:val="auto"/>
                <w:kern w:val="0"/>
                <w:szCs w:val="21"/>
                <w:highlight w:val="none"/>
              </w:rPr>
              <w:t>6.必须且无法避让、符合县级以上国土空间规划的线性基础设施、通讯和防洪、供水设施建设和船舶航行、航道疏浚清淤等活动；已有的合法水利、交通运输等设施运行维护改造。</w:t>
            </w:r>
            <w:r>
              <w:rPr>
                <w:rFonts w:hint="eastAsia" w:cs="宋体"/>
                <w:color w:val="auto"/>
                <w:kern w:val="0"/>
                <w:sz w:val="24"/>
                <w:szCs w:val="24"/>
                <w:highlight w:val="none"/>
              </w:rPr>
              <w:t>”</w:t>
            </w:r>
            <w:r>
              <w:rPr>
                <w:rFonts w:hint="eastAsia" w:cs="宋体"/>
                <w:color w:val="auto"/>
                <w:kern w:val="0"/>
                <w:szCs w:val="21"/>
              </w:rPr>
              <w:t>综上所述，本工程的建设与《自然资源部 生态环境部 国家林业和草原局关于加强生态保护红线管理的通知（试行）》</w:t>
            </w:r>
            <w:r>
              <w:rPr>
                <w:rFonts w:hint="eastAsia" w:cs="宋体"/>
                <w:color w:val="auto"/>
                <w:kern w:val="0"/>
                <w:szCs w:val="21"/>
                <w:lang w:val="en-US" w:eastAsia="zh-CN"/>
              </w:rPr>
              <w:t>要求</w:t>
            </w:r>
            <w:r>
              <w:rPr>
                <w:rFonts w:hint="eastAsia" w:cs="宋体"/>
                <w:color w:val="auto"/>
                <w:kern w:val="0"/>
                <w:szCs w:val="21"/>
              </w:rPr>
              <w:t>相符</w:t>
            </w:r>
            <w:r>
              <w:rPr>
                <w:rFonts w:hint="eastAsia" w:cs="宋体"/>
                <w:color w:val="auto"/>
                <w:kern w:val="0"/>
                <w:szCs w:val="21"/>
                <w:lang w:eastAsia="zh-CN"/>
              </w:rPr>
              <w:t>。</w:t>
            </w:r>
          </w:p>
          <w:p w14:paraId="5C508B06">
            <w:pPr>
              <w:autoSpaceDE w:val="0"/>
              <w:autoSpaceDN w:val="0"/>
              <w:adjustRightInd w:val="0"/>
              <w:snapToGrid w:val="0"/>
              <w:ind w:firstLine="480"/>
              <w:rPr>
                <w:rFonts w:hint="eastAsia"/>
                <w:color w:val="auto"/>
                <w:highlight w:val="none"/>
                <w:lang w:val="en-US" w:eastAsia="zh-CN"/>
              </w:rPr>
            </w:pPr>
            <w:r>
              <w:rPr>
                <w:rFonts w:hint="eastAsia"/>
                <w:color w:val="auto"/>
                <w:highlight w:val="none"/>
                <w:lang w:val="en-US" w:eastAsia="zh-CN"/>
              </w:rPr>
              <w:t>3、与《关于在国土空间规划中统筹划定落实三条控制线的指导意见》符合性分析</w:t>
            </w:r>
          </w:p>
          <w:p w14:paraId="3CBCBADD">
            <w:pPr>
              <w:autoSpaceDE w:val="0"/>
              <w:autoSpaceDN w:val="0"/>
              <w:adjustRightInd/>
              <w:snapToGrid/>
              <w:ind w:firstLine="480"/>
              <w:rPr>
                <w:rFonts w:hint="eastAsia"/>
                <w:color w:val="auto"/>
                <w:sz w:val="24"/>
                <w:szCs w:val="24"/>
                <w:highlight w:val="none"/>
                <w:lang w:val="en-US" w:eastAsia="zh-CN"/>
              </w:rPr>
            </w:pPr>
            <w:r>
              <w:rPr>
                <w:rFonts w:hint="eastAsia"/>
                <w:color w:val="auto"/>
                <w:sz w:val="24"/>
                <w:szCs w:val="24"/>
                <w:highlight w:val="none"/>
                <w:lang w:val="en-US" w:eastAsia="zh-CN"/>
              </w:rPr>
              <w:t>根据《关于在国土空间规划中统筹划定落实三条控制线的指导意见》中</w:t>
            </w:r>
            <w:r>
              <w:rPr>
                <w:rFonts w:hint="eastAsia"/>
                <w:b w:val="0"/>
                <w:bCs w:val="0"/>
                <w:color w:val="auto"/>
                <w:sz w:val="24"/>
                <w:szCs w:val="24"/>
                <w:highlight w:val="none"/>
                <w:lang w:val="en-US" w:eastAsia="zh-CN"/>
              </w:rPr>
              <w:t>“按照生态功能划定生态保护红线。生态保护红线内，自然保护地核心保护区原则上禁止人为活动，其他区域严格禁止开发性、生产性建设活动，在符合现行法律法规前提下，除国家重大战略项目外，仅允许对生态功能不造成破坏的有限人为活动，主要包括：零星的原住民在不扩大现有建设用地和耕地规模前提下，修缮生产生活设施，保留生活必需的少量种植、放牧、捕捞、养殖；因国家重大能源资源安全需要开展的战略性能源资源勘察，公益性自然资源调查和地质勘查；自然资源、生态环境监测和执法包括水文水资源监测及涉水违法事件的查处等，灾害防治和应急抢险活动；经依法批准进行的非破坏性科学研究观测、标本采集；经依法批准的考古调查发掘和文物保护活动；不破坏生态功能的适度参观旅游和相关的必要公共设施建设；必须且无法避让、符合县级以上国土空间规划的线性基础设施建设、防洪和供水设施建设与运行维护；重要生态修复工程。”“按照保质保量要求划定永久基本农田。永久基本农田是为保障国家粮食安全和重要农产品供给，实施永久特殊保护的耕地。依据耕地现状分布，根据耕地质量、粮食作物种植情况、土壤</w:t>
            </w:r>
            <w:r>
              <w:rPr>
                <w:rFonts w:hint="eastAsia"/>
                <w:color w:val="auto"/>
                <w:sz w:val="24"/>
                <w:szCs w:val="24"/>
                <w:highlight w:val="none"/>
                <w:lang w:val="en-US" w:eastAsia="zh-CN"/>
              </w:rPr>
              <w:t>污染状况，在严守耕地红线基础上，按照一定比例，将达到质量要求的耕地依法划入。已经划定的永久基本农田中存在划定不实、违法占用、严重污染等问题的要全面梳理整改，确保永久基本农田面积不减、质量提升、布局稳定。”</w:t>
            </w:r>
          </w:p>
          <w:p w14:paraId="2CCF1CB9">
            <w:pPr>
              <w:pStyle w:val="7"/>
              <w:rPr>
                <w:rFonts w:hint="eastAsia"/>
                <w:color w:val="auto"/>
                <w:highlight w:val="none"/>
                <w:lang w:val="en-US" w:eastAsia="zh-CN"/>
              </w:rPr>
            </w:pPr>
            <w:r>
              <w:rPr>
                <w:rFonts w:hint="eastAsia" w:cs="宋体"/>
                <w:color w:val="auto"/>
                <w:kern w:val="0"/>
                <w:szCs w:val="21"/>
                <w:highlight w:val="none"/>
              </w:rPr>
              <w:t>本项目为</w:t>
            </w:r>
            <w:r>
              <w:rPr>
                <w:rFonts w:hint="eastAsia" w:cs="宋体"/>
                <w:color w:val="auto"/>
                <w:kern w:val="0"/>
                <w:szCs w:val="21"/>
                <w:highlight w:val="none"/>
                <w:lang w:eastAsia="zh-CN"/>
              </w:rPr>
              <w:t>郝家至银龙公路永红村至银龙村段改扩建工程</w:t>
            </w:r>
            <w:r>
              <w:rPr>
                <w:rFonts w:hint="eastAsia" w:cs="宋体"/>
                <w:color w:val="auto"/>
                <w:kern w:val="0"/>
                <w:sz w:val="24"/>
                <w:szCs w:val="24"/>
                <w:highlight w:val="none"/>
              </w:rPr>
              <w:t>，</w:t>
            </w:r>
            <w:r>
              <w:rPr>
                <w:rFonts w:hint="eastAsia"/>
                <w:color w:val="auto"/>
                <w:sz w:val="24"/>
                <w:szCs w:val="24"/>
                <w:highlight w:val="none"/>
                <w:lang w:val="en-US" w:eastAsia="zh-CN"/>
              </w:rPr>
              <w:t>属于线性基础设施建设，本项目不新增永久占地，项目已取得宝清县自然资源局《</w:t>
            </w:r>
            <w:r>
              <w:rPr>
                <w:rFonts w:hint="eastAsia" w:cs="宋体"/>
                <w:color w:val="auto"/>
                <w:kern w:val="0"/>
                <w:szCs w:val="21"/>
                <w:highlight w:val="none"/>
              </w:rPr>
              <w:t>关于郝家至银龙公路永红村至银龙村段改扩</w:t>
            </w:r>
            <w:r>
              <w:rPr>
                <w:rFonts w:hint="eastAsia" w:ascii="Times New Roman" w:hAnsi="Times New Roman" w:eastAsia="宋体" w:cs="宋体"/>
                <w:color w:val="auto"/>
                <w:kern w:val="0"/>
                <w:szCs w:val="21"/>
                <w:highlight w:val="none"/>
              </w:rPr>
              <w:t>建工程不涉及新增占地、不突破永久用地指标征求意见的复函</w:t>
            </w:r>
            <w:r>
              <w:rPr>
                <w:rFonts w:hint="eastAsia" w:ascii="Times New Roman" w:hAnsi="Times New Roman" w:eastAsia="宋体" w:cs="宋体"/>
                <w:color w:val="auto"/>
                <w:kern w:val="0"/>
                <w:szCs w:val="21"/>
                <w:highlight w:val="none"/>
                <w:lang w:eastAsia="zh-CN"/>
              </w:rPr>
              <w:t>》（附件</w:t>
            </w:r>
            <w:r>
              <w:rPr>
                <w:rFonts w:hint="eastAsia" w:ascii="Times New Roman" w:hAnsi="Times New Roman" w:eastAsia="宋体" w:cs="宋体"/>
                <w:color w:val="auto"/>
                <w:kern w:val="0"/>
                <w:szCs w:val="21"/>
                <w:highlight w:val="none"/>
                <w:lang w:val="en-US" w:eastAsia="zh-CN"/>
              </w:rPr>
              <w:t>2</w:t>
            </w:r>
            <w:r>
              <w:rPr>
                <w:rFonts w:hint="eastAsia" w:ascii="Times New Roman" w:hAnsi="Times New Roman" w:eastAsia="宋体" w:cs="宋体"/>
                <w:color w:val="auto"/>
                <w:kern w:val="0"/>
                <w:szCs w:val="21"/>
                <w:highlight w:val="none"/>
                <w:lang w:eastAsia="zh-CN"/>
              </w:rPr>
              <w:t>），本项目已取得</w:t>
            </w:r>
            <w:r>
              <w:rPr>
                <w:rFonts w:hint="eastAsia"/>
                <w:color w:val="auto"/>
                <w:sz w:val="24"/>
                <w:szCs w:val="24"/>
                <w:highlight w:val="none"/>
                <w:lang w:val="en-US" w:eastAsia="zh-CN"/>
              </w:rPr>
              <w:t>宝清县自然资源局同意，详见附件4</w:t>
            </w:r>
            <w:r>
              <w:rPr>
                <w:rFonts w:hint="eastAsia" w:ascii="Times New Roman" w:hAnsi="Times New Roman" w:eastAsia="宋体" w:cs="宋体"/>
                <w:color w:val="auto"/>
                <w:kern w:val="0"/>
                <w:szCs w:val="21"/>
                <w:highlight w:val="none"/>
                <w:lang w:val="en-US" w:eastAsia="zh-CN"/>
              </w:rPr>
              <w:t>关于《关于征求郝家至银龙公路永红村至银龙村段改扩建工程占用生态保护红线的函》的复函</w:t>
            </w:r>
            <w:r>
              <w:rPr>
                <w:rFonts w:hint="eastAsia" w:cs="宋体"/>
                <w:color w:val="auto"/>
                <w:kern w:val="0"/>
                <w:szCs w:val="21"/>
                <w:highlight w:val="none"/>
                <w:lang w:val="en-US" w:eastAsia="zh-CN"/>
              </w:rPr>
              <w:t>。</w:t>
            </w:r>
            <w:r>
              <w:rPr>
                <w:rFonts w:hint="eastAsia" w:cs="宋体"/>
                <w:color w:val="auto"/>
                <w:kern w:val="0"/>
                <w:szCs w:val="21"/>
                <w:highlight w:val="none"/>
              </w:rPr>
              <w:t>项目</w:t>
            </w:r>
            <w:r>
              <w:rPr>
                <w:rFonts w:hint="eastAsia"/>
                <w:color w:val="auto"/>
                <w:highlight w:val="none"/>
                <w:lang w:eastAsia="zh-CN"/>
              </w:rPr>
              <w:t>K</w:t>
            </w:r>
            <w:r>
              <w:rPr>
                <w:rFonts w:hint="eastAsia"/>
                <w:color w:val="auto"/>
                <w:highlight w:val="none"/>
                <w:lang w:val="en-US" w:eastAsia="zh-CN"/>
              </w:rPr>
              <w:t>18+968</w:t>
            </w:r>
            <w:r>
              <w:rPr>
                <w:rFonts w:hint="eastAsia"/>
                <w:color w:val="auto"/>
                <w:highlight w:val="none"/>
                <w:lang w:eastAsia="zh-CN"/>
              </w:rPr>
              <w:t>~K</w:t>
            </w:r>
            <w:r>
              <w:rPr>
                <w:rFonts w:hint="eastAsia"/>
                <w:color w:val="auto"/>
                <w:highlight w:val="none"/>
                <w:lang w:val="en-US" w:eastAsia="zh-CN"/>
              </w:rPr>
              <w:t>20+700段</w:t>
            </w:r>
            <w:r>
              <w:rPr>
                <w:rFonts w:hint="eastAsia" w:cs="宋体"/>
                <w:color w:val="auto"/>
                <w:kern w:val="0"/>
                <w:szCs w:val="21"/>
                <w:highlight w:val="none"/>
                <w:lang w:val="en-US" w:eastAsia="zh-CN"/>
              </w:rPr>
              <w:t>位于</w:t>
            </w:r>
            <w:r>
              <w:rPr>
                <w:rFonts w:hint="eastAsia" w:cs="宋体"/>
                <w:color w:val="auto"/>
                <w:kern w:val="0"/>
                <w:szCs w:val="21"/>
                <w:highlight w:val="none"/>
              </w:rPr>
              <w:t>生态保护红线范围内，项目属于上述“</w:t>
            </w:r>
            <w:r>
              <w:rPr>
                <w:rFonts w:hint="eastAsia" w:ascii="Times New Roman" w:hAnsi="Times New Roman" w:eastAsia="宋体" w:cs="宋体"/>
                <w:color w:val="auto"/>
                <w:kern w:val="0"/>
                <w:szCs w:val="21"/>
                <w:highlight w:val="none"/>
                <w:lang w:val="en-US" w:eastAsia="zh-CN"/>
              </w:rPr>
              <w:t>生态保护红线内自然保护地核心保护区外，</w:t>
            </w:r>
            <w:r>
              <w:rPr>
                <w:rFonts w:hint="eastAsia" w:cs="宋体"/>
                <w:color w:val="auto"/>
                <w:kern w:val="0"/>
                <w:szCs w:val="21"/>
                <w:highlight w:val="none"/>
              </w:rPr>
              <w:t>6.必须且无法避让、符合县级以上国土空间规划的线性基础设施、通讯和防洪、供水设施建设和船舶航行、航道疏浚清淤等活动；已有的合法水利、交通运输等设施运行维护改</w:t>
            </w:r>
            <w:r>
              <w:rPr>
                <w:rFonts w:hint="eastAsia" w:cs="宋体"/>
                <w:color w:val="auto"/>
                <w:kern w:val="0"/>
                <w:sz w:val="24"/>
                <w:szCs w:val="24"/>
                <w:highlight w:val="none"/>
              </w:rPr>
              <w:t>造。”</w:t>
            </w:r>
            <w:r>
              <w:rPr>
                <w:rFonts w:hint="eastAsia"/>
                <w:color w:val="auto"/>
                <w:sz w:val="24"/>
                <w:szCs w:val="24"/>
                <w:highlight w:val="none"/>
                <w:lang w:val="en-US" w:eastAsia="zh-CN"/>
              </w:rPr>
              <w:t>同时，本项目</w:t>
            </w:r>
            <w:r>
              <w:rPr>
                <w:rFonts w:hint="eastAsia"/>
                <w:color w:val="auto"/>
                <w:lang w:val="en-US" w:eastAsia="zh-CN"/>
              </w:rPr>
              <w:t>不新增</w:t>
            </w:r>
            <w:r>
              <w:rPr>
                <w:rFonts w:hint="eastAsia"/>
                <w:color w:val="auto"/>
                <w:sz w:val="24"/>
                <w:szCs w:val="24"/>
                <w:highlight w:val="none"/>
                <w:lang w:val="en-US" w:eastAsia="zh-CN"/>
              </w:rPr>
              <w:t>永久占地，临时占地不占用基本农田。</w:t>
            </w:r>
            <w:r>
              <w:rPr>
                <w:rFonts w:hint="eastAsia" w:cs="宋体"/>
                <w:color w:val="auto"/>
                <w:kern w:val="0"/>
                <w:szCs w:val="21"/>
                <w:highlight w:val="none"/>
              </w:rPr>
              <w:t>综上所述，</w:t>
            </w:r>
            <w:r>
              <w:rPr>
                <w:rFonts w:hint="eastAsia"/>
                <w:color w:val="auto"/>
                <w:highlight w:val="none"/>
                <w:lang w:val="en-US" w:eastAsia="zh-CN"/>
              </w:rPr>
              <w:t>本工程的建设与《关于在国土空间规划中统筹划定落实三条控制线的指导意见》相符。</w:t>
            </w:r>
          </w:p>
          <w:p w14:paraId="098A7792">
            <w:pPr>
              <w:autoSpaceDE w:val="0"/>
              <w:autoSpaceDN w:val="0"/>
              <w:adjustRightInd w:val="0"/>
              <w:snapToGrid w:val="0"/>
              <w:ind w:firstLine="480"/>
              <w:rPr>
                <w:rFonts w:hint="eastAsia"/>
                <w:color w:val="auto"/>
                <w:sz w:val="24"/>
                <w:highlight w:val="none"/>
                <w:lang w:val="en-US" w:eastAsia="zh-CN"/>
              </w:rPr>
            </w:pPr>
            <w:r>
              <w:rPr>
                <w:rFonts w:hint="eastAsia"/>
                <w:color w:val="auto"/>
                <w:sz w:val="24"/>
                <w:highlight w:val="none"/>
                <w:lang w:val="en-US" w:eastAsia="zh-CN"/>
              </w:rPr>
              <w:t>4、与《黑龙江省主体功能区规划》符合性分析</w:t>
            </w:r>
          </w:p>
          <w:p w14:paraId="710FAB0E">
            <w:pPr>
              <w:ind w:firstLine="480"/>
              <w:rPr>
                <w:color w:val="auto"/>
                <w:kern w:val="0"/>
                <w:highlight w:val="none"/>
              </w:rPr>
            </w:pPr>
            <w:r>
              <w:rPr>
                <w:rFonts w:hint="eastAsia"/>
                <w:color w:val="auto"/>
                <w:sz w:val="24"/>
                <w:highlight w:val="none"/>
                <w:lang w:val="en-US" w:eastAsia="zh-CN"/>
              </w:rPr>
              <w:t>本项目为</w:t>
            </w:r>
            <w:r>
              <w:rPr>
                <w:rFonts w:hint="eastAsia" w:cs="宋体"/>
                <w:color w:val="auto"/>
                <w:kern w:val="0"/>
                <w:szCs w:val="21"/>
                <w:highlight w:val="none"/>
                <w:lang w:eastAsia="zh-CN"/>
              </w:rPr>
              <w:t>郝家至银龙公路永红村至银龙村段改扩建工程，项目位于双鸭山市宝清县，</w:t>
            </w:r>
            <w:r>
              <w:rPr>
                <w:color w:val="auto"/>
                <w:kern w:val="0"/>
                <w:highlight w:val="none"/>
              </w:rPr>
              <w:t>根据《黑龙江省主体功能区规划》（黑政发﹝2012﹞29号），宝清县属于限制开发区域（国家农产品主产区），第五章</w:t>
            </w:r>
            <w:r>
              <w:rPr>
                <w:rFonts w:hint="eastAsia"/>
                <w:color w:val="auto"/>
                <w:kern w:val="0"/>
                <w:highlight w:val="none"/>
                <w:lang w:val="en-US" w:eastAsia="zh-CN"/>
              </w:rPr>
              <w:t xml:space="preserve"> </w:t>
            </w:r>
            <w:r>
              <w:rPr>
                <w:color w:val="auto"/>
                <w:kern w:val="0"/>
                <w:highlight w:val="none"/>
              </w:rPr>
              <w:t>限制开发区域</w:t>
            </w:r>
            <w:r>
              <w:rPr>
                <w:rFonts w:hint="eastAsia"/>
                <w:color w:val="auto"/>
                <w:kern w:val="0"/>
                <w:highlight w:val="none"/>
                <w:lang w:val="en-US" w:eastAsia="zh-CN"/>
              </w:rPr>
              <w:t xml:space="preserve"> </w:t>
            </w:r>
            <w:r>
              <w:rPr>
                <w:color w:val="auto"/>
                <w:kern w:val="0"/>
                <w:highlight w:val="none"/>
              </w:rPr>
              <w:t>指出：</w:t>
            </w:r>
          </w:p>
          <w:p w14:paraId="0E77A4AE">
            <w:pPr>
              <w:ind w:firstLine="480"/>
              <w:rPr>
                <w:color w:val="auto"/>
                <w:kern w:val="0"/>
                <w:highlight w:val="none"/>
              </w:rPr>
            </w:pPr>
            <w:r>
              <w:rPr>
                <w:color w:val="auto"/>
                <w:kern w:val="0"/>
                <w:highlight w:val="none"/>
              </w:rPr>
              <w:t>功能定位：以提供农产品为主体功能，保障农产品供给安全的重要区域。重要的商品粮生产基地、绿色食品生产基地、畜牧业生产基地和农产品深加工区、农业综合开发试验区、社会主义新农村建设的示范区。</w:t>
            </w:r>
          </w:p>
          <w:p w14:paraId="41EB954B">
            <w:pPr>
              <w:ind w:firstLine="480"/>
              <w:rPr>
                <w:color w:val="auto"/>
                <w:kern w:val="0"/>
                <w:highlight w:val="none"/>
              </w:rPr>
            </w:pPr>
            <w:r>
              <w:rPr>
                <w:color w:val="auto"/>
                <w:kern w:val="0"/>
                <w:highlight w:val="none"/>
              </w:rPr>
              <w:t>发展方向：建设农业综合开发试验区，保护耕地，集约开发，加强农业基础设施建设，显著提高农业综合生产能力、产业化水平、物资装备水平、支撑服务能力，提高农业生产效率，大力发展高产、高效、优质、安全的现代化大农业，保障农产品供给，确保国家粮食安全和食品安全；积极推进农业规模化水平，搞好绿色（有机）食品基地建设，发展农产品深加工，加大绿色（有机）食品和无公害农产品开发力度，拓展农村就业和增收空间，加强农村基础设施和公共服务设施建设，改善生产生活条件。</w:t>
            </w:r>
          </w:p>
          <w:p w14:paraId="5E5B0847">
            <w:pPr>
              <w:ind w:firstLine="480"/>
              <w:rPr>
                <w:color w:val="auto"/>
                <w:kern w:val="0"/>
                <w:highlight w:val="none"/>
              </w:rPr>
            </w:pPr>
            <w:r>
              <w:rPr>
                <w:color w:val="auto"/>
                <w:kern w:val="0"/>
                <w:highlight w:val="none"/>
              </w:rPr>
              <w:t>—加强生态建设，积极保护森林、草原、水域、湿地，保证生态安全。采取工程、生物和耕作相结合的方法，加强小兴安岭山地向松嫩平原过渡地带的水土流失治理，加强西部科尔沁沙地边缘地区的防风固沙屏障建设。</w:t>
            </w:r>
          </w:p>
          <w:p w14:paraId="4A35CAB7">
            <w:pPr>
              <w:ind w:firstLine="480"/>
              <w:rPr>
                <w:color w:val="auto"/>
                <w:kern w:val="0"/>
                <w:highlight w:val="none"/>
              </w:rPr>
            </w:pPr>
            <w:r>
              <w:rPr>
                <w:color w:val="auto"/>
                <w:kern w:val="0"/>
                <w:highlight w:val="none"/>
              </w:rPr>
              <w:t>—加强气象灾害防御体系建设，提高监测预报预警水平，增强人工增雨作业能力。</w:t>
            </w:r>
          </w:p>
          <w:p w14:paraId="3D97BC22">
            <w:pPr>
              <w:ind w:firstLine="480"/>
              <w:rPr>
                <w:color w:val="auto"/>
                <w:kern w:val="0"/>
                <w:highlight w:val="none"/>
              </w:rPr>
            </w:pPr>
            <w:r>
              <w:rPr>
                <w:color w:val="auto"/>
                <w:kern w:val="0"/>
                <w:highlight w:val="none"/>
              </w:rPr>
              <w:t>—积极推进农业规模化、产业化，发展农产品深加工，拓宽农村就业和增收空间。</w:t>
            </w:r>
          </w:p>
          <w:p w14:paraId="1E302662">
            <w:pPr>
              <w:ind w:firstLine="480"/>
              <w:rPr>
                <w:color w:val="auto"/>
                <w:kern w:val="0"/>
                <w:highlight w:val="none"/>
              </w:rPr>
            </w:pPr>
            <w:r>
              <w:rPr>
                <w:color w:val="auto"/>
                <w:kern w:val="0"/>
                <w:highlight w:val="none"/>
              </w:rPr>
              <w:t>—以县城为重点推进城镇建设和非农产业发展，加强县城和乡镇公共服务设施建设，完善公共服务中心职能。</w:t>
            </w:r>
          </w:p>
          <w:p w14:paraId="1D7F9B0D">
            <w:pPr>
              <w:ind w:firstLine="480"/>
              <w:rPr>
                <w:color w:val="auto"/>
                <w:kern w:val="0"/>
                <w:highlight w:val="none"/>
              </w:rPr>
            </w:pPr>
            <w:r>
              <w:rPr>
                <w:color w:val="auto"/>
                <w:kern w:val="0"/>
                <w:highlight w:val="none"/>
              </w:rPr>
              <w:t>—农村基础设施和公共服务设施的建设要统筹考虑人口迁移等因素，适度集中、集约布局。</w:t>
            </w:r>
          </w:p>
          <w:p w14:paraId="5B0582E4">
            <w:pPr>
              <w:pStyle w:val="7"/>
              <w:rPr>
                <w:rFonts w:hint="eastAsia"/>
                <w:color w:val="auto"/>
                <w:highlight w:val="yellow"/>
                <w:lang w:val="en-US" w:eastAsia="zh-CN"/>
              </w:rPr>
            </w:pPr>
            <w:r>
              <w:rPr>
                <w:rFonts w:hint="eastAsia" w:ascii="Times New Roman" w:hAnsi="Times New Roman" w:eastAsia="宋体" w:cs="宋体"/>
                <w:color w:val="auto"/>
                <w:kern w:val="0"/>
                <w:sz w:val="24"/>
                <w:szCs w:val="24"/>
                <w:highlight w:val="none"/>
              </w:rPr>
              <w:t>本项目属于道路交通</w:t>
            </w:r>
            <w:r>
              <w:rPr>
                <w:rFonts w:hint="eastAsia"/>
                <w:color w:val="auto"/>
                <w:lang w:val="en-US" w:eastAsia="zh-CN"/>
              </w:rPr>
              <w:t>设施</w:t>
            </w:r>
            <w:r>
              <w:rPr>
                <w:rFonts w:hint="eastAsia" w:ascii="Times New Roman" w:hAnsi="Times New Roman" w:eastAsia="宋体" w:cs="宋体"/>
                <w:color w:val="auto"/>
                <w:kern w:val="0"/>
                <w:sz w:val="24"/>
                <w:szCs w:val="24"/>
                <w:highlight w:val="none"/>
              </w:rPr>
              <w:t>建设，项目建设</w:t>
            </w:r>
            <w:r>
              <w:rPr>
                <w:rFonts w:hint="eastAsia"/>
                <w:color w:val="auto"/>
                <w:highlight w:val="none"/>
              </w:rPr>
              <w:t>符合《黑龙江省主体功能区规划》。</w:t>
            </w:r>
          </w:p>
          <w:p w14:paraId="33B18561">
            <w:pPr>
              <w:autoSpaceDE w:val="0"/>
              <w:autoSpaceDN w:val="0"/>
              <w:adjustRightInd w:val="0"/>
              <w:snapToGrid w:val="0"/>
              <w:ind w:firstLine="480"/>
              <w:rPr>
                <w:rFonts w:hint="eastAsia"/>
                <w:color w:val="auto"/>
                <w:sz w:val="24"/>
                <w:highlight w:val="none"/>
                <w:lang w:val="en-US" w:eastAsia="zh-CN"/>
              </w:rPr>
            </w:pPr>
            <w:r>
              <w:rPr>
                <w:rFonts w:hint="eastAsia"/>
                <w:color w:val="auto"/>
                <w:sz w:val="24"/>
                <w:highlight w:val="none"/>
                <w:lang w:val="en-US" w:eastAsia="zh-CN"/>
              </w:rPr>
              <w:t>5、与《黑龙江省生态功能区划》符合性分析</w:t>
            </w:r>
          </w:p>
          <w:p w14:paraId="71ED3FCA">
            <w:pPr>
              <w:rPr>
                <w:rFonts w:hint="eastAsia"/>
                <w:color w:val="auto"/>
                <w:highlight w:val="none"/>
                <w:lang w:val="en-US" w:eastAsia="zh-CN"/>
              </w:rPr>
            </w:pPr>
            <w:r>
              <w:rPr>
                <w:color w:val="auto"/>
                <w:highlight w:val="none"/>
              </w:rPr>
              <w:t>根据《黑龙江省生态功能区划》，黑龙江省共划分6个生态区（一级）、13个生态亚区（二级区）、45个生态功能区（三级区）。</w:t>
            </w:r>
            <w:r>
              <w:rPr>
                <w:rFonts w:hint="eastAsia"/>
                <w:color w:val="auto"/>
                <w:highlight w:val="none"/>
                <w:lang w:eastAsia="zh-CN"/>
              </w:rPr>
              <w:t>本项目沿线主要控制点为双鸭山市宝清县，所属</w:t>
            </w:r>
            <w:r>
              <w:rPr>
                <w:color w:val="auto"/>
                <w:highlight w:val="none"/>
              </w:rPr>
              <w:t>生态功能区、主要生态环境问题、敏感性、生态系统服务功能和保护措施见表</w:t>
            </w:r>
            <w:r>
              <w:rPr>
                <w:rFonts w:hint="eastAsia"/>
                <w:color w:val="auto"/>
                <w:highlight w:val="none"/>
                <w:lang w:val="en-US" w:eastAsia="zh-CN"/>
              </w:rPr>
              <w:t>1-1。</w:t>
            </w:r>
          </w:p>
          <w:p w14:paraId="1190F621">
            <w:pPr>
              <w:pStyle w:val="40"/>
              <w:rPr>
                <w:color w:val="auto"/>
                <w:sz w:val="24"/>
                <w:szCs w:val="24"/>
                <w:highlight w:val="none"/>
              </w:rPr>
            </w:pPr>
            <w:r>
              <w:rPr>
                <w:rFonts w:hint="eastAsia"/>
                <w:color w:val="auto"/>
                <w:sz w:val="24"/>
                <w:szCs w:val="24"/>
                <w:highlight w:val="none"/>
              </w:rPr>
              <w:t>表</w:t>
            </w:r>
            <w:r>
              <w:rPr>
                <w:rFonts w:hint="eastAsia"/>
                <w:color w:val="auto"/>
                <w:sz w:val="24"/>
                <w:szCs w:val="24"/>
                <w:highlight w:val="none"/>
                <w:lang w:val="en-US" w:eastAsia="zh-CN"/>
              </w:rPr>
              <w:t>1-1</w:t>
            </w:r>
            <w:r>
              <w:rPr>
                <w:rFonts w:hint="eastAsia"/>
                <w:color w:val="auto"/>
                <w:sz w:val="24"/>
                <w:szCs w:val="24"/>
                <w:highlight w:val="none"/>
              </w:rPr>
              <w:t xml:space="preserve">  </w:t>
            </w:r>
            <w:r>
              <w:rPr>
                <w:color w:val="auto"/>
                <w:sz w:val="24"/>
                <w:szCs w:val="24"/>
                <w:highlight w:val="none"/>
              </w:rPr>
              <w:t>生态功能区划及保护对策</w:t>
            </w:r>
          </w:p>
          <w:tbl>
            <w:tblPr>
              <w:tblStyle w:val="18"/>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41"/>
              <w:gridCol w:w="1056"/>
              <w:gridCol w:w="1371"/>
              <w:gridCol w:w="855"/>
              <w:gridCol w:w="1012"/>
              <w:gridCol w:w="847"/>
              <w:gridCol w:w="756"/>
              <w:gridCol w:w="1048"/>
            </w:tblGrid>
            <w:tr w14:paraId="7F1471E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28" w:hRule="atLeast"/>
                <w:tblHeader/>
              </w:trPr>
              <w:tc>
                <w:tcPr>
                  <w:tcW w:w="1645" w:type="pct"/>
                  <w:gridSpan w:val="3"/>
                  <w:vAlign w:val="center"/>
                </w:tcPr>
                <w:p w14:paraId="3033558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生态功能分区单元</w:t>
                  </w:r>
                </w:p>
              </w:tc>
              <w:tc>
                <w:tcPr>
                  <w:tcW w:w="639" w:type="pct"/>
                  <w:vMerge w:val="restart"/>
                  <w:vAlign w:val="center"/>
                </w:tcPr>
                <w:p w14:paraId="5D700FC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所在区域面积</w:t>
                  </w:r>
                </w:p>
              </w:tc>
              <w:tc>
                <w:tcPr>
                  <w:tcW w:w="741" w:type="pct"/>
                  <w:vMerge w:val="restart"/>
                  <w:vAlign w:val="center"/>
                </w:tcPr>
                <w:p w14:paraId="03BAA6A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主要生态环境问题</w:t>
                  </w:r>
                </w:p>
              </w:tc>
              <w:tc>
                <w:tcPr>
                  <w:tcW w:w="634" w:type="pct"/>
                  <w:vMerge w:val="restart"/>
                  <w:vAlign w:val="center"/>
                </w:tcPr>
                <w:p w14:paraId="305BC8A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生态环境敏感性</w:t>
                  </w:r>
                </w:p>
              </w:tc>
              <w:tc>
                <w:tcPr>
                  <w:tcW w:w="574" w:type="pct"/>
                  <w:vMerge w:val="restart"/>
                  <w:vAlign w:val="center"/>
                </w:tcPr>
                <w:p w14:paraId="3F89A3B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主要生态系统服务功能</w:t>
                  </w:r>
                </w:p>
              </w:tc>
              <w:tc>
                <w:tcPr>
                  <w:tcW w:w="764" w:type="pct"/>
                  <w:vMerge w:val="restart"/>
                  <w:vAlign w:val="center"/>
                </w:tcPr>
                <w:p w14:paraId="2000AFD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保护措施与发展方向</w:t>
                  </w:r>
                </w:p>
              </w:tc>
            </w:tr>
            <w:tr w14:paraId="69B7BBA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75" w:hRule="atLeast"/>
                <w:tblHeader/>
              </w:trPr>
              <w:tc>
                <w:tcPr>
                  <w:tcW w:w="470" w:type="pct"/>
                  <w:vAlign w:val="center"/>
                </w:tcPr>
                <w:p w14:paraId="642369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生态区</w:t>
                  </w:r>
                </w:p>
              </w:tc>
              <w:tc>
                <w:tcPr>
                  <w:tcW w:w="595" w:type="pct"/>
                  <w:vAlign w:val="center"/>
                </w:tcPr>
                <w:p w14:paraId="0DAAE47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生态亚区</w:t>
                  </w:r>
                </w:p>
              </w:tc>
              <w:tc>
                <w:tcPr>
                  <w:tcW w:w="580" w:type="pct"/>
                  <w:vAlign w:val="center"/>
                </w:tcPr>
                <w:p w14:paraId="1B60F5E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highlight w:val="none"/>
                    </w:rPr>
                  </w:pPr>
                  <w:r>
                    <w:rPr>
                      <w:rFonts w:ascii="Times New Roman" w:hAnsi="Times New Roman" w:eastAsia="宋体"/>
                      <w:color w:val="auto"/>
                      <w:kern w:val="0"/>
                      <w:sz w:val="21"/>
                      <w:szCs w:val="21"/>
                      <w:highlight w:val="none"/>
                    </w:rPr>
                    <w:t>生态功能区</w:t>
                  </w:r>
                </w:p>
              </w:tc>
              <w:tc>
                <w:tcPr>
                  <w:tcW w:w="639" w:type="pct"/>
                  <w:vMerge w:val="continue"/>
                  <w:vAlign w:val="center"/>
                </w:tcPr>
                <w:p w14:paraId="277891CF">
                  <w:pPr>
                    <w:keepNext w:val="0"/>
                    <w:keepLines w:val="0"/>
                    <w:pageBreakBefore w:val="0"/>
                    <w:kinsoku/>
                    <w:wordWrap/>
                    <w:overflowPunct/>
                    <w:topLinePunct w:val="0"/>
                    <w:autoSpaceDE/>
                    <w:autoSpaceDN/>
                    <w:bidi w:val="0"/>
                    <w:adjustRightInd/>
                    <w:snapToGrid/>
                    <w:spacing w:line="240" w:lineRule="auto"/>
                    <w:ind w:firstLine="0" w:firstLineChars="0"/>
                    <w:jc w:val="both"/>
                    <w:textAlignment w:val="auto"/>
                    <w:rPr>
                      <w:rFonts w:ascii="Times New Roman" w:hAnsi="Times New Roman" w:eastAsia="宋体"/>
                      <w:color w:val="auto"/>
                      <w:sz w:val="21"/>
                      <w:szCs w:val="21"/>
                      <w:highlight w:val="none"/>
                    </w:rPr>
                  </w:pPr>
                </w:p>
              </w:tc>
              <w:tc>
                <w:tcPr>
                  <w:tcW w:w="741" w:type="pct"/>
                  <w:vMerge w:val="continue"/>
                  <w:vAlign w:val="center"/>
                </w:tcPr>
                <w:p w14:paraId="01A0246A">
                  <w:pPr>
                    <w:keepNext w:val="0"/>
                    <w:keepLines w:val="0"/>
                    <w:pageBreakBefore w:val="0"/>
                    <w:kinsoku/>
                    <w:wordWrap/>
                    <w:overflowPunct/>
                    <w:topLinePunct w:val="0"/>
                    <w:autoSpaceDE/>
                    <w:autoSpaceDN/>
                    <w:bidi w:val="0"/>
                    <w:adjustRightInd/>
                    <w:snapToGrid/>
                    <w:spacing w:line="240" w:lineRule="auto"/>
                    <w:ind w:firstLine="0" w:firstLineChars="0"/>
                    <w:jc w:val="both"/>
                    <w:textAlignment w:val="auto"/>
                    <w:rPr>
                      <w:rFonts w:ascii="Times New Roman" w:hAnsi="Times New Roman" w:eastAsia="宋体"/>
                      <w:color w:val="auto"/>
                      <w:sz w:val="21"/>
                      <w:szCs w:val="21"/>
                      <w:highlight w:val="none"/>
                    </w:rPr>
                  </w:pPr>
                </w:p>
              </w:tc>
              <w:tc>
                <w:tcPr>
                  <w:tcW w:w="634" w:type="pct"/>
                  <w:vMerge w:val="continue"/>
                  <w:vAlign w:val="center"/>
                </w:tcPr>
                <w:p w14:paraId="437E4C03">
                  <w:pPr>
                    <w:keepNext w:val="0"/>
                    <w:keepLines w:val="0"/>
                    <w:pageBreakBefore w:val="0"/>
                    <w:kinsoku/>
                    <w:wordWrap/>
                    <w:overflowPunct/>
                    <w:topLinePunct w:val="0"/>
                    <w:autoSpaceDE/>
                    <w:autoSpaceDN/>
                    <w:bidi w:val="0"/>
                    <w:adjustRightInd/>
                    <w:snapToGrid/>
                    <w:spacing w:line="240" w:lineRule="auto"/>
                    <w:ind w:firstLine="0" w:firstLineChars="0"/>
                    <w:jc w:val="both"/>
                    <w:textAlignment w:val="auto"/>
                    <w:rPr>
                      <w:rFonts w:ascii="Times New Roman" w:hAnsi="Times New Roman" w:eastAsia="宋体"/>
                      <w:color w:val="auto"/>
                      <w:sz w:val="21"/>
                      <w:szCs w:val="21"/>
                      <w:highlight w:val="none"/>
                    </w:rPr>
                  </w:pPr>
                </w:p>
              </w:tc>
              <w:tc>
                <w:tcPr>
                  <w:tcW w:w="574" w:type="pct"/>
                  <w:vMerge w:val="continue"/>
                  <w:vAlign w:val="center"/>
                </w:tcPr>
                <w:p w14:paraId="5AB321AC">
                  <w:pPr>
                    <w:keepNext w:val="0"/>
                    <w:keepLines w:val="0"/>
                    <w:pageBreakBefore w:val="0"/>
                    <w:kinsoku/>
                    <w:wordWrap/>
                    <w:overflowPunct/>
                    <w:topLinePunct w:val="0"/>
                    <w:autoSpaceDE/>
                    <w:autoSpaceDN/>
                    <w:bidi w:val="0"/>
                    <w:adjustRightInd/>
                    <w:snapToGrid/>
                    <w:spacing w:line="240" w:lineRule="auto"/>
                    <w:ind w:firstLine="0" w:firstLineChars="0"/>
                    <w:jc w:val="both"/>
                    <w:textAlignment w:val="auto"/>
                    <w:rPr>
                      <w:rFonts w:ascii="Times New Roman" w:hAnsi="Times New Roman" w:eastAsia="宋体"/>
                      <w:color w:val="auto"/>
                      <w:sz w:val="21"/>
                      <w:szCs w:val="21"/>
                      <w:highlight w:val="none"/>
                    </w:rPr>
                  </w:pPr>
                </w:p>
              </w:tc>
              <w:tc>
                <w:tcPr>
                  <w:tcW w:w="764" w:type="pct"/>
                  <w:vMerge w:val="continue"/>
                  <w:vAlign w:val="center"/>
                </w:tcPr>
                <w:p w14:paraId="165D1357">
                  <w:pPr>
                    <w:keepNext w:val="0"/>
                    <w:keepLines w:val="0"/>
                    <w:pageBreakBefore w:val="0"/>
                    <w:kinsoku/>
                    <w:wordWrap/>
                    <w:overflowPunct/>
                    <w:topLinePunct w:val="0"/>
                    <w:autoSpaceDE/>
                    <w:autoSpaceDN/>
                    <w:bidi w:val="0"/>
                    <w:adjustRightInd/>
                    <w:snapToGrid/>
                    <w:spacing w:line="240" w:lineRule="auto"/>
                    <w:ind w:firstLine="0" w:firstLineChars="0"/>
                    <w:jc w:val="both"/>
                    <w:textAlignment w:val="auto"/>
                    <w:rPr>
                      <w:rFonts w:ascii="Times New Roman" w:hAnsi="Times New Roman" w:eastAsia="宋体"/>
                      <w:color w:val="auto"/>
                      <w:sz w:val="21"/>
                      <w:szCs w:val="21"/>
                      <w:highlight w:val="none"/>
                    </w:rPr>
                  </w:pPr>
                </w:p>
              </w:tc>
            </w:tr>
            <w:tr w14:paraId="651A21C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528" w:hRule="atLeast"/>
              </w:trPr>
              <w:tc>
                <w:tcPr>
                  <w:tcW w:w="470" w:type="pct"/>
                  <w:vAlign w:val="center"/>
                </w:tcPr>
                <w:p w14:paraId="5E221CB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Ⅰ—3三江平原农业与湿地生态区</w:t>
                  </w:r>
                </w:p>
              </w:tc>
              <w:tc>
                <w:tcPr>
                  <w:tcW w:w="595" w:type="pct"/>
                  <w:vAlign w:val="center"/>
                </w:tcPr>
                <w:p w14:paraId="141AE34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Ⅰ—3—2完达山山地针阔混交林与湿地生态亚区</w:t>
                  </w:r>
                </w:p>
              </w:tc>
              <w:tc>
                <w:tcPr>
                  <w:tcW w:w="580" w:type="pct"/>
                  <w:vAlign w:val="center"/>
                </w:tcPr>
                <w:p w14:paraId="4CFCC6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Ⅰ—3—2—2挠力河上游水源涵养、农业及生物多样性保护生态功能区</w:t>
                  </w:r>
                </w:p>
              </w:tc>
              <w:tc>
                <w:tcPr>
                  <w:tcW w:w="639" w:type="pct"/>
                  <w:vAlign w:val="center"/>
                </w:tcPr>
                <w:p w14:paraId="5DD9EC4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宝清县，面积10827平方公里</w:t>
                  </w:r>
                </w:p>
              </w:tc>
              <w:tc>
                <w:tcPr>
                  <w:tcW w:w="741" w:type="pct"/>
                  <w:vAlign w:val="center"/>
                </w:tcPr>
                <w:p w14:paraId="5E8DC4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区域涵养能力下降，沼泽面积减少；湖泊等重要物种的生境受到威胁</w:t>
                  </w:r>
                </w:p>
              </w:tc>
              <w:tc>
                <w:tcPr>
                  <w:tcW w:w="634" w:type="pct"/>
                  <w:vAlign w:val="center"/>
                </w:tcPr>
                <w:p w14:paraId="2979282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北部大面积地区生物多样性敏感性为极敏感；除东北部地区外，土壤侵蚀敏感性为中度敏感</w:t>
                  </w:r>
                </w:p>
              </w:tc>
              <w:tc>
                <w:tcPr>
                  <w:tcW w:w="574" w:type="pct"/>
                  <w:vAlign w:val="center"/>
                </w:tcPr>
                <w:p w14:paraId="412605A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水源涵养、土壤保持、生物多样性保护、农业生产、湿地保护</w:t>
                  </w:r>
                </w:p>
              </w:tc>
              <w:tc>
                <w:tcPr>
                  <w:tcW w:w="764" w:type="pct"/>
                  <w:vAlign w:val="center"/>
                </w:tcPr>
                <w:p w14:paraId="5F3B684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加强天然林和沼泽湿地保护，加强对湿地的管护和监测能力的建设，大力发展生态农业</w:t>
                  </w:r>
                </w:p>
              </w:tc>
            </w:tr>
          </w:tbl>
          <w:p w14:paraId="2BACB0C3">
            <w:pPr>
              <w:ind w:firstLine="480"/>
              <w:rPr>
                <w:color w:val="auto"/>
                <w:highlight w:val="none"/>
              </w:rPr>
            </w:pPr>
            <w:r>
              <w:rPr>
                <w:rFonts w:hint="eastAsia"/>
                <w:color w:val="auto"/>
                <w:highlight w:val="none"/>
              </w:rPr>
              <w:t>本项目属于道路交通</w:t>
            </w:r>
            <w:r>
              <w:rPr>
                <w:rFonts w:hint="eastAsia"/>
                <w:color w:val="auto"/>
                <w:lang w:eastAsia="zh-CN"/>
              </w:rPr>
              <w:t>设施</w:t>
            </w:r>
            <w:r>
              <w:rPr>
                <w:rFonts w:hint="eastAsia"/>
                <w:color w:val="auto"/>
                <w:highlight w:val="none"/>
              </w:rPr>
              <w:t>建设，</w:t>
            </w:r>
            <w:r>
              <w:rPr>
                <w:rFonts w:hint="eastAsia"/>
                <w:color w:val="auto"/>
                <w:sz w:val="24"/>
                <w:szCs w:val="24"/>
                <w:highlight w:val="none"/>
                <w:lang w:val="en-US" w:eastAsia="zh-CN"/>
              </w:rPr>
              <w:t>项目</w:t>
            </w:r>
            <w:r>
              <w:rPr>
                <w:rFonts w:hint="eastAsia"/>
                <w:color w:val="auto"/>
                <w:lang w:val="en-US" w:eastAsia="zh-CN"/>
              </w:rPr>
              <w:t>不新增</w:t>
            </w:r>
            <w:r>
              <w:rPr>
                <w:rFonts w:hint="eastAsia"/>
                <w:color w:val="auto"/>
                <w:sz w:val="24"/>
                <w:szCs w:val="24"/>
                <w:highlight w:val="none"/>
                <w:lang w:val="en-US" w:eastAsia="zh-CN"/>
              </w:rPr>
              <w:t>永久占地，</w:t>
            </w:r>
            <w:r>
              <w:rPr>
                <w:rFonts w:hint="eastAsia"/>
                <w:color w:val="auto"/>
                <w:highlight w:val="none"/>
              </w:rPr>
              <w:t>在严格执行相关水土保持和生态措施，控制施工范围、做好临时占地区域的植被恢复前提下，不会加重所在区域主要生态问题</w:t>
            </w:r>
            <w:r>
              <w:rPr>
                <w:rFonts w:hint="eastAsia"/>
                <w:color w:val="auto"/>
                <w:highlight w:val="none"/>
                <w:lang w:eastAsia="zh-CN"/>
              </w:rPr>
              <w:t>。</w:t>
            </w:r>
            <w:r>
              <w:rPr>
                <w:rFonts w:hint="eastAsia"/>
                <w:color w:val="auto"/>
                <w:highlight w:val="none"/>
              </w:rPr>
              <w:t>因此，本项目与《黑龙江省生态功能区划》相符。</w:t>
            </w:r>
          </w:p>
          <w:p w14:paraId="0512FDFB">
            <w:pPr>
              <w:autoSpaceDE w:val="0"/>
              <w:autoSpaceDN w:val="0"/>
              <w:adjustRightInd w:val="0"/>
              <w:snapToGrid w:val="0"/>
              <w:ind w:firstLine="480"/>
              <w:rPr>
                <w:rFonts w:hint="eastAsia"/>
                <w:color w:val="auto"/>
                <w:sz w:val="24"/>
                <w:highlight w:val="none"/>
                <w:lang w:val="en-US" w:eastAsia="zh-CN"/>
              </w:rPr>
            </w:pPr>
            <w:r>
              <w:rPr>
                <w:rFonts w:hint="eastAsia"/>
                <w:color w:val="auto"/>
                <w:sz w:val="24"/>
                <w:highlight w:val="none"/>
                <w:lang w:val="en-US" w:eastAsia="zh-CN"/>
              </w:rPr>
              <w:t>6、与《黑龙江省水土保持规划（2015</w:t>
            </w:r>
            <w:r>
              <w:rPr>
                <w:rFonts w:hint="eastAsia" w:eastAsia="黑体" w:cs="Times New Roman"/>
                <w:color w:val="auto"/>
                <w:sz w:val="24"/>
                <w:szCs w:val="24"/>
                <w:highlight w:val="none"/>
                <w:lang w:val="en-US" w:eastAsia="zh-CN"/>
              </w:rPr>
              <w:t>—</w:t>
            </w:r>
            <w:r>
              <w:rPr>
                <w:rFonts w:hint="eastAsia"/>
                <w:color w:val="auto"/>
                <w:sz w:val="24"/>
                <w:highlight w:val="none"/>
                <w:lang w:val="en-US" w:eastAsia="zh-CN"/>
              </w:rPr>
              <w:t>2030年）》符合性分析</w:t>
            </w:r>
          </w:p>
          <w:p w14:paraId="52DCDE62">
            <w:pP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根据《黑龙江省水土保持规划（2015</w:t>
            </w:r>
            <w:r>
              <w:rPr>
                <w:rFonts w:hint="eastAsia" w:eastAsia="黑体" w:cs="Times New Roman"/>
                <w:color w:val="auto"/>
                <w:sz w:val="24"/>
                <w:szCs w:val="24"/>
                <w:highlight w:val="none"/>
                <w:lang w:val="en-US" w:eastAsia="zh-CN"/>
              </w:rPr>
              <w:t>—</w:t>
            </w:r>
            <w:r>
              <w:rPr>
                <w:rFonts w:hint="eastAsia" w:ascii="Times New Roman" w:hAnsi="Times New Roman" w:eastAsia="宋体" w:cs="Times New Roman"/>
                <w:color w:val="auto"/>
                <w:highlight w:val="none"/>
                <w:lang w:val="en-US" w:eastAsia="zh-CN"/>
              </w:rPr>
              <w:t>2030年）》，</w:t>
            </w:r>
            <w:r>
              <w:rPr>
                <w:rFonts w:hint="default" w:ascii="Times New Roman" w:hAnsi="Times New Roman" w:eastAsia="宋体" w:cs="Times New Roman"/>
                <w:color w:val="auto"/>
                <w:highlight w:val="none"/>
                <w:lang w:val="en-US" w:eastAsia="zh-CN"/>
              </w:rPr>
              <w:t>强化水土保持社会监督管理</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依法开展水土保持监督和管理，违法必究、执法必严。规范生产建设项目水土保持方案审批，加强水土保持监督检查，认真落实水土保持设施与主体工程同时设计、同时施工、同时投产使用制度。</w:t>
            </w:r>
          </w:p>
          <w:p w14:paraId="25091E37">
            <w:pP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本项目已进行水土保持方案的编写，同时依法开展水土保持监督和管理，</w:t>
            </w:r>
            <w:r>
              <w:rPr>
                <w:rFonts w:hint="default" w:ascii="Times New Roman" w:hAnsi="Times New Roman" w:eastAsia="宋体" w:cs="Times New Roman"/>
                <w:color w:val="auto"/>
                <w:highlight w:val="none"/>
                <w:lang w:val="en-US" w:eastAsia="zh-CN"/>
              </w:rPr>
              <w:t>加强水土保持监督检查，认真落实水土保持设施与主体工程同时设计、同时施工、同时投产使用制度</w:t>
            </w:r>
            <w:r>
              <w:rPr>
                <w:rFonts w:hint="eastAsia" w:ascii="Times New Roman" w:hAnsi="Times New Roman" w:eastAsia="宋体" w:cs="Times New Roman"/>
                <w:color w:val="auto"/>
                <w:highlight w:val="none"/>
                <w:lang w:val="en-US" w:eastAsia="zh-CN"/>
              </w:rPr>
              <w:t>。因此本项目与《黑龙江省水土保持规划（2015</w:t>
            </w:r>
            <w:r>
              <w:rPr>
                <w:rFonts w:hint="eastAsia" w:eastAsia="黑体" w:cs="Times New Roman"/>
                <w:color w:val="auto"/>
                <w:sz w:val="24"/>
                <w:szCs w:val="24"/>
                <w:highlight w:val="none"/>
                <w:lang w:val="en-US" w:eastAsia="zh-CN"/>
              </w:rPr>
              <w:t>—</w:t>
            </w:r>
            <w:r>
              <w:rPr>
                <w:rFonts w:hint="eastAsia" w:ascii="Times New Roman" w:hAnsi="Times New Roman" w:eastAsia="宋体" w:cs="Times New Roman"/>
                <w:color w:val="auto"/>
                <w:highlight w:val="none"/>
                <w:lang w:val="en-US" w:eastAsia="zh-CN"/>
              </w:rPr>
              <w:t>2030年）》相符合。</w:t>
            </w:r>
          </w:p>
          <w:p w14:paraId="33059EC2">
            <w:pPr>
              <w:autoSpaceDE w:val="0"/>
              <w:autoSpaceDN w:val="0"/>
              <w:adjustRightInd w:val="0"/>
              <w:snapToGrid w:val="0"/>
              <w:ind w:firstLine="480"/>
              <w:rPr>
                <w:rFonts w:hint="default"/>
                <w:color w:val="auto"/>
                <w:sz w:val="24"/>
                <w:highlight w:val="none"/>
                <w:lang w:val="en-US" w:eastAsia="zh-CN"/>
              </w:rPr>
            </w:pPr>
            <w:r>
              <w:rPr>
                <w:rFonts w:hint="eastAsia"/>
                <w:color w:val="auto"/>
                <w:sz w:val="24"/>
                <w:highlight w:val="none"/>
                <w:lang w:val="en-US" w:eastAsia="zh-CN"/>
              </w:rPr>
              <w:t>7、与《黑龙江省黑土地保护利用条例》符合性分析</w:t>
            </w:r>
          </w:p>
          <w:p w14:paraId="3BF24B7E">
            <w:pP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根据</w:t>
            </w:r>
            <w:r>
              <w:rPr>
                <w:rFonts w:hint="eastAsia"/>
                <w:color w:val="auto"/>
                <w:sz w:val="24"/>
                <w:highlight w:val="none"/>
                <w:lang w:val="en-US" w:eastAsia="zh-CN"/>
              </w:rPr>
              <w:t>《黑龙江省黑土地保护利用条例》，</w:t>
            </w:r>
            <w:r>
              <w:rPr>
                <w:rFonts w:hint="eastAsia" w:ascii="Times New Roman" w:hAnsi="Times New Roman" w:eastAsia="宋体" w:cs="Times New Roman"/>
                <w:color w:val="auto"/>
                <w:highlight w:val="none"/>
                <w:lang w:val="en-US" w:eastAsia="zh-CN"/>
              </w:rPr>
              <w:t>建设项目占用黑土地的，应当按照规定的标准对耕作层的土壤进行剥离。剥离的黑土应当就近用于新开垦耕地和低质耕地改良、被污染耕地的治理、高标准农田建设、土地复垦等。建设项目主体应当制定剥离黑土的再利用方案，报自然资源主管部门备案。</w:t>
            </w:r>
          </w:p>
          <w:p w14:paraId="10139818">
            <w:pP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本项目为线性工程，</w:t>
            </w:r>
            <w:r>
              <w:rPr>
                <w:color w:val="auto"/>
              </w:rPr>
              <w:t>工程</w:t>
            </w:r>
            <w:r>
              <w:rPr>
                <w:color w:val="auto"/>
                <w:highlight w:val="none"/>
              </w:rPr>
              <w:t>位于原道路用地范围内，不新增永久占地。本项目</w:t>
            </w:r>
            <w:r>
              <w:rPr>
                <w:rFonts w:hint="eastAsia"/>
                <w:color w:val="auto"/>
                <w:highlight w:val="none"/>
                <w:lang w:val="en-US" w:eastAsia="zh-CN"/>
              </w:rPr>
              <w:t>新增</w:t>
            </w:r>
            <w:r>
              <w:rPr>
                <w:rFonts w:hint="eastAsia"/>
                <w:color w:val="auto"/>
                <w:highlight w:val="none"/>
                <w:lang w:eastAsia="zh-CN"/>
              </w:rPr>
              <w:t>临时占地</w:t>
            </w:r>
            <w:r>
              <w:rPr>
                <w:rFonts w:hint="eastAsia"/>
                <w:color w:val="auto"/>
                <w:highlight w:val="none"/>
                <w:lang w:val="en-US" w:eastAsia="zh-CN"/>
              </w:rPr>
              <w:t>4022</w:t>
            </w:r>
            <w:r>
              <w:rPr>
                <w:rFonts w:hint="eastAsia" w:ascii="Times New Roman" w:hAnsi="Times New Roman" w:eastAsia="宋体" w:cs="Times New Roman"/>
                <w:color w:val="auto"/>
                <w:highlight w:val="none"/>
              </w:rPr>
              <w:t>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eastAsia="zh-CN"/>
              </w:rPr>
              <w:t>，</w:t>
            </w:r>
            <w:r>
              <w:rPr>
                <w:rFonts w:hint="eastAsia"/>
                <w:color w:val="auto"/>
                <w:highlight w:val="none"/>
                <w:lang w:eastAsia="zh-CN"/>
              </w:rPr>
              <w:t>为</w:t>
            </w:r>
            <w:r>
              <w:rPr>
                <w:rFonts w:hint="eastAsia"/>
                <w:color w:val="auto"/>
                <w:highlight w:val="none"/>
                <w:lang w:val="en-US" w:eastAsia="zh-CN"/>
              </w:rPr>
              <w:t>1处施工场地，设置基层、面层拌和站，</w:t>
            </w:r>
            <w:r>
              <w:rPr>
                <w:rFonts w:hint="eastAsia"/>
                <w:color w:val="auto"/>
                <w:highlight w:val="none"/>
                <w:lang w:eastAsia="zh-CN"/>
              </w:rPr>
              <w:t>占地类型</w:t>
            </w:r>
            <w:r>
              <w:rPr>
                <w:color w:val="auto"/>
                <w:highlight w:val="none"/>
              </w:rPr>
              <w:t>为</w:t>
            </w:r>
            <w:r>
              <w:rPr>
                <w:rFonts w:hint="eastAsia"/>
                <w:color w:val="auto"/>
                <w:highlight w:val="none"/>
                <w:lang w:eastAsia="zh-CN"/>
              </w:rPr>
              <w:t>裸土地、设施农用地</w:t>
            </w:r>
            <w:r>
              <w:rPr>
                <w:color w:val="auto"/>
                <w:highlight w:val="none"/>
              </w:rPr>
              <w:t>。本项目不占用基本农田，不占用林地、草地。</w:t>
            </w:r>
            <w:r>
              <w:rPr>
                <w:rFonts w:hint="eastAsia"/>
                <w:color w:val="auto"/>
                <w:highlight w:val="none"/>
                <w:lang w:val="en-US" w:eastAsia="zh-CN"/>
              </w:rPr>
              <w:t>项目</w:t>
            </w:r>
            <w:r>
              <w:rPr>
                <w:rFonts w:hint="eastAsia" w:cs="Times New Roman"/>
                <w:color w:val="auto"/>
                <w:highlight w:val="none"/>
                <w:lang w:val="en-US" w:eastAsia="zh-CN"/>
              </w:rPr>
              <w:t>尽量节约、集约</w:t>
            </w:r>
            <w:r>
              <w:rPr>
                <w:rFonts w:hint="eastAsia"/>
                <w:color w:val="auto"/>
                <w:highlight w:val="none"/>
              </w:rPr>
              <w:t>使用黑土地</w:t>
            </w:r>
            <w:r>
              <w:rPr>
                <w:rFonts w:hint="eastAsia"/>
                <w:color w:val="auto"/>
                <w:highlight w:val="none"/>
                <w:lang w:eastAsia="zh-CN"/>
              </w:rPr>
              <w:t>，</w:t>
            </w:r>
            <w:r>
              <w:rPr>
                <w:rFonts w:hint="eastAsia"/>
                <w:color w:val="auto"/>
                <w:highlight w:val="none"/>
              </w:rPr>
              <w:t>最大限度保护黑土地。</w:t>
            </w:r>
            <w:r>
              <w:rPr>
                <w:rFonts w:hint="eastAsia"/>
                <w:color w:val="auto"/>
                <w:sz w:val="24"/>
                <w:szCs w:val="21"/>
                <w:highlight w:val="none"/>
                <w:lang w:eastAsia="zh-CN"/>
              </w:rPr>
              <w:t>因此本项目与</w:t>
            </w:r>
            <w:r>
              <w:rPr>
                <w:rFonts w:hint="eastAsia"/>
                <w:color w:val="auto"/>
                <w:sz w:val="24"/>
                <w:highlight w:val="none"/>
                <w:lang w:val="en-US" w:eastAsia="zh-CN"/>
              </w:rPr>
              <w:t>《黑龙江省黑土地保护利用条例》相符合。</w:t>
            </w:r>
          </w:p>
          <w:p w14:paraId="55B62F33">
            <w:pPr>
              <w:autoSpaceDE w:val="0"/>
              <w:autoSpaceDN w:val="0"/>
              <w:spacing w:line="360" w:lineRule="auto"/>
              <w:ind w:firstLine="480" w:firstLineChars="200"/>
              <w:rPr>
                <w:rFonts w:hint="eastAsia" w:cs="宋体"/>
                <w:color w:val="auto"/>
                <w:kern w:val="0"/>
                <w:szCs w:val="21"/>
              </w:rPr>
            </w:pPr>
            <w:r>
              <w:rPr>
                <w:rFonts w:hint="eastAsia" w:cs="宋体"/>
                <w:color w:val="auto"/>
                <w:kern w:val="0"/>
                <w:szCs w:val="21"/>
                <w:lang w:val="en-US" w:eastAsia="zh-CN"/>
              </w:rPr>
              <w:t>8、</w:t>
            </w:r>
            <w:r>
              <w:rPr>
                <w:rFonts w:hint="eastAsia" w:cs="宋体"/>
                <w:color w:val="auto"/>
                <w:kern w:val="0"/>
                <w:szCs w:val="21"/>
              </w:rPr>
              <w:t>与《自然资源部关于规范临时用地管理的通知》（自然资规﹝2021﹞2号）符合性分析</w:t>
            </w:r>
          </w:p>
          <w:p w14:paraId="74C13BA4">
            <w:pPr>
              <w:autoSpaceDE w:val="0"/>
              <w:autoSpaceDN w:val="0"/>
              <w:spacing w:line="360" w:lineRule="auto"/>
              <w:ind w:firstLine="480" w:firstLineChars="200"/>
              <w:rPr>
                <w:rFonts w:hint="eastAsia" w:cs="宋体"/>
                <w:color w:val="auto"/>
                <w:kern w:val="0"/>
                <w:szCs w:val="21"/>
              </w:rPr>
            </w:pPr>
            <w:r>
              <w:rPr>
                <w:rFonts w:hint="eastAsia" w:cs="宋体"/>
                <w:color w:val="auto"/>
                <w:kern w:val="0"/>
                <w:szCs w:val="21"/>
              </w:rPr>
              <w:t>根据《自然资源部关于规范临时用地管理的通知》中“二、临时用地选址要求和使用期限”，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临时用地确需占用永久基本农田的，必须能够恢复原种植条件，并符合《自然资源部农业农村部关于加强和改进永久基本农田保护工作的通知》（自然资规﹝2019﹞1号）中申请条件、土壤剥离、复垦验收等有关规定。</w:t>
            </w:r>
          </w:p>
          <w:p w14:paraId="0E88BDD9">
            <w:pPr>
              <w:autoSpaceDE w:val="0"/>
              <w:autoSpaceDN w:val="0"/>
              <w:spacing w:line="360" w:lineRule="auto"/>
              <w:ind w:firstLine="480" w:firstLineChars="200"/>
              <w:rPr>
                <w:rFonts w:hint="eastAsia" w:cs="宋体"/>
                <w:color w:val="auto"/>
                <w:kern w:val="0"/>
                <w:szCs w:val="21"/>
                <w:highlight w:val="none"/>
              </w:rPr>
            </w:pPr>
            <w:r>
              <w:rPr>
                <w:color w:val="auto"/>
              </w:rPr>
              <w:t>本项目</w:t>
            </w:r>
            <w:r>
              <w:rPr>
                <w:rFonts w:hint="eastAsia"/>
                <w:color w:val="auto"/>
              </w:rPr>
              <w:t>无弃方，</w:t>
            </w:r>
            <w:r>
              <w:rPr>
                <w:rFonts w:hint="eastAsia"/>
                <w:color w:val="auto"/>
                <w:szCs w:val="21"/>
                <w:highlight w:val="none"/>
              </w:rPr>
              <w:t>土方采用外购方式，不设置取</w:t>
            </w:r>
            <w:r>
              <w:rPr>
                <w:rFonts w:hint="eastAsia"/>
                <w:color w:val="auto"/>
                <w:szCs w:val="21"/>
                <w:highlight w:val="none"/>
                <w:lang w:eastAsia="zh-CN"/>
              </w:rPr>
              <w:t>、弃</w:t>
            </w:r>
            <w:r>
              <w:rPr>
                <w:rFonts w:hint="eastAsia"/>
                <w:color w:val="auto"/>
                <w:szCs w:val="21"/>
                <w:highlight w:val="none"/>
              </w:rPr>
              <w:t>土场；本项目</w:t>
            </w:r>
            <w:r>
              <w:rPr>
                <w:rFonts w:hint="eastAsia"/>
                <w:color w:val="auto"/>
                <w:szCs w:val="21"/>
                <w:highlight w:val="none"/>
                <w:lang w:eastAsia="zh-CN"/>
              </w:rPr>
              <w:t>堆料场</w:t>
            </w:r>
            <w:r>
              <w:rPr>
                <w:rFonts w:hint="eastAsia"/>
                <w:color w:val="auto"/>
                <w:szCs w:val="21"/>
                <w:highlight w:val="none"/>
              </w:rPr>
              <w:t>设置在永久占地范围内；</w:t>
            </w:r>
            <w:r>
              <w:rPr>
                <w:rFonts w:hint="eastAsia"/>
                <w:color w:val="auto"/>
                <w:szCs w:val="21"/>
                <w:highlight w:val="none"/>
                <w:lang w:eastAsia="zh-CN"/>
              </w:rPr>
              <w:t>本项目</w:t>
            </w:r>
            <w:r>
              <w:rPr>
                <w:rFonts w:hint="eastAsia" w:cs="Times New Roman"/>
                <w:color w:val="auto"/>
                <w:highlight w:val="none"/>
                <w:vertAlign w:val="baseline"/>
                <w:lang w:eastAsia="zh-CN"/>
              </w:rPr>
              <w:t>施</w:t>
            </w:r>
            <w:r>
              <w:rPr>
                <w:rFonts w:hint="eastAsia"/>
                <w:color w:val="auto"/>
                <w:highlight w:val="none"/>
              </w:rPr>
              <w:t>工便道占地面积</w:t>
            </w:r>
            <w:r>
              <w:rPr>
                <w:rFonts w:hint="eastAsia" w:cs="Times New Roman"/>
                <w:color w:val="auto"/>
                <w:highlight w:val="none"/>
                <w:lang w:val="en-US" w:eastAsia="zh-CN"/>
              </w:rPr>
              <w:t>1800m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val="en-US" w:eastAsia="zh-CN"/>
              </w:rPr>
              <w:t>（</w:t>
            </w:r>
            <w:r>
              <w:rPr>
                <w:rFonts w:hint="eastAsia"/>
                <w:color w:val="auto"/>
                <w:highlight w:val="none"/>
                <w:lang w:eastAsia="zh-CN"/>
              </w:rPr>
              <w:t>便道</w:t>
            </w:r>
            <w:r>
              <w:rPr>
                <w:rFonts w:hint="eastAsia"/>
                <w:color w:val="auto"/>
                <w:highlight w:val="none"/>
              </w:rPr>
              <w:t>总长</w:t>
            </w:r>
            <w:r>
              <w:rPr>
                <w:rFonts w:hint="eastAsia"/>
                <w:color w:val="auto"/>
                <w:highlight w:val="none"/>
                <w:lang w:val="en-US" w:eastAsia="zh-CN"/>
              </w:rPr>
              <w:t>400m</w:t>
            </w:r>
            <w:r>
              <w:rPr>
                <w:rFonts w:hint="eastAsia"/>
                <w:color w:val="auto"/>
                <w:highlight w:val="none"/>
              </w:rPr>
              <w:t>，宽度为</w:t>
            </w:r>
            <w:r>
              <w:rPr>
                <w:rFonts w:hint="eastAsia"/>
                <w:color w:val="auto"/>
                <w:highlight w:val="none"/>
                <w:lang w:val="en-US" w:eastAsia="zh-CN"/>
              </w:rPr>
              <w:t>4.5</w:t>
            </w:r>
            <w:r>
              <w:rPr>
                <w:rFonts w:hint="eastAsia"/>
                <w:color w:val="auto"/>
                <w:highlight w:val="none"/>
              </w:rPr>
              <w:t>m</w:t>
            </w:r>
            <w:r>
              <w:rPr>
                <w:rFonts w:hint="eastAsia" w:cs="Times New Roman"/>
                <w:color w:val="auto"/>
                <w:highlight w:val="none"/>
                <w:vertAlign w:val="baseline"/>
                <w:lang w:val="en-US" w:eastAsia="zh-CN"/>
              </w:rPr>
              <w:t>），</w:t>
            </w:r>
            <w:r>
              <w:rPr>
                <w:rFonts w:hint="eastAsia" w:cs="Times New Roman"/>
                <w:color w:val="auto"/>
                <w:highlight w:val="none"/>
                <w:vertAlign w:val="baseline"/>
                <w:lang w:eastAsia="zh-CN"/>
              </w:rPr>
              <w:t>占地类</w:t>
            </w:r>
            <w:r>
              <w:rPr>
                <w:rFonts w:hint="eastAsia" w:cs="Times New Roman"/>
                <w:color w:val="auto"/>
                <w:sz w:val="24"/>
                <w:szCs w:val="24"/>
                <w:highlight w:val="none"/>
                <w:vertAlign w:val="baseline"/>
                <w:lang w:eastAsia="zh-CN"/>
              </w:rPr>
              <w:t>型为</w:t>
            </w:r>
            <w:r>
              <w:rPr>
                <w:rFonts w:hint="eastAsia" w:cs="Times New Roman"/>
                <w:bCs/>
                <w:color w:val="auto"/>
                <w:kern w:val="2"/>
                <w:sz w:val="24"/>
                <w:szCs w:val="24"/>
                <w:highlight w:val="none"/>
                <w:lang w:val="en-US" w:eastAsia="zh-CN" w:bidi="ar-SA"/>
              </w:rPr>
              <w:t>公路用地，位于永久占地范围内；</w:t>
            </w:r>
            <w:r>
              <w:rPr>
                <w:rFonts w:hint="eastAsia"/>
                <w:color w:val="auto"/>
                <w:szCs w:val="21"/>
                <w:highlight w:val="none"/>
              </w:rPr>
              <w:t>本工程不设置施工驻地，施工人员食宿租赁附近民宅。</w:t>
            </w:r>
            <w:r>
              <w:rPr>
                <w:color w:val="auto"/>
                <w:highlight w:val="none"/>
              </w:rPr>
              <w:t>本项目</w:t>
            </w:r>
            <w:r>
              <w:rPr>
                <w:rFonts w:hint="eastAsia"/>
                <w:color w:val="auto"/>
                <w:highlight w:val="none"/>
                <w:lang w:val="en-US" w:eastAsia="zh-CN"/>
              </w:rPr>
              <w:t>新增</w:t>
            </w:r>
            <w:r>
              <w:rPr>
                <w:rFonts w:hint="eastAsia"/>
                <w:color w:val="auto"/>
                <w:highlight w:val="none"/>
                <w:lang w:eastAsia="zh-CN"/>
              </w:rPr>
              <w:t>临时占地</w:t>
            </w:r>
            <w:r>
              <w:rPr>
                <w:rFonts w:hint="eastAsia"/>
                <w:color w:val="auto"/>
                <w:highlight w:val="none"/>
                <w:lang w:val="en-US" w:eastAsia="zh-CN"/>
              </w:rPr>
              <w:t>4022</w:t>
            </w:r>
            <w:r>
              <w:rPr>
                <w:rFonts w:hint="eastAsia" w:ascii="Times New Roman" w:hAnsi="Times New Roman" w:eastAsia="宋体" w:cs="Times New Roman"/>
                <w:color w:val="auto"/>
                <w:highlight w:val="none"/>
              </w:rPr>
              <w:t>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eastAsia="zh-CN"/>
              </w:rPr>
              <w:t>，</w:t>
            </w:r>
            <w:r>
              <w:rPr>
                <w:rFonts w:hint="eastAsia"/>
                <w:color w:val="auto"/>
                <w:highlight w:val="none"/>
                <w:lang w:eastAsia="zh-CN"/>
              </w:rPr>
              <w:t>为</w:t>
            </w:r>
            <w:r>
              <w:rPr>
                <w:rFonts w:hint="eastAsia"/>
                <w:color w:val="auto"/>
                <w:highlight w:val="none"/>
                <w:lang w:val="en-US" w:eastAsia="zh-CN"/>
              </w:rPr>
              <w:t>1处施工场地，设置基层、面层拌和站</w:t>
            </w:r>
            <w:r>
              <w:rPr>
                <w:color w:val="auto"/>
                <w:highlight w:val="none"/>
              </w:rPr>
              <w:t>。</w:t>
            </w:r>
            <w:r>
              <w:rPr>
                <w:rFonts w:hint="eastAsia"/>
                <w:color w:val="auto"/>
                <w:highlight w:val="none"/>
                <w:lang w:eastAsia="zh-CN"/>
              </w:rPr>
              <w:t>在施工结束后将临时工程拆除，及时清理施工痕迹，恢复地表原貌</w:t>
            </w:r>
            <w:r>
              <w:rPr>
                <w:rFonts w:hint="eastAsia"/>
                <w:color w:val="auto"/>
                <w:highlight w:val="none"/>
              </w:rPr>
              <w:t>。本项目</w:t>
            </w:r>
            <w:r>
              <w:rPr>
                <w:rFonts w:hint="eastAsia"/>
                <w:color w:val="auto"/>
                <w:highlight w:val="none"/>
                <w:lang w:val="en-US" w:eastAsia="zh-CN"/>
              </w:rPr>
              <w:t>新增</w:t>
            </w:r>
            <w:r>
              <w:rPr>
                <w:rFonts w:hint="eastAsia"/>
                <w:color w:val="auto"/>
                <w:highlight w:val="none"/>
              </w:rPr>
              <w:t>临时占地</w:t>
            </w:r>
            <w:r>
              <w:rPr>
                <w:rFonts w:hint="eastAsia"/>
                <w:color w:val="auto"/>
                <w:highlight w:val="none"/>
                <w:lang w:eastAsia="zh-CN"/>
              </w:rPr>
              <w:t>占地类型</w:t>
            </w:r>
            <w:r>
              <w:rPr>
                <w:rFonts w:hint="eastAsia"/>
                <w:color w:val="auto"/>
                <w:highlight w:val="none"/>
              </w:rPr>
              <w:t>为</w:t>
            </w:r>
            <w:r>
              <w:rPr>
                <w:rFonts w:hint="eastAsia"/>
                <w:color w:val="auto"/>
                <w:highlight w:val="none"/>
                <w:lang w:eastAsia="zh-CN"/>
              </w:rPr>
              <w:t>设施农用地、裸土地</w:t>
            </w:r>
            <w:r>
              <w:rPr>
                <w:rFonts w:hint="eastAsia"/>
                <w:color w:val="auto"/>
                <w:highlight w:val="none"/>
              </w:rPr>
              <w:t>，不涉及</w:t>
            </w:r>
            <w:r>
              <w:rPr>
                <w:rFonts w:hint="eastAsia"/>
                <w:color w:val="auto"/>
                <w:highlight w:val="none"/>
                <w:lang w:val="en-US" w:eastAsia="zh-CN"/>
              </w:rPr>
              <w:t>耕地和</w:t>
            </w:r>
            <w:r>
              <w:rPr>
                <w:rFonts w:hint="eastAsia"/>
                <w:color w:val="auto"/>
                <w:highlight w:val="none"/>
              </w:rPr>
              <w:t>永久基本农田。因此，本工程的建设</w:t>
            </w:r>
            <w:r>
              <w:rPr>
                <w:rFonts w:hint="eastAsia" w:cs="宋体"/>
                <w:color w:val="auto"/>
                <w:kern w:val="0"/>
                <w:szCs w:val="21"/>
                <w:highlight w:val="none"/>
              </w:rPr>
              <w:t>符合《自然资源部关于规范临时用地管理的通知》（自然资规﹝2021﹞2号）管理要求。</w:t>
            </w:r>
          </w:p>
          <w:p w14:paraId="75FA1155">
            <w:pPr>
              <w:autoSpaceDE w:val="0"/>
              <w:autoSpaceDN w:val="0"/>
              <w:spacing w:line="360" w:lineRule="auto"/>
              <w:ind w:firstLine="480" w:firstLineChars="200"/>
              <w:rPr>
                <w:rFonts w:hint="eastAsia" w:ascii="Times New Roman" w:hAnsi="Times New Roman" w:eastAsia="宋体" w:cs="宋体"/>
                <w:color w:val="auto"/>
                <w:kern w:val="0"/>
                <w:szCs w:val="21"/>
                <w:lang w:val="en-US" w:eastAsia="zh-CN"/>
              </w:rPr>
            </w:pPr>
            <w:r>
              <w:rPr>
                <w:rFonts w:hint="eastAsia" w:cs="宋体"/>
                <w:color w:val="auto"/>
                <w:kern w:val="0"/>
                <w:szCs w:val="21"/>
                <w:lang w:val="en-US" w:eastAsia="zh-CN"/>
              </w:rPr>
              <w:t>9</w:t>
            </w:r>
            <w:r>
              <w:rPr>
                <w:rFonts w:hint="eastAsia" w:ascii="Times New Roman" w:hAnsi="Times New Roman" w:eastAsia="宋体" w:cs="宋体"/>
                <w:color w:val="auto"/>
                <w:kern w:val="0"/>
                <w:szCs w:val="21"/>
                <w:lang w:val="en-US" w:eastAsia="zh-CN"/>
              </w:rPr>
              <w:t>、与《中华人民共和国自然保护区条例》符合性分析</w:t>
            </w:r>
          </w:p>
          <w:p w14:paraId="60C9D7E4">
            <w:pPr>
              <w:autoSpaceDE w:val="0"/>
              <w:autoSpaceDN w:val="0"/>
              <w:spacing w:line="360" w:lineRule="auto"/>
              <w:ind w:firstLine="480" w:firstLineChars="20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根据《中华</w:t>
            </w:r>
            <w:r>
              <w:rPr>
                <w:rFonts w:hint="eastAsia" w:ascii="Times New Roman" w:hAnsi="Times New Roman" w:eastAsia="宋体" w:cs="Times New Roman"/>
                <w:color w:val="auto"/>
                <w:highlight w:val="none"/>
                <w:lang w:val="en-US" w:eastAsia="zh-CN"/>
              </w:rPr>
              <w:t>人民共和国</w:t>
            </w:r>
            <w:r>
              <w:rPr>
                <w:rFonts w:hint="eastAsia"/>
                <w:color w:val="auto"/>
                <w:lang w:val="en-US" w:eastAsia="zh-CN"/>
              </w:rPr>
              <w:t>自然保护区</w:t>
            </w:r>
            <w:r>
              <w:rPr>
                <w:rFonts w:hint="eastAsia" w:ascii="Times New Roman" w:hAnsi="Times New Roman" w:eastAsia="宋体" w:cs="Times New Roman"/>
                <w:color w:val="auto"/>
                <w:highlight w:val="none"/>
                <w:lang w:val="en-US" w:eastAsia="zh-CN"/>
              </w:rPr>
              <w:t>条例》（</w:t>
            </w:r>
            <w:r>
              <w:rPr>
                <w:rFonts w:hint="eastAsia" w:ascii="Times New Roman" w:hAnsi="Times New Roman" w:eastAsia="宋体" w:cs="Times New Roman"/>
                <w:color w:val="auto"/>
                <w:kern w:val="2"/>
                <w:sz w:val="24"/>
                <w:szCs w:val="24"/>
                <w:highlight w:val="none"/>
                <w:lang w:val="en-US" w:eastAsia="zh-CN" w:bidi="ar-SA"/>
              </w:rPr>
              <w:t>2026年2月3日第三次修订）自然保护区划分为核心保护区和一般控制区，实行分区管控。</w:t>
            </w:r>
            <w:r>
              <w:rPr>
                <w:rFonts w:hint="eastAsia" w:ascii="Times New Roman" w:hAnsi="Times New Roman" w:eastAsia="宋体" w:cs="Times New Roman"/>
                <w:color w:val="auto"/>
                <w:highlight w:val="none"/>
                <w:lang w:val="en-US" w:eastAsia="zh-CN"/>
              </w:rPr>
              <w:t>“第二十六条 除下列活动外，自然保护区核心保护区内禁止人为活动：（一）为保护自然保护区开展的调查监测、生态修复、管护巡护等活动，科研观测、基础测绘、文物和其他文化遗产保护、防灾减灾、应急救援活动，以及国家机关依法履行执法职责确需开展的活动；（二）原有居民必要的生产生活活动，以及确需保留、无法避让的已有重要基础设施的运行、维护、改造；（三）必须且无法避让、以生态</w:t>
            </w:r>
            <w:r>
              <w:rPr>
                <w:rFonts w:hint="eastAsia"/>
                <w:color w:val="auto"/>
                <w:lang w:val="en-US" w:eastAsia="zh-CN"/>
              </w:rPr>
              <w:t>环境</w:t>
            </w:r>
            <w:r>
              <w:rPr>
                <w:rFonts w:hint="eastAsia" w:ascii="Times New Roman" w:hAnsi="Times New Roman" w:eastAsia="宋体" w:cs="Times New Roman"/>
                <w:color w:val="auto"/>
                <w:highlight w:val="none"/>
                <w:lang w:val="en-US" w:eastAsia="zh-CN"/>
              </w:rPr>
              <w:t>无害化方式穿越地下、水下或者空中的线性基础设施建设；（四）为维护国家安全、实施国家重大战略确需开展的活动，以及无法避让的国家重大项目建设；（五）法律、行政法规规定或者国务院批准的其他活动。”“第二十七条：自然保护区一般控制区内仅允许开展下列人为活动：（一）核心保</w:t>
            </w:r>
            <w:r>
              <w:rPr>
                <w:rFonts w:hint="eastAsia" w:ascii="Times New Roman" w:hAnsi="Times New Roman" w:eastAsia="宋体" w:cs="Times New Roman"/>
                <w:color w:val="auto"/>
                <w:lang w:val="en-US" w:eastAsia="zh-CN"/>
              </w:rPr>
              <w:t>护区允许开展的活动；（二）符合国土空间规划且无法避让的重要基础设施的建设、运行和维护；（三）古生物化石调查发掘，基础地质调查，战略性矿产资源远景调查和规定范围内的战略性矿产资源勘查；（四）珍稀濒危野生动植物的野化、繁殖，非破坏性的标本采集活动；（五）与自然保护区保护目标一致的人工商品林抚育、树种更新等森林经营活动；（六）科普宣传、生态旅游、教育文化体育等公共服务活动；（七）法律、行政法规规定或者国务院批准的其他活动。”</w:t>
            </w:r>
          </w:p>
          <w:p w14:paraId="67A6578D">
            <w:pPr>
              <w:keepNext w:val="0"/>
              <w:keepLines w:val="0"/>
              <w:widowControl/>
              <w:suppressLineNumbers w:val="0"/>
              <w:jc w:val="both"/>
              <w:rPr>
                <w:rFonts w:hint="eastAsia"/>
                <w:color w:val="auto"/>
                <w:sz w:val="24"/>
                <w:szCs w:val="24"/>
                <w:highlight w:val="yellow"/>
                <w:lang w:eastAsia="zh-CN"/>
              </w:rPr>
            </w:pPr>
            <w:r>
              <w:rPr>
                <w:rFonts w:hint="eastAsia"/>
                <w:color w:val="auto"/>
                <w:lang w:eastAsia="zh-CN"/>
              </w:rPr>
              <w:t>本项目</w:t>
            </w:r>
            <w:r>
              <w:rPr>
                <w:rFonts w:hint="eastAsia"/>
                <w:color w:val="auto"/>
                <w:highlight w:val="none"/>
              </w:rPr>
              <w:t>为</w:t>
            </w:r>
            <w:r>
              <w:rPr>
                <w:rFonts w:hint="eastAsia"/>
                <w:color w:val="auto"/>
                <w:highlight w:val="none"/>
                <w:lang w:eastAsia="zh-CN"/>
              </w:rPr>
              <w:t>郝家至银龙公路永红村至银龙村段改扩建工程</w:t>
            </w:r>
            <w:r>
              <w:rPr>
                <w:rFonts w:hint="eastAsia"/>
                <w:color w:val="auto"/>
                <w:spacing w:val="-6"/>
                <w:highlight w:val="none"/>
                <w:lang w:eastAsia="zh-CN"/>
              </w:rPr>
              <w:t>，</w:t>
            </w:r>
            <w:r>
              <w:rPr>
                <w:rFonts w:hint="eastAsia" w:ascii="Times New Roman" w:hAnsi="Times New Roman" w:eastAsia="宋体" w:cs="Times New Roman"/>
                <w:color w:val="auto"/>
                <w:highlight w:val="none"/>
                <w:lang w:val="en-US" w:eastAsia="zh-CN"/>
              </w:rPr>
              <w:t>项目为线性工程，</w:t>
            </w:r>
            <w:r>
              <w:rPr>
                <w:color w:val="auto"/>
              </w:rPr>
              <w:t>工程</w:t>
            </w:r>
            <w:r>
              <w:rPr>
                <w:color w:val="auto"/>
                <w:highlight w:val="none"/>
              </w:rPr>
              <w:t>位于原道路用地范围内，不新增永久占地</w:t>
            </w:r>
            <w:r>
              <w:rPr>
                <w:rFonts w:hint="eastAsia"/>
                <w:color w:val="auto"/>
                <w:highlight w:val="none"/>
                <w:lang w:eastAsia="zh-CN"/>
              </w:rPr>
              <w:t>，</w:t>
            </w:r>
            <w:r>
              <w:rPr>
                <w:rFonts w:hint="eastAsia"/>
                <w:color w:val="auto"/>
                <w:sz w:val="24"/>
                <w:szCs w:val="24"/>
                <w:highlight w:val="none"/>
                <w:lang w:val="en-US" w:eastAsia="zh-CN"/>
              </w:rPr>
              <w:t>项目已取得</w:t>
            </w:r>
            <w:r>
              <w:rPr>
                <w:rFonts w:hint="eastAsia" w:cs="宋体"/>
                <w:color w:val="auto"/>
                <w:kern w:val="0"/>
                <w:szCs w:val="21"/>
                <w:highlight w:val="none"/>
                <w:lang w:eastAsia="zh-CN"/>
              </w:rPr>
              <w:t>宝清县东升省级自然保护区管理局同意，详见附件</w:t>
            </w:r>
            <w:r>
              <w:rPr>
                <w:rFonts w:hint="eastAsia" w:cs="宋体"/>
                <w:color w:val="auto"/>
                <w:kern w:val="0"/>
                <w:szCs w:val="21"/>
                <w:highlight w:val="none"/>
                <w:lang w:val="en-US" w:eastAsia="zh-CN"/>
              </w:rPr>
              <w:t>3</w:t>
            </w:r>
            <w:r>
              <w:rPr>
                <w:rFonts w:hint="eastAsia" w:ascii="Times New Roman" w:hAnsi="Times New Roman" w:eastAsia="宋体" w:cs="宋体"/>
                <w:color w:val="auto"/>
                <w:kern w:val="0"/>
                <w:szCs w:val="21"/>
                <w:highlight w:val="none"/>
                <w:lang w:eastAsia="zh-CN"/>
              </w:rPr>
              <w:t>《</w:t>
            </w:r>
            <w:r>
              <w:rPr>
                <w:rFonts w:hint="eastAsia" w:ascii="Times New Roman" w:hAnsi="Times New Roman" w:eastAsia="宋体" w:cs="宋体"/>
                <w:color w:val="auto"/>
                <w:kern w:val="0"/>
                <w:szCs w:val="21"/>
                <w:highlight w:val="none"/>
                <w:lang w:val="en-US" w:eastAsia="zh-CN"/>
              </w:rPr>
              <w:t>关于同意郝家至银龙公路永红村至银龙村段改扩建工程占用黑龙江东升省级自然保护区的意见</w:t>
            </w:r>
            <w:r>
              <w:rPr>
                <w:rFonts w:hint="eastAsia" w:ascii="Times New Roman" w:hAnsi="Times New Roman" w:eastAsia="宋体" w:cs="宋体"/>
                <w:color w:val="auto"/>
                <w:kern w:val="0"/>
                <w:szCs w:val="21"/>
                <w:highlight w:val="none"/>
                <w:lang w:eastAsia="zh-CN"/>
              </w:rPr>
              <w:t>》</w:t>
            </w:r>
            <w:r>
              <w:rPr>
                <w:color w:val="auto"/>
                <w:highlight w:val="none"/>
              </w:rPr>
              <w:t>。</w:t>
            </w:r>
            <w:r>
              <w:rPr>
                <w:rFonts w:hint="eastAsia" w:ascii="Times New Roman" w:hAnsi="Times New Roman" w:eastAsia="宋体" w:cs="Times New Roman"/>
                <w:color w:val="auto"/>
                <w:highlight w:val="none"/>
                <w:lang w:val="en-US" w:eastAsia="zh-CN"/>
              </w:rPr>
              <w:t>本项目</w:t>
            </w:r>
            <w:r>
              <w:rPr>
                <w:rFonts w:hint="eastAsia" w:cs="Times New Roman"/>
                <w:color w:val="auto"/>
                <w:highlight w:val="none"/>
                <w:lang w:val="en-US" w:eastAsia="zh-CN"/>
              </w:rPr>
              <w:t>现状</w:t>
            </w:r>
            <w:r>
              <w:rPr>
                <w:rFonts w:hint="eastAsia" w:ascii="Times New Roman" w:hAnsi="Times New Roman" w:eastAsia="宋体" w:cs="Times New Roman"/>
                <w:color w:val="auto"/>
                <w:highlight w:val="none"/>
                <w:lang w:val="en-US" w:eastAsia="zh-CN"/>
              </w:rPr>
              <w:t>K</w:t>
            </w:r>
            <w:r>
              <w:rPr>
                <w:rFonts w:hint="eastAsia" w:cs="Times New Roman"/>
                <w:color w:val="auto"/>
                <w:highlight w:val="none"/>
                <w:lang w:val="en-US" w:eastAsia="zh-CN"/>
              </w:rPr>
              <w:t>19</w:t>
            </w:r>
            <w:r>
              <w:rPr>
                <w:rFonts w:hint="eastAsia" w:ascii="Times New Roman" w:hAnsi="Times New Roman" w:eastAsia="宋体" w:cs="Times New Roman"/>
                <w:color w:val="auto"/>
                <w:highlight w:val="none"/>
                <w:lang w:val="en-US" w:eastAsia="zh-CN"/>
              </w:rPr>
              <w:t>+</w:t>
            </w:r>
            <w:r>
              <w:rPr>
                <w:rFonts w:hint="eastAsia" w:cs="Times New Roman"/>
                <w:color w:val="auto"/>
                <w:highlight w:val="none"/>
                <w:lang w:val="en-US" w:eastAsia="zh-CN"/>
              </w:rPr>
              <w:t>142</w:t>
            </w:r>
            <w:r>
              <w:rPr>
                <w:rFonts w:hint="eastAsia" w:ascii="Times New Roman" w:hAnsi="Times New Roman" w:eastAsia="宋体" w:cs="Times New Roman"/>
                <w:color w:val="auto"/>
                <w:highlight w:val="none"/>
                <w:lang w:val="en-US" w:eastAsia="zh-CN"/>
              </w:rPr>
              <w:t>~K</w:t>
            </w:r>
            <w:r>
              <w:rPr>
                <w:rFonts w:hint="eastAsia" w:cs="Times New Roman"/>
                <w:color w:val="auto"/>
                <w:highlight w:val="none"/>
                <w:lang w:val="en-US" w:eastAsia="zh-CN"/>
              </w:rPr>
              <w:t>20</w:t>
            </w:r>
            <w:r>
              <w:rPr>
                <w:rFonts w:hint="eastAsia" w:ascii="Times New Roman" w:hAnsi="Times New Roman" w:eastAsia="宋体" w:cs="Times New Roman"/>
                <w:color w:val="auto"/>
                <w:highlight w:val="none"/>
                <w:lang w:val="en-US" w:eastAsia="zh-CN"/>
              </w:rPr>
              <w:t>+7</w:t>
            </w:r>
            <w:r>
              <w:rPr>
                <w:rFonts w:hint="eastAsia" w:cs="Times New Roman"/>
                <w:color w:val="auto"/>
                <w:highlight w:val="none"/>
                <w:lang w:val="en-US" w:eastAsia="zh-CN"/>
              </w:rPr>
              <w:t>0</w:t>
            </w:r>
            <w:r>
              <w:rPr>
                <w:rFonts w:hint="eastAsia" w:ascii="Times New Roman" w:hAnsi="Times New Roman" w:eastAsia="宋体" w:cs="Times New Roman"/>
                <w:color w:val="auto"/>
                <w:highlight w:val="none"/>
                <w:lang w:val="en-US" w:eastAsia="zh-CN"/>
              </w:rPr>
              <w:t>0穿越黑龙江东升省级自然保护区</w:t>
            </w:r>
            <w:r>
              <w:rPr>
                <w:rFonts w:hint="eastAsia" w:cs="Times New Roman"/>
                <w:color w:val="auto"/>
                <w:highlight w:val="none"/>
                <w:lang w:val="en-US" w:eastAsia="zh-CN"/>
              </w:rPr>
              <w:t>缓冲</w:t>
            </w:r>
            <w:r>
              <w:rPr>
                <w:rFonts w:hint="eastAsia" w:ascii="Times New Roman" w:hAnsi="Times New Roman" w:eastAsia="宋体" w:cs="Times New Roman"/>
                <w:color w:val="auto"/>
                <w:highlight w:val="none"/>
                <w:lang w:val="en-US" w:eastAsia="zh-CN"/>
              </w:rPr>
              <w:t>区</w:t>
            </w:r>
            <w:r>
              <w:rPr>
                <w:rFonts w:hint="eastAsia" w:cs="Times New Roman"/>
                <w:color w:val="auto"/>
                <w:highlight w:val="none"/>
                <w:lang w:val="en-US" w:eastAsia="zh-CN"/>
              </w:rPr>
              <w:t>，自然保护区优化整合后</w:t>
            </w:r>
            <w:r>
              <w:rPr>
                <w:rFonts w:hint="eastAsia" w:ascii="Times New Roman" w:hAnsi="Times New Roman" w:eastAsia="宋体" w:cs="Times New Roman"/>
                <w:color w:val="auto"/>
                <w:highlight w:val="none"/>
                <w:lang w:val="en-US" w:eastAsia="zh-CN"/>
              </w:rPr>
              <w:t>穿越</w:t>
            </w:r>
            <w:r>
              <w:rPr>
                <w:rFonts w:hint="eastAsia" w:cs="Times New Roman"/>
                <w:color w:val="auto"/>
                <w:highlight w:val="none"/>
                <w:lang w:val="en-US" w:eastAsia="zh-CN"/>
              </w:rPr>
              <w:t>段涉及</w:t>
            </w:r>
            <w:r>
              <w:rPr>
                <w:rFonts w:hint="eastAsia" w:ascii="Times New Roman" w:hAnsi="Times New Roman" w:eastAsia="宋体" w:cs="Times New Roman"/>
                <w:color w:val="auto"/>
                <w:highlight w:val="none"/>
                <w:lang w:val="en-US" w:eastAsia="zh-CN"/>
              </w:rPr>
              <w:t>黑龙江东升省级自然保护区核心保护区</w:t>
            </w:r>
            <w:r>
              <w:rPr>
                <w:rFonts w:hint="eastAsia" w:cs="Times New Roman"/>
                <w:color w:val="auto"/>
                <w:highlight w:val="none"/>
                <w:lang w:val="en-US" w:eastAsia="zh-CN"/>
              </w:rPr>
              <w:t>和</w:t>
            </w:r>
            <w:r>
              <w:rPr>
                <w:rFonts w:hint="eastAsia" w:ascii="Times New Roman" w:hAnsi="Times New Roman" w:eastAsia="宋体" w:cs="Times New Roman"/>
                <w:color w:val="auto"/>
                <w:highlight w:val="none"/>
                <w:lang w:val="en-US" w:eastAsia="zh-CN"/>
              </w:rPr>
              <w:t>一般控制区。黑龙江东升省级自然保护区位于黑龙江省宝清县东北部，位于挠力河与小挠力河分合交汇处，本项目不新增永久占地</w:t>
            </w:r>
            <w:r>
              <w:rPr>
                <w:rFonts w:hint="eastAsia" w:cs="Times New Roman"/>
                <w:color w:val="auto"/>
                <w:highlight w:val="none"/>
                <w:lang w:val="en-US" w:eastAsia="zh-CN"/>
              </w:rPr>
              <w:t>，</w:t>
            </w:r>
            <w:r>
              <w:rPr>
                <w:rFonts w:ascii="宋体" w:hAnsi="宋体" w:eastAsia="宋体" w:cs="宋体"/>
                <w:color w:val="auto"/>
                <w:sz w:val="24"/>
                <w:szCs w:val="24"/>
              </w:rPr>
              <w:t>穿越黑龙江东升省级自然保护区路段对现状既有路面</w:t>
            </w:r>
            <w:r>
              <w:rPr>
                <w:rFonts w:hint="eastAsia" w:ascii="宋体" w:hAnsi="宋体" w:cs="宋体"/>
                <w:color w:val="auto"/>
                <w:sz w:val="24"/>
                <w:szCs w:val="24"/>
                <w:lang w:eastAsia="zh-CN"/>
              </w:rPr>
              <w:t>实施养护维修作业</w:t>
            </w:r>
            <w:r>
              <w:rPr>
                <w:rFonts w:ascii="宋体" w:hAnsi="宋体" w:eastAsia="宋体" w:cs="宋体"/>
                <w:color w:val="auto"/>
                <w:sz w:val="24"/>
                <w:szCs w:val="24"/>
              </w:rPr>
              <w:t>，不新增道路占地、不拓宽路面及路基。</w:t>
            </w:r>
            <w:r>
              <w:rPr>
                <w:rFonts w:hint="eastAsia" w:cs="Times New Roman"/>
                <w:color w:val="auto"/>
                <w:highlight w:val="none"/>
                <w:lang w:val="en-US" w:eastAsia="zh-CN"/>
              </w:rPr>
              <w:t>本</w:t>
            </w:r>
            <w:r>
              <w:rPr>
                <w:rFonts w:hint="eastAsia" w:cs="宋体"/>
                <w:color w:val="auto"/>
                <w:kern w:val="0"/>
                <w:szCs w:val="21"/>
                <w:highlight w:val="none"/>
              </w:rPr>
              <w:t>项目属于上述“</w:t>
            </w:r>
            <w:r>
              <w:rPr>
                <w:rFonts w:hint="eastAsia" w:ascii="Times New Roman" w:hAnsi="Times New Roman" w:eastAsia="宋体" w:cs="Times New Roman"/>
                <w:color w:val="auto"/>
                <w:highlight w:val="none"/>
                <w:lang w:val="en-US" w:eastAsia="zh-CN"/>
              </w:rPr>
              <w:t>第二十六条</w:t>
            </w:r>
            <w:r>
              <w:rPr>
                <w:rFonts w:hint="eastAsia" w:cs="Times New Roman"/>
                <w:color w:val="auto"/>
                <w:highlight w:val="none"/>
                <w:lang w:val="en-US" w:eastAsia="zh-CN"/>
              </w:rPr>
              <w:t xml:space="preserve"> </w:t>
            </w:r>
            <w:r>
              <w:rPr>
                <w:rFonts w:hint="eastAsia" w:ascii="Times New Roman" w:hAnsi="Times New Roman" w:eastAsia="宋体" w:cs="Times New Roman"/>
                <w:color w:val="auto"/>
                <w:highlight w:val="none"/>
                <w:lang w:val="en-US" w:eastAsia="zh-CN"/>
              </w:rPr>
              <w:t>（二）原有居民必要的生产生活活动，以及确需保留、无法避让的已有重要基础设施的运行、维护、改造；第二十七条</w:t>
            </w:r>
            <w:r>
              <w:rPr>
                <w:rFonts w:hint="eastAsia" w:cs="Times New Roman"/>
                <w:color w:val="auto"/>
                <w:highlight w:val="none"/>
                <w:lang w:val="en-US" w:eastAsia="zh-CN"/>
              </w:rPr>
              <w:t xml:space="preserve"> </w:t>
            </w:r>
            <w:r>
              <w:rPr>
                <w:rFonts w:hint="eastAsia" w:ascii="Times New Roman" w:hAnsi="Times New Roman" w:eastAsia="宋体" w:cs="Times New Roman"/>
                <w:color w:val="auto"/>
                <w:lang w:val="en-US" w:eastAsia="zh-CN"/>
              </w:rPr>
              <w:t>（二）符合国土空间规划且无法避让的重要基础设施的建设、运行和维护</w:t>
            </w:r>
            <w:r>
              <w:rPr>
                <w:rFonts w:hint="eastAsia" w:cs="Times New Roman"/>
                <w:color w:val="auto"/>
                <w:lang w:val="en-US" w:eastAsia="zh-CN"/>
              </w:rPr>
              <w:t>。</w:t>
            </w:r>
            <w:r>
              <w:rPr>
                <w:rFonts w:hint="eastAsia" w:cs="宋体"/>
                <w:color w:val="auto"/>
                <w:kern w:val="0"/>
                <w:sz w:val="24"/>
                <w:szCs w:val="24"/>
                <w:highlight w:val="none"/>
              </w:rPr>
              <w:t>”</w:t>
            </w:r>
            <w:r>
              <w:rPr>
                <w:rFonts w:hint="eastAsia"/>
                <w:color w:val="auto"/>
                <w:sz w:val="24"/>
                <w:szCs w:val="24"/>
                <w:highlight w:val="none"/>
              </w:rPr>
              <w:t>穿越段设置生态保护与恢复措施，加强生态监测，可减缓对</w:t>
            </w:r>
            <w:r>
              <w:rPr>
                <w:rFonts w:hint="eastAsia"/>
                <w:color w:val="auto"/>
                <w:sz w:val="24"/>
                <w:szCs w:val="24"/>
                <w:highlight w:val="none"/>
                <w:lang w:eastAsia="zh-CN"/>
              </w:rPr>
              <w:t>黑龙江东升省级自然保护区</w:t>
            </w:r>
            <w:r>
              <w:rPr>
                <w:rFonts w:hint="eastAsia"/>
                <w:color w:val="auto"/>
                <w:sz w:val="24"/>
                <w:szCs w:val="24"/>
                <w:highlight w:val="none"/>
              </w:rPr>
              <w:t>的影响。</w:t>
            </w:r>
          </w:p>
          <w:p w14:paraId="03F4DFF5">
            <w:pPr>
              <w:pStyle w:val="8"/>
              <w:keepNext w:val="0"/>
              <w:keepLines w:val="0"/>
              <w:pageBreakBefore w:val="0"/>
              <w:widowControl w:val="0"/>
              <w:kinsoku/>
              <w:wordWrap/>
              <w:overflowPunct/>
              <w:topLinePunct w:val="0"/>
              <w:autoSpaceDE/>
              <w:autoSpaceDN/>
              <w:bidi w:val="0"/>
              <w:adjustRightInd/>
              <w:snapToGrid/>
              <w:spacing w:after="0" w:afterLines="0" w:line="360" w:lineRule="auto"/>
              <w:textAlignment w:val="auto"/>
              <w:rPr>
                <w:rFonts w:hint="eastAsia"/>
                <w:color w:val="auto"/>
                <w:sz w:val="24"/>
                <w:szCs w:val="24"/>
                <w:lang w:val="en-US" w:eastAsia="zh-CN"/>
              </w:rPr>
            </w:pPr>
            <w:r>
              <w:rPr>
                <w:rFonts w:hint="eastAsia"/>
                <w:color w:val="auto"/>
                <w:sz w:val="24"/>
                <w:szCs w:val="24"/>
                <w:highlight w:val="none"/>
                <w:lang w:eastAsia="zh-CN"/>
              </w:rPr>
              <w:t>综上所述，本项目符合《中华人民共和国自然保护区条例》的要求。</w:t>
            </w:r>
          </w:p>
          <w:p w14:paraId="579C9008">
            <w:pPr>
              <w:autoSpaceDE w:val="0"/>
              <w:autoSpaceDN w:val="0"/>
              <w:adjustRightInd w:val="0"/>
              <w:snapToGrid w:val="0"/>
              <w:ind w:firstLine="480"/>
              <w:rPr>
                <w:rFonts w:hint="eastAsia"/>
                <w:color w:val="auto"/>
                <w:szCs w:val="21"/>
                <w:highlight w:val="none"/>
                <w:lang w:eastAsia="zh-CN"/>
              </w:rPr>
            </w:pPr>
            <w:r>
              <w:rPr>
                <w:rFonts w:hint="eastAsia"/>
                <w:color w:val="auto"/>
                <w:sz w:val="24"/>
                <w:highlight w:val="none"/>
                <w:lang w:val="en-US" w:eastAsia="zh-CN"/>
              </w:rPr>
              <w:t>10</w:t>
            </w:r>
            <w:r>
              <w:rPr>
                <w:rFonts w:hint="eastAsia" w:ascii="Times New Roman" w:hAnsi="Times New Roman"/>
                <w:color w:val="auto"/>
                <w:sz w:val="24"/>
                <w:highlight w:val="none"/>
                <w:lang w:val="en-US" w:eastAsia="zh-CN"/>
              </w:rPr>
              <w:t>、</w:t>
            </w:r>
            <w:r>
              <w:rPr>
                <w:rFonts w:hint="eastAsia" w:ascii="宋体" w:hAnsi="宋体"/>
                <w:color w:val="auto"/>
                <w:highlight w:val="none"/>
                <w:lang w:val="en-US" w:eastAsia="zh-CN"/>
              </w:rPr>
              <w:t>与</w:t>
            </w:r>
            <w:r>
              <w:rPr>
                <w:rFonts w:hint="eastAsia"/>
                <w:color w:val="auto"/>
                <w:szCs w:val="21"/>
                <w:highlight w:val="none"/>
              </w:rPr>
              <w:t>《国家级自然公园管理办法（试行）》（林保规〔2023〕4号）</w:t>
            </w:r>
            <w:r>
              <w:rPr>
                <w:rFonts w:hint="eastAsia"/>
                <w:color w:val="auto"/>
                <w:szCs w:val="21"/>
                <w:highlight w:val="none"/>
                <w:lang w:eastAsia="zh-CN"/>
              </w:rPr>
              <w:t>符合性分析</w:t>
            </w:r>
          </w:p>
          <w:p w14:paraId="32BD75F1">
            <w:pPr>
              <w:rPr>
                <w:rFonts w:hint="eastAsia"/>
                <w:color w:val="auto"/>
              </w:rPr>
            </w:pPr>
            <w:r>
              <w:rPr>
                <w:rFonts w:hint="eastAsia"/>
                <w:color w:val="auto"/>
                <w:lang w:eastAsia="zh-CN"/>
              </w:rPr>
              <w:t>根据</w:t>
            </w:r>
            <w:r>
              <w:rPr>
                <w:rFonts w:hint="eastAsia"/>
                <w:color w:val="auto"/>
                <w:szCs w:val="21"/>
              </w:rPr>
              <w:t>《国家级自然公园管理办法（试行）》（林保规〔2023〕4号）</w:t>
            </w:r>
            <w:r>
              <w:rPr>
                <w:rFonts w:hint="eastAsia"/>
                <w:color w:val="auto"/>
                <w:szCs w:val="21"/>
                <w:lang w:eastAsia="zh-CN"/>
              </w:rPr>
              <w:t>中</w:t>
            </w:r>
            <w:r>
              <w:rPr>
                <w:rFonts w:hint="eastAsia"/>
                <w:color w:val="auto"/>
              </w:rPr>
              <w:t>第十九条</w:t>
            </w:r>
            <w:r>
              <w:rPr>
                <w:rFonts w:hint="eastAsia"/>
                <w:color w:val="auto"/>
                <w:lang w:eastAsia="zh-CN"/>
              </w:rPr>
              <w:t>：</w:t>
            </w:r>
            <w:r>
              <w:rPr>
                <w:rFonts w:hint="eastAsia"/>
                <w:color w:val="auto"/>
              </w:rPr>
              <w:t>国家级自然公园范围内除国家重大项目外，仅允许对生态功能不造成破坏的有限人为活动：（一）自然公园内居民和其他合法权益主体依法依规开展的生产生活及设施建设。（二）符合自然公园保护管理要求的文化、体育活动和必要的配套设施建设。（三）符合生态保护红线管控要求的其他活动和设施建设。（四）法律法规和国家政策允许在自然公园内开展的其他活动。</w:t>
            </w:r>
          </w:p>
          <w:p w14:paraId="3DD21683">
            <w:pPr>
              <w:spacing w:beforeLines="0" w:afterLines="0"/>
              <w:jc w:val="both"/>
              <w:rPr>
                <w:rFonts w:hint="eastAsia"/>
                <w:color w:val="auto"/>
                <w:lang w:eastAsia="zh-CN"/>
              </w:rPr>
            </w:pPr>
            <w:r>
              <w:rPr>
                <w:rFonts w:hint="eastAsia"/>
                <w:color w:val="auto"/>
                <w:lang w:eastAsia="zh-CN"/>
              </w:rPr>
              <w:t>本项目</w:t>
            </w:r>
            <w:r>
              <w:rPr>
                <w:rFonts w:hint="eastAsia"/>
                <w:color w:val="auto"/>
                <w:highlight w:val="none"/>
              </w:rPr>
              <w:t>为</w:t>
            </w:r>
            <w:r>
              <w:rPr>
                <w:rFonts w:hint="eastAsia"/>
                <w:color w:val="auto"/>
                <w:highlight w:val="none"/>
                <w:lang w:eastAsia="zh-CN"/>
              </w:rPr>
              <w:t>郝家至银龙公路永红村至银龙村段改扩建工程</w:t>
            </w:r>
            <w:r>
              <w:rPr>
                <w:rFonts w:hint="eastAsia"/>
                <w:color w:val="auto"/>
                <w:spacing w:val="-6"/>
                <w:highlight w:val="none"/>
                <w:lang w:eastAsia="zh-CN"/>
              </w:rPr>
              <w:t>，</w:t>
            </w:r>
            <w:r>
              <w:rPr>
                <w:rFonts w:hint="eastAsia"/>
                <w:color w:val="auto"/>
                <w:highlight w:val="none"/>
                <w:lang w:val="en-US" w:eastAsia="zh-CN"/>
              </w:rPr>
              <w:t>线路桩号K40+900～K51+600段约10.7km穿越黑龙江完达山国家级森林公园一般游憩区，</w:t>
            </w:r>
            <w:r>
              <w:rPr>
                <w:rFonts w:hint="eastAsia" w:ascii="Times New Roman" w:hAnsi="Times New Roman" w:eastAsia="宋体" w:cs="Times New Roman"/>
                <w:color w:val="auto"/>
                <w:highlight w:val="none"/>
                <w:lang w:eastAsia="zh-CN"/>
              </w:rPr>
              <w:t>本项目是进入森林公园内村屯的唯一公路</w:t>
            </w:r>
            <w:r>
              <w:rPr>
                <w:color w:val="auto"/>
                <w:highlight w:val="none"/>
              </w:rPr>
              <w:t>。</w:t>
            </w:r>
            <w:r>
              <w:rPr>
                <w:rFonts w:hint="eastAsia" w:ascii="Times New Roman" w:hAnsi="Times New Roman" w:eastAsia="宋体" w:cs="Times New Roman"/>
                <w:color w:val="000000" w:themeColor="text1"/>
                <w:lang w:eastAsia="zh-CN"/>
                <w14:textFill>
                  <w14:solidFill>
                    <w14:schemeClr w14:val="tx1"/>
                  </w14:solidFill>
                </w14:textFill>
              </w:rPr>
              <w:t>项目已取得宝清县林业和草原局同意，详见</w:t>
            </w:r>
            <w:r>
              <w:rPr>
                <w:rFonts w:hint="eastAsia" w:cs="Times New Roman"/>
                <w:color w:val="000000" w:themeColor="text1"/>
                <w:lang w:eastAsia="zh-CN"/>
                <w14:textFill>
                  <w14:solidFill>
                    <w14:schemeClr w14:val="tx1"/>
                  </w14:solidFill>
                </w14:textFill>
              </w:rPr>
              <w:t>附件</w:t>
            </w:r>
            <w:r>
              <w:rPr>
                <w:rFonts w:hint="eastAsia" w:cs="Times New Roman"/>
                <w:color w:val="000000" w:themeColor="text1"/>
                <w:lang w:val="en-US" w:eastAsia="zh-CN"/>
                <w14:textFill>
                  <w14:solidFill>
                    <w14:schemeClr w14:val="tx1"/>
                  </w14:solidFill>
                </w14:textFill>
              </w:rPr>
              <w:t>5《</w:t>
            </w:r>
            <w:r>
              <w:rPr>
                <w:rFonts w:hint="eastAsia" w:ascii="Times New Roman" w:hAnsi="Times New Roman" w:eastAsia="宋体" w:cs="Times New Roman"/>
                <w:color w:val="auto"/>
                <w:highlight w:val="none"/>
                <w:lang w:val="en-US" w:eastAsia="zh-CN"/>
              </w:rPr>
              <w:t>关于申请郝家至银龙公路永红村至银龙村段改扩建工程占用黑龙江完达山国家级森林公园的复函》。</w:t>
            </w:r>
            <w:r>
              <w:rPr>
                <w:color w:val="auto"/>
                <w:highlight w:val="none"/>
              </w:rPr>
              <w:t>本项</w:t>
            </w:r>
            <w:r>
              <w:rPr>
                <w:color w:val="auto"/>
              </w:rPr>
              <w:t>目</w:t>
            </w:r>
            <w:r>
              <w:rPr>
                <w:rFonts w:hint="eastAsia"/>
                <w:color w:val="auto"/>
                <w:szCs w:val="21"/>
                <w:highlight w:val="none"/>
              </w:rPr>
              <w:t>不设置取</w:t>
            </w:r>
            <w:r>
              <w:rPr>
                <w:rFonts w:hint="eastAsia"/>
                <w:color w:val="auto"/>
                <w:szCs w:val="21"/>
                <w:highlight w:val="none"/>
                <w:lang w:eastAsia="zh-CN"/>
              </w:rPr>
              <w:t>、弃</w:t>
            </w:r>
            <w:r>
              <w:rPr>
                <w:rFonts w:hint="eastAsia"/>
                <w:color w:val="auto"/>
                <w:szCs w:val="21"/>
                <w:highlight w:val="none"/>
              </w:rPr>
              <w:t>土场</w:t>
            </w:r>
            <w:r>
              <w:rPr>
                <w:rFonts w:hint="eastAsia"/>
                <w:color w:val="auto"/>
                <w:highlight w:val="none"/>
                <w:lang w:eastAsia="zh-CN"/>
              </w:rPr>
              <w:t>、</w:t>
            </w:r>
            <w:r>
              <w:rPr>
                <w:rFonts w:hint="eastAsia"/>
                <w:color w:val="auto"/>
                <w:szCs w:val="21"/>
                <w:highlight w:val="none"/>
              </w:rPr>
              <w:t>施工驻地；项目</w:t>
            </w:r>
            <w:r>
              <w:rPr>
                <w:rFonts w:hint="eastAsia"/>
                <w:color w:val="auto"/>
                <w:szCs w:val="21"/>
                <w:highlight w:val="none"/>
                <w:lang w:eastAsia="zh-CN"/>
              </w:rPr>
              <w:t>堆料场和</w:t>
            </w:r>
            <w:r>
              <w:rPr>
                <w:rFonts w:hint="eastAsia" w:cs="Times New Roman"/>
                <w:color w:val="auto"/>
                <w:highlight w:val="none"/>
                <w:vertAlign w:val="baseline"/>
                <w:lang w:eastAsia="zh-CN"/>
              </w:rPr>
              <w:t>施</w:t>
            </w:r>
            <w:r>
              <w:rPr>
                <w:rFonts w:hint="eastAsia"/>
                <w:color w:val="auto"/>
                <w:highlight w:val="none"/>
              </w:rPr>
              <w:t>工便道</w:t>
            </w:r>
            <w:r>
              <w:rPr>
                <w:rFonts w:hint="eastAsia"/>
                <w:color w:val="auto"/>
                <w:szCs w:val="21"/>
                <w:highlight w:val="none"/>
              </w:rPr>
              <w:t>设置在永久占地范围内。</w:t>
            </w:r>
            <w:r>
              <w:rPr>
                <w:rFonts w:hint="eastAsia"/>
                <w:color w:val="auto"/>
                <w:szCs w:val="21"/>
                <w:highlight w:val="none"/>
                <w:lang w:eastAsia="zh-CN"/>
              </w:rPr>
              <w:t>本</w:t>
            </w:r>
            <w:r>
              <w:rPr>
                <w:rFonts w:hint="eastAsia"/>
                <w:color w:val="auto"/>
                <w:highlight w:val="none"/>
              </w:rPr>
              <w:t>项目</w:t>
            </w:r>
            <w:r>
              <w:rPr>
                <w:rFonts w:hint="eastAsia"/>
                <w:color w:val="auto"/>
                <w:highlight w:val="none"/>
                <w:lang w:eastAsia="zh-CN"/>
              </w:rPr>
              <w:t>临时占地包括</w:t>
            </w:r>
            <w:r>
              <w:rPr>
                <w:rFonts w:hint="eastAsia"/>
                <w:color w:val="auto"/>
                <w:highlight w:val="none"/>
                <w:lang w:val="en-US" w:eastAsia="zh-CN"/>
              </w:rPr>
              <w:t>1处拌和站，</w:t>
            </w:r>
            <w:r>
              <w:rPr>
                <w:rFonts w:hint="eastAsia" w:cs="Times New Roman"/>
                <w:color w:val="auto"/>
                <w:highlight w:val="none"/>
                <w:vertAlign w:val="baseline"/>
                <w:lang w:eastAsia="zh-CN"/>
              </w:rPr>
              <w:t>占地类型为</w:t>
            </w:r>
            <w:r>
              <w:rPr>
                <w:rFonts w:hint="eastAsia" w:cs="Times New Roman"/>
                <w:color w:val="auto"/>
                <w:highlight w:val="none"/>
                <w:vertAlign w:val="baseline"/>
                <w:lang w:val="en-US" w:eastAsia="zh-CN"/>
              </w:rPr>
              <w:t>设施农用地、裸土地，未设置在</w:t>
            </w:r>
            <w:r>
              <w:rPr>
                <w:rFonts w:hint="eastAsia"/>
                <w:color w:val="auto"/>
                <w:highlight w:val="none"/>
                <w:lang w:val="en-US" w:eastAsia="zh-CN"/>
              </w:rPr>
              <w:t>黑龙江完达山国家级森林公园内</w:t>
            </w:r>
            <w:r>
              <w:rPr>
                <w:rFonts w:hint="eastAsia"/>
                <w:color w:val="auto"/>
                <w:lang w:eastAsia="zh-CN"/>
              </w:rPr>
              <w:t>。</w:t>
            </w:r>
            <w:r>
              <w:rPr>
                <w:rFonts w:hint="eastAsia"/>
                <w:color w:val="auto"/>
              </w:rPr>
              <w:t>本项目</w:t>
            </w:r>
            <w:r>
              <w:rPr>
                <w:rFonts w:hint="eastAsia"/>
                <w:color w:val="auto"/>
                <w:lang w:eastAsia="zh-CN"/>
              </w:rPr>
              <w:t>全线利用既有公路路段，不新增永久占地，</w:t>
            </w:r>
            <w:r>
              <w:rPr>
                <w:rFonts w:ascii="宋体" w:hAnsi="宋体" w:eastAsia="宋体" w:cs="宋体"/>
                <w:color w:val="auto"/>
                <w:sz w:val="24"/>
                <w:szCs w:val="24"/>
              </w:rPr>
              <w:t>穿越</w:t>
            </w:r>
            <w:r>
              <w:rPr>
                <w:rFonts w:hint="eastAsia"/>
                <w:color w:val="auto"/>
                <w:highlight w:val="none"/>
                <w:lang w:val="en-US" w:eastAsia="zh-CN"/>
              </w:rPr>
              <w:t>森林公园</w:t>
            </w:r>
            <w:r>
              <w:rPr>
                <w:rFonts w:ascii="宋体" w:hAnsi="宋体" w:eastAsia="宋体" w:cs="宋体"/>
                <w:color w:val="auto"/>
                <w:sz w:val="24"/>
                <w:szCs w:val="24"/>
              </w:rPr>
              <w:t>路段对现状既有路面</w:t>
            </w:r>
            <w:r>
              <w:rPr>
                <w:rFonts w:hint="eastAsia" w:ascii="宋体" w:hAnsi="宋体" w:cs="宋体"/>
                <w:color w:val="auto"/>
                <w:sz w:val="24"/>
                <w:szCs w:val="24"/>
                <w:lang w:eastAsia="zh-CN"/>
              </w:rPr>
              <w:t>实施养护维修作业</w:t>
            </w:r>
            <w:r>
              <w:rPr>
                <w:rFonts w:ascii="宋体" w:hAnsi="宋体" w:eastAsia="宋体" w:cs="宋体"/>
                <w:color w:val="auto"/>
                <w:sz w:val="24"/>
                <w:szCs w:val="24"/>
              </w:rPr>
              <w:t>，不新增道路占地、不拓宽路面及路基</w:t>
            </w:r>
            <w:r>
              <w:rPr>
                <w:rFonts w:hint="eastAsia" w:ascii="Times New Roman" w:hAnsi="Times New Roman"/>
                <w:color w:val="auto"/>
                <w:sz w:val="24"/>
                <w:szCs w:val="24"/>
                <w:highlight w:val="none"/>
                <w:lang w:eastAsia="zh-CN"/>
              </w:rPr>
              <w:t>，</w:t>
            </w:r>
            <w:r>
              <w:rPr>
                <w:rFonts w:hint="eastAsia"/>
                <w:color w:val="auto"/>
                <w:lang w:eastAsia="zh-CN"/>
              </w:rPr>
              <w:t>现有路基防护状况良好可直接利用，</w:t>
            </w:r>
            <w:r>
              <w:rPr>
                <w:rFonts w:hint="default"/>
                <w:color w:val="auto"/>
                <w:lang w:val="en-US" w:eastAsia="zh-CN"/>
              </w:rPr>
              <w:t>路堤采用</w:t>
            </w:r>
            <w:r>
              <w:rPr>
                <w:rFonts w:hint="eastAsia"/>
                <w:color w:val="auto"/>
                <w:lang w:val="en-US" w:eastAsia="zh-CN"/>
              </w:rPr>
              <w:t>植草</w:t>
            </w:r>
            <w:r>
              <w:rPr>
                <w:rFonts w:hint="default"/>
                <w:color w:val="auto"/>
                <w:lang w:val="en-US" w:eastAsia="zh-CN"/>
              </w:rPr>
              <w:t>防护型式</w:t>
            </w:r>
            <w:r>
              <w:rPr>
                <w:rFonts w:hint="eastAsia"/>
                <w:color w:val="auto"/>
                <w:lang w:val="en-US" w:eastAsia="zh-CN"/>
              </w:rPr>
              <w:t>。</w:t>
            </w:r>
            <w:r>
              <w:rPr>
                <w:rFonts w:hint="eastAsia"/>
                <w:color w:val="auto"/>
              </w:rPr>
              <w:t>本项目的建设不破坏生物资源多样性、生态群落的完整性，对区域自然景观和植被影响较小</w:t>
            </w:r>
            <w:r>
              <w:rPr>
                <w:rFonts w:hint="eastAsia"/>
                <w:color w:val="auto"/>
                <w:lang w:eastAsia="zh-CN"/>
              </w:rPr>
              <w:t>。</w:t>
            </w:r>
          </w:p>
          <w:p w14:paraId="3DEFB020">
            <w:pPr>
              <w:spacing w:beforeLines="0" w:afterLines="0"/>
              <w:jc w:val="left"/>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因此</w:t>
            </w:r>
            <w:r>
              <w:rPr>
                <w:rFonts w:hint="eastAsia" w:cs="Times New Roman"/>
                <w:color w:val="auto"/>
                <w:lang w:eastAsia="zh-CN"/>
              </w:rPr>
              <w:t>，</w:t>
            </w:r>
            <w:r>
              <w:rPr>
                <w:rFonts w:hint="eastAsia" w:ascii="Times New Roman" w:hAnsi="Times New Roman" w:eastAsia="宋体" w:cs="Times New Roman"/>
                <w:color w:val="auto"/>
                <w:lang w:eastAsia="zh-CN"/>
              </w:rPr>
              <w:t>本项目符合</w:t>
            </w:r>
            <w:r>
              <w:rPr>
                <w:rFonts w:hint="eastAsia"/>
                <w:color w:val="auto"/>
                <w:szCs w:val="21"/>
              </w:rPr>
              <w:t>《国家级自然公园管理办法（试行）》（林保规〔2023〕4号）</w:t>
            </w:r>
            <w:r>
              <w:rPr>
                <w:rFonts w:hint="eastAsia"/>
                <w:color w:val="auto"/>
                <w:szCs w:val="21"/>
                <w:lang w:eastAsia="zh-CN"/>
              </w:rPr>
              <w:t>要求。</w:t>
            </w:r>
          </w:p>
          <w:p w14:paraId="447F990A">
            <w:pPr>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11</w:t>
            </w:r>
            <w:r>
              <w:rPr>
                <w:rFonts w:hint="eastAsia" w:ascii="Times New Roman" w:hAnsi="Times New Roman" w:eastAsia="宋体" w:cs="Times New Roman"/>
                <w:color w:val="auto"/>
                <w:highlight w:val="none"/>
                <w:lang w:val="en-US" w:eastAsia="zh-CN"/>
              </w:rPr>
              <w:t>、与《黑龙江省森林公园管理条例》符合性分析</w:t>
            </w:r>
          </w:p>
          <w:p w14:paraId="54C77B90">
            <w:pPr>
              <w:autoSpaceDE w:val="0"/>
              <w:autoSpaceDN w:val="0"/>
              <w:adjustRightInd w:val="0"/>
              <w:snapToGrid w:val="0"/>
              <w:ind w:firstLine="480"/>
              <w:rPr>
                <w:rFonts w:hint="default"/>
                <w:color w:val="auto"/>
                <w:szCs w:val="21"/>
                <w:lang w:val="en-US" w:eastAsia="zh-CN"/>
              </w:rPr>
            </w:pPr>
            <w:r>
              <w:rPr>
                <w:rFonts w:hint="eastAsia"/>
                <w:color w:val="auto"/>
                <w:szCs w:val="21"/>
                <w:lang w:eastAsia="zh-CN"/>
              </w:rPr>
              <w:t>根据《</w:t>
            </w:r>
            <w:r>
              <w:rPr>
                <w:color w:val="auto"/>
                <w:szCs w:val="21"/>
              </w:rPr>
              <w:t>黑龙江省森林公园管理条例</w:t>
            </w:r>
            <w:r>
              <w:rPr>
                <w:rFonts w:hint="eastAsia"/>
                <w:color w:val="auto"/>
                <w:szCs w:val="21"/>
                <w:lang w:eastAsia="zh-CN"/>
              </w:rPr>
              <w:t>》</w:t>
            </w:r>
            <w:r>
              <w:rPr>
                <w:rFonts w:hint="default"/>
                <w:color w:val="auto"/>
                <w:szCs w:val="21"/>
                <w:lang w:val="en-US" w:eastAsia="zh-CN"/>
              </w:rPr>
              <w:t>第十五条</w:t>
            </w:r>
            <w:r>
              <w:rPr>
                <w:rFonts w:hint="eastAsia"/>
                <w:color w:val="auto"/>
                <w:szCs w:val="21"/>
                <w:lang w:val="en-US" w:eastAsia="zh-CN"/>
              </w:rPr>
              <w:t>：</w:t>
            </w:r>
            <w:r>
              <w:rPr>
                <w:rFonts w:hint="default"/>
                <w:color w:val="auto"/>
                <w:szCs w:val="21"/>
                <w:lang w:val="en-US" w:eastAsia="zh-CN"/>
              </w:rPr>
              <w:t>任何单位和个人应当执行森林公园总体规划。禁止在森林公园范围内实施违反森林公园总体规划、破坏自然资源的行为。禁止擅自征用、占用森林公园的林地</w:t>
            </w:r>
            <w:r>
              <w:rPr>
                <w:rFonts w:hint="eastAsia"/>
                <w:color w:val="auto"/>
                <w:szCs w:val="21"/>
                <w:lang w:val="en-US" w:eastAsia="zh-CN"/>
              </w:rPr>
              <w:t>，</w:t>
            </w:r>
            <w:r>
              <w:rPr>
                <w:rFonts w:hint="default"/>
                <w:color w:val="auto"/>
                <w:szCs w:val="21"/>
                <w:lang w:val="en-US" w:eastAsia="zh-CN"/>
              </w:rPr>
              <w:t>或者隐瞒森林公园身份办理征用、占用林地手续</w:t>
            </w:r>
            <w:r>
              <w:rPr>
                <w:rFonts w:hint="eastAsia"/>
                <w:color w:val="auto"/>
                <w:szCs w:val="21"/>
                <w:lang w:val="en-US" w:eastAsia="zh-CN"/>
              </w:rPr>
              <w:t>。</w:t>
            </w:r>
            <w:r>
              <w:rPr>
                <w:rFonts w:hint="default"/>
                <w:color w:val="auto"/>
                <w:szCs w:val="21"/>
                <w:lang w:val="en-US" w:eastAsia="zh-CN"/>
              </w:rPr>
              <w:t>确需占用森林公园林地的</w:t>
            </w:r>
            <w:r>
              <w:rPr>
                <w:rFonts w:hint="eastAsia"/>
                <w:color w:val="auto"/>
                <w:szCs w:val="21"/>
                <w:lang w:val="en-US" w:eastAsia="zh-CN"/>
              </w:rPr>
              <w:t>，</w:t>
            </w:r>
            <w:r>
              <w:rPr>
                <w:rFonts w:hint="default"/>
                <w:color w:val="auto"/>
                <w:szCs w:val="21"/>
                <w:lang w:val="en-US" w:eastAsia="zh-CN"/>
              </w:rPr>
              <w:t>应当征得森林公园主管部门同意后依法办理相关手续</w:t>
            </w:r>
            <w:r>
              <w:rPr>
                <w:rFonts w:hint="eastAsia"/>
                <w:color w:val="auto"/>
                <w:szCs w:val="21"/>
                <w:lang w:val="en-US" w:eastAsia="zh-CN"/>
              </w:rPr>
              <w:t>。</w:t>
            </w:r>
            <w:r>
              <w:rPr>
                <w:rFonts w:hint="default"/>
                <w:color w:val="auto"/>
                <w:szCs w:val="21"/>
                <w:lang w:val="en-US" w:eastAsia="zh-CN"/>
              </w:rPr>
              <w:t>已经批准占地的建设项目</w:t>
            </w:r>
            <w:r>
              <w:rPr>
                <w:rFonts w:hint="eastAsia"/>
                <w:color w:val="auto"/>
                <w:szCs w:val="21"/>
                <w:lang w:val="en-US" w:eastAsia="zh-CN"/>
              </w:rPr>
              <w:t>，</w:t>
            </w:r>
            <w:r>
              <w:rPr>
                <w:rFonts w:hint="default"/>
                <w:color w:val="auto"/>
                <w:szCs w:val="21"/>
                <w:lang w:val="en-US" w:eastAsia="zh-CN"/>
              </w:rPr>
              <w:t>应当严格按照批准的内容进行施工建设</w:t>
            </w:r>
            <w:r>
              <w:rPr>
                <w:rFonts w:hint="eastAsia"/>
                <w:color w:val="auto"/>
                <w:szCs w:val="21"/>
                <w:lang w:val="en-US" w:eastAsia="zh-CN"/>
              </w:rPr>
              <w:t>，</w:t>
            </w:r>
            <w:r>
              <w:rPr>
                <w:rFonts w:hint="default"/>
                <w:color w:val="auto"/>
                <w:szCs w:val="21"/>
                <w:lang w:val="en-US" w:eastAsia="zh-CN"/>
              </w:rPr>
              <w:t>不得随意改变</w:t>
            </w:r>
            <w:r>
              <w:rPr>
                <w:rFonts w:hint="eastAsia"/>
                <w:color w:val="auto"/>
                <w:szCs w:val="21"/>
                <w:lang w:val="en-US" w:eastAsia="zh-CN"/>
              </w:rPr>
              <w:t>。</w:t>
            </w:r>
            <w:r>
              <w:rPr>
                <w:rFonts w:hint="default"/>
                <w:color w:val="auto"/>
                <w:szCs w:val="21"/>
                <w:lang w:val="en-US" w:eastAsia="zh-CN"/>
              </w:rPr>
              <w:t>禁止在森林公园内开发房地产、建设开发区</w:t>
            </w:r>
            <w:r>
              <w:rPr>
                <w:rFonts w:hint="eastAsia"/>
                <w:color w:val="auto"/>
                <w:szCs w:val="21"/>
                <w:lang w:val="en-US" w:eastAsia="zh-CN"/>
              </w:rPr>
              <w:t>，</w:t>
            </w:r>
            <w:r>
              <w:rPr>
                <w:rFonts w:hint="default"/>
                <w:color w:val="auto"/>
                <w:szCs w:val="21"/>
                <w:lang w:val="en-US" w:eastAsia="zh-CN"/>
              </w:rPr>
              <w:t>以及建设与森林公园功能和规划不符的其他项目。</w:t>
            </w:r>
          </w:p>
          <w:p w14:paraId="3736381D">
            <w:pPr>
              <w:autoSpaceDE w:val="0"/>
              <w:autoSpaceDN w:val="0"/>
              <w:adjustRightInd w:val="0"/>
              <w:snapToGrid w:val="0"/>
              <w:ind w:firstLine="480"/>
              <w:rPr>
                <w:rFonts w:hint="eastAsia" w:ascii="Times New Roman" w:hAnsi="Times New Roman" w:eastAsia="宋体" w:cs="Times New Roman"/>
                <w:color w:val="auto"/>
                <w:kern w:val="0"/>
                <w:szCs w:val="21"/>
                <w:highlight w:val="yellow"/>
                <w:lang w:eastAsia="zh-CN"/>
              </w:rPr>
            </w:pPr>
            <w:r>
              <w:rPr>
                <w:rFonts w:hint="eastAsia"/>
                <w:color w:val="auto"/>
                <w:lang w:eastAsia="zh-CN"/>
              </w:rPr>
              <w:t>本项目</w:t>
            </w:r>
            <w:r>
              <w:rPr>
                <w:rFonts w:hint="eastAsia"/>
                <w:color w:val="auto"/>
                <w:highlight w:val="none"/>
              </w:rPr>
              <w:t>为</w:t>
            </w:r>
            <w:r>
              <w:rPr>
                <w:rFonts w:hint="eastAsia"/>
                <w:color w:val="auto"/>
                <w:highlight w:val="none"/>
                <w:lang w:eastAsia="zh-CN"/>
              </w:rPr>
              <w:t>郝家至银龙公路永红村至银龙村段改扩建工程</w:t>
            </w:r>
            <w:r>
              <w:rPr>
                <w:rFonts w:hint="eastAsia"/>
                <w:color w:val="auto"/>
                <w:spacing w:val="-6"/>
                <w:highlight w:val="none"/>
                <w:lang w:eastAsia="zh-CN"/>
              </w:rPr>
              <w:t>，</w:t>
            </w:r>
            <w:r>
              <w:rPr>
                <w:rFonts w:hint="eastAsia"/>
                <w:color w:val="auto"/>
                <w:highlight w:val="none"/>
                <w:lang w:val="en-US" w:eastAsia="zh-CN"/>
              </w:rPr>
              <w:t>线路桩号K40+900～K51+600段约10.7km穿越黑龙江完达山国家级森林公园一般游憩区，</w:t>
            </w:r>
            <w:r>
              <w:rPr>
                <w:color w:val="auto"/>
              </w:rPr>
              <w:t>工程</w:t>
            </w:r>
            <w:r>
              <w:rPr>
                <w:rFonts w:hint="eastAsia"/>
                <w:color w:val="auto"/>
                <w:highlight w:val="none"/>
                <w:lang w:eastAsia="zh-CN"/>
              </w:rPr>
              <w:t>在</w:t>
            </w:r>
            <w:r>
              <w:rPr>
                <w:color w:val="auto"/>
                <w:highlight w:val="none"/>
              </w:rPr>
              <w:t>原道路用地范围内</w:t>
            </w:r>
            <w:r>
              <w:rPr>
                <w:rFonts w:hint="eastAsia"/>
                <w:color w:val="auto"/>
                <w:highlight w:val="none"/>
                <w:lang w:eastAsia="zh-CN"/>
              </w:rPr>
              <w:t>改扩建</w:t>
            </w:r>
            <w:r>
              <w:rPr>
                <w:color w:val="auto"/>
                <w:highlight w:val="none"/>
              </w:rPr>
              <w:t>，不新增永久占地。本项</w:t>
            </w:r>
            <w:r>
              <w:rPr>
                <w:color w:val="auto"/>
              </w:rPr>
              <w:t>目</w:t>
            </w:r>
            <w:r>
              <w:rPr>
                <w:rFonts w:hint="eastAsia"/>
                <w:color w:val="auto"/>
                <w:szCs w:val="21"/>
                <w:highlight w:val="none"/>
              </w:rPr>
              <w:t>不设置取</w:t>
            </w:r>
            <w:r>
              <w:rPr>
                <w:rFonts w:hint="eastAsia"/>
                <w:color w:val="auto"/>
                <w:szCs w:val="21"/>
                <w:highlight w:val="none"/>
                <w:lang w:eastAsia="zh-CN"/>
              </w:rPr>
              <w:t>、弃</w:t>
            </w:r>
            <w:r>
              <w:rPr>
                <w:rFonts w:hint="eastAsia"/>
                <w:color w:val="auto"/>
                <w:szCs w:val="21"/>
                <w:highlight w:val="none"/>
              </w:rPr>
              <w:t>土场</w:t>
            </w:r>
            <w:r>
              <w:rPr>
                <w:rFonts w:hint="eastAsia"/>
                <w:color w:val="auto"/>
                <w:highlight w:val="none"/>
                <w:lang w:eastAsia="zh-CN"/>
              </w:rPr>
              <w:t>、</w:t>
            </w:r>
            <w:r>
              <w:rPr>
                <w:rFonts w:hint="eastAsia"/>
                <w:color w:val="auto"/>
                <w:szCs w:val="21"/>
                <w:highlight w:val="none"/>
              </w:rPr>
              <w:t>施工驻地；项目</w:t>
            </w:r>
            <w:r>
              <w:rPr>
                <w:rFonts w:hint="eastAsia"/>
                <w:color w:val="auto"/>
                <w:szCs w:val="21"/>
                <w:highlight w:val="none"/>
                <w:lang w:eastAsia="zh-CN"/>
              </w:rPr>
              <w:t>堆料场和</w:t>
            </w:r>
            <w:r>
              <w:rPr>
                <w:rFonts w:hint="eastAsia" w:cs="Times New Roman"/>
                <w:color w:val="auto"/>
                <w:highlight w:val="none"/>
                <w:vertAlign w:val="baseline"/>
                <w:lang w:eastAsia="zh-CN"/>
              </w:rPr>
              <w:t>施</w:t>
            </w:r>
            <w:r>
              <w:rPr>
                <w:rFonts w:hint="eastAsia"/>
                <w:color w:val="auto"/>
                <w:highlight w:val="none"/>
              </w:rPr>
              <w:t>工便道</w:t>
            </w:r>
            <w:r>
              <w:rPr>
                <w:rFonts w:hint="eastAsia"/>
                <w:color w:val="auto"/>
                <w:szCs w:val="21"/>
                <w:highlight w:val="none"/>
              </w:rPr>
              <w:t>设置在永久占地范围内。</w:t>
            </w:r>
            <w:r>
              <w:rPr>
                <w:rFonts w:hint="eastAsia"/>
                <w:color w:val="auto"/>
                <w:szCs w:val="21"/>
                <w:highlight w:val="none"/>
                <w:lang w:eastAsia="zh-CN"/>
              </w:rPr>
              <w:t>本</w:t>
            </w:r>
            <w:r>
              <w:rPr>
                <w:rFonts w:hint="eastAsia"/>
                <w:color w:val="auto"/>
                <w:highlight w:val="none"/>
              </w:rPr>
              <w:t>项目</w:t>
            </w:r>
            <w:r>
              <w:rPr>
                <w:rFonts w:hint="eastAsia"/>
                <w:color w:val="auto"/>
                <w:highlight w:val="none"/>
                <w:lang w:eastAsia="zh-CN"/>
              </w:rPr>
              <w:t>临时占地包括</w:t>
            </w:r>
            <w:r>
              <w:rPr>
                <w:rFonts w:hint="eastAsia"/>
                <w:color w:val="auto"/>
                <w:highlight w:val="none"/>
                <w:lang w:val="en-US" w:eastAsia="zh-CN"/>
              </w:rPr>
              <w:t>1处拌和站，</w:t>
            </w:r>
            <w:r>
              <w:rPr>
                <w:rFonts w:hint="eastAsia" w:cs="Times New Roman"/>
                <w:color w:val="auto"/>
                <w:highlight w:val="none"/>
                <w:vertAlign w:val="baseline"/>
                <w:lang w:eastAsia="zh-CN"/>
              </w:rPr>
              <w:t>占地类型为</w:t>
            </w:r>
            <w:r>
              <w:rPr>
                <w:rFonts w:hint="eastAsia" w:cs="Times New Roman"/>
                <w:color w:val="auto"/>
                <w:highlight w:val="none"/>
                <w:vertAlign w:val="baseline"/>
                <w:lang w:val="en-US" w:eastAsia="zh-CN"/>
              </w:rPr>
              <w:t>设施农用地、裸土地，未设置在</w:t>
            </w:r>
            <w:r>
              <w:rPr>
                <w:rFonts w:hint="eastAsia"/>
                <w:color w:val="auto"/>
                <w:highlight w:val="none"/>
                <w:lang w:val="en-US" w:eastAsia="zh-CN"/>
              </w:rPr>
              <w:t>黑龙江完达山国家级森林公园内</w:t>
            </w:r>
            <w:r>
              <w:rPr>
                <w:rFonts w:hint="eastAsia"/>
                <w:color w:val="auto"/>
                <w:lang w:eastAsia="zh-CN"/>
              </w:rPr>
              <w:t>。</w:t>
            </w:r>
            <w:r>
              <w:rPr>
                <w:rFonts w:hint="eastAsia"/>
                <w:color w:val="auto"/>
              </w:rPr>
              <w:t>本项目</w:t>
            </w:r>
            <w:r>
              <w:rPr>
                <w:rFonts w:hint="eastAsia"/>
                <w:color w:val="auto"/>
                <w:lang w:eastAsia="zh-CN"/>
              </w:rPr>
              <w:t>全线利用既有公路路段，不新增永久占地，</w:t>
            </w:r>
            <w:r>
              <w:rPr>
                <w:rFonts w:ascii="宋体" w:hAnsi="宋体" w:eastAsia="宋体" w:cs="宋体"/>
                <w:color w:val="auto"/>
                <w:sz w:val="24"/>
                <w:szCs w:val="24"/>
              </w:rPr>
              <w:t>穿越</w:t>
            </w:r>
            <w:r>
              <w:rPr>
                <w:rFonts w:hint="eastAsia"/>
                <w:color w:val="auto"/>
                <w:highlight w:val="none"/>
                <w:lang w:val="en-US" w:eastAsia="zh-CN"/>
              </w:rPr>
              <w:t>森林公园</w:t>
            </w:r>
            <w:r>
              <w:rPr>
                <w:rFonts w:ascii="宋体" w:hAnsi="宋体" w:eastAsia="宋体" w:cs="宋体"/>
                <w:color w:val="auto"/>
                <w:sz w:val="24"/>
                <w:szCs w:val="24"/>
              </w:rPr>
              <w:t>路段对现状既有路面</w:t>
            </w:r>
            <w:r>
              <w:rPr>
                <w:rFonts w:hint="eastAsia" w:ascii="宋体" w:hAnsi="宋体" w:cs="宋体"/>
                <w:color w:val="auto"/>
                <w:sz w:val="24"/>
                <w:szCs w:val="24"/>
                <w:lang w:eastAsia="zh-CN"/>
              </w:rPr>
              <w:t>实施养护维修作业</w:t>
            </w:r>
            <w:r>
              <w:rPr>
                <w:rFonts w:ascii="宋体" w:hAnsi="宋体" w:eastAsia="宋体" w:cs="宋体"/>
                <w:color w:val="auto"/>
                <w:sz w:val="24"/>
                <w:szCs w:val="24"/>
              </w:rPr>
              <w:t>，不新增道路占地、不拓宽路面及路基</w:t>
            </w:r>
            <w:r>
              <w:rPr>
                <w:rFonts w:hint="eastAsia" w:ascii="Times New Roman" w:hAnsi="Times New Roman"/>
                <w:color w:val="auto"/>
                <w:sz w:val="24"/>
                <w:szCs w:val="24"/>
                <w:highlight w:val="none"/>
                <w:lang w:eastAsia="zh-CN"/>
              </w:rPr>
              <w:t>，</w:t>
            </w:r>
            <w:r>
              <w:rPr>
                <w:rFonts w:hint="eastAsia"/>
                <w:color w:val="auto"/>
                <w:lang w:eastAsia="zh-CN"/>
              </w:rPr>
              <w:t>现有路基防护状况良好可直接利用，</w:t>
            </w:r>
            <w:r>
              <w:rPr>
                <w:rFonts w:hint="default"/>
                <w:color w:val="auto"/>
                <w:highlight w:val="none"/>
                <w:lang w:val="en-US" w:eastAsia="zh-CN"/>
              </w:rPr>
              <w:t>路堤采用</w:t>
            </w:r>
            <w:r>
              <w:rPr>
                <w:rFonts w:hint="eastAsia"/>
                <w:color w:val="auto"/>
                <w:highlight w:val="none"/>
                <w:lang w:val="en-US" w:eastAsia="zh-CN"/>
              </w:rPr>
              <w:t>植草</w:t>
            </w:r>
            <w:r>
              <w:rPr>
                <w:rFonts w:hint="default"/>
                <w:color w:val="auto"/>
                <w:highlight w:val="none"/>
                <w:lang w:val="en-US" w:eastAsia="zh-CN"/>
              </w:rPr>
              <w:t>防护型式</w:t>
            </w:r>
            <w:r>
              <w:rPr>
                <w:rFonts w:hint="eastAsia"/>
                <w:color w:val="auto"/>
                <w:highlight w:val="none"/>
                <w:lang w:val="en-US" w:eastAsia="zh-CN"/>
              </w:rPr>
              <w:t>。</w:t>
            </w:r>
            <w:r>
              <w:rPr>
                <w:rFonts w:hint="eastAsia"/>
                <w:color w:val="auto"/>
                <w:highlight w:val="none"/>
              </w:rPr>
              <w:t>本项目的建设不破坏生物资源多样性、生态群落的完整性，对区域自然景观和植被影响较小</w:t>
            </w:r>
            <w:r>
              <w:rPr>
                <w:rFonts w:hint="eastAsia"/>
                <w:color w:val="auto"/>
                <w:highlight w:val="none"/>
                <w:lang w:eastAsia="zh-CN"/>
              </w:rPr>
              <w:t>。</w:t>
            </w:r>
            <w:r>
              <w:rPr>
                <w:rFonts w:hint="eastAsia"/>
                <w:color w:val="auto"/>
                <w:highlight w:val="none"/>
                <w:lang w:val="en-US" w:eastAsia="zh-CN"/>
              </w:rPr>
              <w:t>项目的建设可以使</w:t>
            </w:r>
            <w:r>
              <w:rPr>
                <w:rFonts w:hint="eastAsia" w:cs="宋体"/>
                <w:color w:val="auto"/>
                <w:kern w:val="0"/>
                <w:szCs w:val="21"/>
                <w:highlight w:val="none"/>
                <w:lang w:val="en-US" w:eastAsia="zh-CN"/>
              </w:rPr>
              <w:t>区域路网布局、结构、通行能力进一步增强，</w:t>
            </w:r>
            <w:r>
              <w:rPr>
                <w:rFonts w:hint="eastAsia" w:ascii="Times New Roman" w:hAnsi="Times New Roman" w:eastAsia="宋体" w:cs="宋体"/>
                <w:color w:val="auto"/>
                <w:kern w:val="0"/>
                <w:szCs w:val="21"/>
                <w:highlight w:val="none"/>
                <w:lang w:val="en-US" w:eastAsia="zh-CN"/>
              </w:rPr>
              <w:t>便于管理站（点）日常巡护需求及促进</w:t>
            </w:r>
            <w:r>
              <w:rPr>
                <w:rFonts w:hint="eastAsia"/>
                <w:color w:val="auto"/>
                <w:highlight w:val="none"/>
                <w:lang w:val="en-US" w:eastAsia="zh-CN"/>
              </w:rPr>
              <w:t>黑龙江完达山国家级森林公园</w:t>
            </w:r>
            <w:r>
              <w:rPr>
                <w:rFonts w:hint="eastAsia" w:ascii="Times New Roman" w:hAnsi="Times New Roman" w:eastAsia="宋体" w:cs="宋体"/>
                <w:color w:val="auto"/>
                <w:kern w:val="0"/>
                <w:szCs w:val="21"/>
                <w:highlight w:val="none"/>
                <w:lang w:val="en-US" w:eastAsia="zh-CN"/>
              </w:rPr>
              <w:t>旅游业发展，</w:t>
            </w:r>
            <w:r>
              <w:rPr>
                <w:rFonts w:hint="eastAsia" w:ascii="Times New Roman" w:hAnsi="Times New Roman" w:eastAsia="宋体" w:cs="Times New Roman"/>
                <w:color w:val="auto"/>
                <w:highlight w:val="none"/>
                <w:lang w:eastAsia="zh-CN"/>
              </w:rPr>
              <w:t>符合森林公园功能规划。</w:t>
            </w:r>
          </w:p>
          <w:p w14:paraId="12077922">
            <w:pPr>
              <w:autoSpaceDE w:val="0"/>
              <w:autoSpaceDN w:val="0"/>
              <w:adjustRightInd w:val="0"/>
              <w:snapToGrid w:val="0"/>
              <w:ind w:firstLine="480"/>
              <w:rPr>
                <w:rFonts w:hint="eastAsia"/>
                <w:color w:val="auto"/>
                <w:highlight w:val="none"/>
                <w:lang w:val="en-US" w:eastAsia="zh-CN"/>
              </w:rPr>
            </w:pPr>
            <w:r>
              <w:rPr>
                <w:rFonts w:hint="eastAsia" w:ascii="Times New Roman" w:hAnsi="Times New Roman" w:eastAsia="宋体" w:cs="Times New Roman"/>
                <w:color w:val="auto"/>
                <w:lang w:eastAsia="zh-CN"/>
              </w:rPr>
              <w:t>因此</w:t>
            </w:r>
            <w:r>
              <w:rPr>
                <w:rFonts w:hint="eastAsia" w:cs="Times New Roman"/>
                <w:color w:val="auto"/>
                <w:lang w:eastAsia="zh-CN"/>
              </w:rPr>
              <w:t>，</w:t>
            </w:r>
            <w:r>
              <w:rPr>
                <w:rFonts w:hint="eastAsia" w:ascii="Times New Roman" w:hAnsi="Times New Roman" w:eastAsia="宋体" w:cs="Times New Roman"/>
                <w:color w:val="auto"/>
                <w:lang w:eastAsia="zh-CN"/>
              </w:rPr>
              <w:t>本项目的建设与</w:t>
            </w:r>
            <w:r>
              <w:rPr>
                <w:rFonts w:hint="eastAsia"/>
                <w:color w:val="auto"/>
                <w:szCs w:val="21"/>
                <w:lang w:eastAsia="zh-CN"/>
              </w:rPr>
              <w:t>《</w:t>
            </w:r>
            <w:r>
              <w:rPr>
                <w:color w:val="auto"/>
                <w:szCs w:val="21"/>
              </w:rPr>
              <w:t>黑龙江省森林公园管理条例</w:t>
            </w:r>
            <w:r>
              <w:rPr>
                <w:rFonts w:hint="eastAsia"/>
                <w:color w:val="auto"/>
                <w:szCs w:val="21"/>
                <w:lang w:eastAsia="zh-CN"/>
              </w:rPr>
              <w:t>》相符。</w:t>
            </w:r>
          </w:p>
          <w:p w14:paraId="4388039D">
            <w:pPr>
              <w:autoSpaceDE w:val="0"/>
              <w:autoSpaceDN w:val="0"/>
              <w:adjustRightInd w:val="0"/>
              <w:snapToGrid w:val="0"/>
              <w:ind w:firstLine="480"/>
              <w:rPr>
                <w:rFonts w:hint="eastAsia"/>
                <w:color w:val="auto"/>
                <w:highlight w:val="none"/>
                <w:lang w:val="en-US" w:eastAsia="zh-CN"/>
              </w:rPr>
            </w:pPr>
            <w:r>
              <w:rPr>
                <w:rFonts w:hint="eastAsia"/>
                <w:color w:val="auto"/>
                <w:highlight w:val="none"/>
                <w:lang w:val="en-US" w:eastAsia="zh-CN"/>
              </w:rPr>
              <w:t>12、与《宝清县国土空间总体规划（2021</w:t>
            </w:r>
            <w:r>
              <w:rPr>
                <w:rFonts w:hint="eastAsia" w:eastAsia="黑体" w:cs="Times New Roman"/>
                <w:color w:val="auto"/>
                <w:sz w:val="24"/>
                <w:szCs w:val="24"/>
                <w:highlight w:val="none"/>
                <w:lang w:val="en-US" w:eastAsia="zh-CN"/>
              </w:rPr>
              <w:t>—</w:t>
            </w:r>
            <w:r>
              <w:rPr>
                <w:rFonts w:hint="eastAsia"/>
                <w:color w:val="auto"/>
                <w:highlight w:val="none"/>
                <w:lang w:val="en-US" w:eastAsia="zh-CN"/>
              </w:rPr>
              <w:t>2035年）》符合性分析</w:t>
            </w:r>
          </w:p>
          <w:p w14:paraId="090E3F92">
            <w:pPr>
              <w:keepNext w:val="0"/>
              <w:keepLines w:val="0"/>
              <w:widowControl/>
              <w:suppressLineNumbers w:val="0"/>
              <w:jc w:val="left"/>
              <w:rPr>
                <w:rFonts w:hint="eastAsia" w:ascii="Times New Roman" w:hAnsi="Times New Roman" w:eastAsia="宋体" w:cs="Times New Roman"/>
                <w:color w:val="auto"/>
                <w:highlight w:val="none"/>
                <w:lang w:val="en-US" w:eastAsia="zh-CN"/>
              </w:rPr>
            </w:pPr>
            <w:r>
              <w:rPr>
                <w:rFonts w:hint="eastAsia"/>
                <w:color w:val="auto"/>
                <w:highlight w:val="none"/>
                <w:lang w:val="en-US" w:eastAsia="zh-CN"/>
              </w:rPr>
              <w:t>根据《宝清县国土空间总体</w:t>
            </w:r>
            <w:r>
              <w:rPr>
                <w:rFonts w:hint="eastAsia" w:ascii="Times New Roman" w:hAnsi="Times New Roman" w:eastAsia="宋体" w:cs="Times New Roman"/>
                <w:color w:val="auto"/>
                <w:highlight w:val="none"/>
                <w:lang w:val="en-US" w:eastAsia="zh-CN"/>
              </w:rPr>
              <w:t>规划（2021—2035年）》中第十章 第一节 综合交通体系，公路系统：补齐高速公路短板，提升省际通道通行能力及高速公路间互联互通。对国省干线进行提质改造升级，推动国省干线公路网成网成环，完善干线公路网的整体布局。推进农村牧区公路升级改造，优化农村路网结构。</w:t>
            </w:r>
          </w:p>
          <w:p w14:paraId="060C2196">
            <w:pPr>
              <w:autoSpaceDE w:val="0"/>
              <w:autoSpaceDN w:val="0"/>
              <w:adjustRightInd w:val="0"/>
              <w:snapToGrid w:val="0"/>
              <w:ind w:firstLine="480"/>
              <w:rPr>
                <w:rFonts w:hint="eastAsia"/>
                <w:color w:val="auto"/>
                <w:highlight w:val="none"/>
                <w:lang w:val="en-US" w:eastAsia="zh-CN"/>
              </w:rPr>
            </w:pPr>
            <w:r>
              <w:rPr>
                <w:rFonts w:hint="eastAsia"/>
                <w:color w:val="auto"/>
                <w:highlight w:val="none"/>
                <w:lang w:val="en-US" w:eastAsia="zh-CN"/>
              </w:rPr>
              <w:t>本项目为郝家至银龙公路永红村至银龙村段改扩建工程，公路等级为三级、四级公路，</w:t>
            </w:r>
            <w:r>
              <w:rPr>
                <w:rFonts w:hint="eastAsia"/>
                <w:color w:val="auto"/>
                <w:highlight w:val="none"/>
                <w:lang w:eastAsia="zh-CN"/>
              </w:rPr>
              <w:t>线路起点位于清原镇永红村附近与Y034公路交叉口处，设计桩号K12+391，路线向东北方向利用现有旧路布线，路线终点位于银龙村，设计桩号K55+161，路线全长42.770</w:t>
            </w:r>
            <w:r>
              <w:rPr>
                <w:rFonts w:hint="eastAsia"/>
                <w:color w:val="auto"/>
                <w:highlight w:val="none"/>
                <w:lang w:val="en-US" w:eastAsia="zh-CN"/>
              </w:rPr>
              <w:t>km</w:t>
            </w:r>
            <w:r>
              <w:rPr>
                <w:rFonts w:hint="eastAsia"/>
                <w:color w:val="auto"/>
                <w:highlight w:val="none"/>
                <w:lang w:eastAsia="zh-CN"/>
              </w:rPr>
              <w:t>。</w:t>
            </w:r>
            <w:r>
              <w:rPr>
                <w:rFonts w:hint="eastAsia"/>
                <w:color w:val="auto"/>
                <w:highlight w:val="none"/>
                <w:lang w:val="en-US" w:eastAsia="zh-CN"/>
              </w:rPr>
              <w:t>项目实施后，提高了公路的通达深度和服务能力，因此本项目的建设与《宝清县国土空间总体规划（2021</w:t>
            </w:r>
            <w:r>
              <w:rPr>
                <w:rFonts w:hint="eastAsia" w:eastAsia="黑体" w:cs="Times New Roman"/>
                <w:color w:val="auto"/>
                <w:sz w:val="24"/>
                <w:szCs w:val="24"/>
                <w:highlight w:val="none"/>
                <w:lang w:val="en-US" w:eastAsia="zh-CN"/>
              </w:rPr>
              <w:t>—</w:t>
            </w:r>
            <w:r>
              <w:rPr>
                <w:rFonts w:hint="eastAsia"/>
                <w:color w:val="auto"/>
                <w:highlight w:val="none"/>
                <w:lang w:val="en-US" w:eastAsia="zh-CN"/>
              </w:rPr>
              <w:t>2035年）》相符。</w:t>
            </w:r>
          </w:p>
          <w:p w14:paraId="045D70AA">
            <w:pPr>
              <w:autoSpaceDE w:val="0"/>
              <w:autoSpaceDN w:val="0"/>
              <w:adjustRightInd w:val="0"/>
              <w:snapToGrid w:val="0"/>
              <w:ind w:firstLine="480"/>
              <w:rPr>
                <w:rFonts w:hint="eastAsia"/>
                <w:color w:val="auto"/>
                <w:highlight w:val="none"/>
              </w:rPr>
            </w:pPr>
            <w:r>
              <w:rPr>
                <w:rFonts w:hint="eastAsia"/>
                <w:color w:val="auto"/>
                <w:highlight w:val="none"/>
                <w:lang w:val="en-US" w:eastAsia="zh-CN"/>
              </w:rPr>
              <w:t>13、与生态环境分区管控的</w:t>
            </w:r>
            <w:r>
              <w:rPr>
                <w:rFonts w:hint="eastAsia"/>
                <w:color w:val="auto"/>
                <w:highlight w:val="none"/>
              </w:rPr>
              <w:t>符合性分析</w:t>
            </w:r>
          </w:p>
          <w:p w14:paraId="1B6761F7">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eastAsia="宋体"/>
                <w:color w:val="auto"/>
                <w:sz w:val="24"/>
                <w:highlight w:val="yellow"/>
                <w:lang w:val="en-US" w:eastAsia="zh-CN"/>
              </w:rPr>
            </w:pPr>
            <w:r>
              <w:rPr>
                <w:color w:val="auto"/>
                <w:highlight w:val="none"/>
              </w:rPr>
              <w:t>根据《双鸭山市人民政府关于实施“三线一单”生态环境分区管控的意见》（双政规〔2021〕2号）及《双鸭山市生态环境准入清单》（2023年版）可知，</w:t>
            </w:r>
            <w:r>
              <w:rPr>
                <w:rFonts w:hint="default" w:eastAsia="宋体"/>
                <w:color w:val="auto"/>
                <w:sz w:val="24"/>
                <w:highlight w:val="none"/>
                <w:lang w:val="en-US" w:eastAsia="zh-CN"/>
              </w:rPr>
              <w:t>结合</w:t>
            </w:r>
            <w:r>
              <w:rPr>
                <w:rFonts w:hint="eastAsia" w:eastAsia="宋体"/>
                <w:color w:val="auto"/>
                <w:sz w:val="24"/>
                <w:highlight w:val="none"/>
                <w:lang w:val="en-US" w:eastAsia="zh-CN"/>
              </w:rPr>
              <w:t>“</w:t>
            </w:r>
            <w:r>
              <w:rPr>
                <w:rFonts w:hint="default" w:eastAsia="宋体"/>
                <w:color w:val="auto"/>
                <w:sz w:val="24"/>
                <w:highlight w:val="none"/>
                <w:lang w:val="en-US" w:eastAsia="zh-CN"/>
              </w:rPr>
              <w:t>黑龙江省生态环境分区管控数据应用平台</w:t>
            </w:r>
            <w:r>
              <w:rPr>
                <w:rFonts w:hint="eastAsia" w:eastAsia="宋体"/>
                <w:color w:val="auto"/>
                <w:sz w:val="24"/>
                <w:highlight w:val="none"/>
                <w:lang w:val="en-US" w:eastAsia="zh-CN"/>
              </w:rPr>
              <w:t>”</w:t>
            </w:r>
            <w:r>
              <w:rPr>
                <w:rFonts w:hint="default" w:eastAsia="宋体"/>
                <w:color w:val="auto"/>
                <w:sz w:val="24"/>
                <w:highlight w:val="none"/>
                <w:lang w:val="en-US" w:eastAsia="zh-CN"/>
              </w:rPr>
              <w:t>生成的</w:t>
            </w:r>
            <w:r>
              <w:rPr>
                <w:rFonts w:hint="eastAsia" w:ascii="Times New Roman" w:hAnsi="Times New Roman" w:eastAsia="宋体" w:cs="Times New Roman"/>
                <w:color w:val="auto"/>
                <w:sz w:val="24"/>
                <w:highlight w:val="none"/>
                <w:lang w:val="en-US" w:eastAsia="zh-CN"/>
              </w:rPr>
              <w:t>《</w:t>
            </w:r>
            <w:r>
              <w:rPr>
                <w:rFonts w:hint="eastAsia"/>
                <w:color w:val="auto"/>
                <w:spacing w:val="-6"/>
                <w:highlight w:val="none"/>
                <w:lang w:val="en-US" w:eastAsia="zh-CN"/>
              </w:rPr>
              <w:t>郝家至银龙公路永红村至银龙村段改扩建工程</w:t>
            </w:r>
            <w:r>
              <w:rPr>
                <w:rFonts w:hint="eastAsia" w:ascii="Times New Roman" w:hAnsi="Times New Roman" w:eastAsia="宋体" w:cs="Times New Roman"/>
                <w:color w:val="auto"/>
                <w:sz w:val="24"/>
                <w:highlight w:val="none"/>
                <w:lang w:val="en-US" w:eastAsia="zh-CN"/>
              </w:rPr>
              <w:t>生态环境分区管控分析报告》</w:t>
            </w:r>
            <w:r>
              <w:rPr>
                <w:rFonts w:hint="default" w:eastAsia="宋体"/>
                <w:color w:val="auto"/>
                <w:sz w:val="24"/>
                <w:highlight w:val="none"/>
                <w:lang w:val="en-US" w:eastAsia="zh-CN"/>
              </w:rPr>
              <w:t>（详见附件</w:t>
            </w:r>
            <w:r>
              <w:rPr>
                <w:rFonts w:hint="eastAsia"/>
                <w:color w:val="auto"/>
                <w:sz w:val="24"/>
                <w:highlight w:val="none"/>
                <w:lang w:val="en-US" w:eastAsia="zh-CN"/>
              </w:rPr>
              <w:t>6</w:t>
            </w:r>
            <w:r>
              <w:rPr>
                <w:rFonts w:hint="default" w:eastAsia="宋体"/>
                <w:color w:val="auto"/>
                <w:sz w:val="24"/>
                <w:highlight w:val="none"/>
                <w:lang w:val="en-US" w:eastAsia="zh-CN"/>
              </w:rPr>
              <w:t>），本项目与</w:t>
            </w:r>
            <w:r>
              <w:rPr>
                <w:rFonts w:hint="eastAsia" w:eastAsia="宋体"/>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生态环境分区管控</w:t>
            </w:r>
            <w:r>
              <w:rPr>
                <w:rFonts w:hint="eastAsia" w:eastAsia="宋体"/>
                <w:color w:val="auto"/>
                <w:sz w:val="24"/>
                <w:highlight w:val="none"/>
                <w:lang w:val="en-US" w:eastAsia="zh-CN"/>
              </w:rPr>
              <w:t>”</w:t>
            </w:r>
            <w:r>
              <w:rPr>
                <w:rFonts w:hint="default" w:eastAsia="宋体"/>
                <w:color w:val="auto"/>
                <w:sz w:val="24"/>
                <w:highlight w:val="none"/>
                <w:lang w:val="en-US" w:eastAsia="zh-CN"/>
              </w:rPr>
              <w:t>符合性分析</w:t>
            </w:r>
            <w:r>
              <w:rPr>
                <w:rFonts w:hint="eastAsia" w:eastAsia="宋体"/>
                <w:color w:val="auto"/>
                <w:sz w:val="24"/>
                <w:highlight w:val="none"/>
                <w:lang w:val="en-US" w:eastAsia="zh-CN"/>
              </w:rPr>
              <w:t>如下</w:t>
            </w:r>
            <w:r>
              <w:rPr>
                <w:rFonts w:hint="default" w:eastAsia="宋体"/>
                <w:color w:val="auto"/>
                <w:sz w:val="24"/>
                <w:highlight w:val="none"/>
                <w:lang w:val="en-US" w:eastAsia="zh-CN"/>
              </w:rPr>
              <w:t>：</w:t>
            </w:r>
          </w:p>
          <w:p w14:paraId="032B187B">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（1）</w:t>
            </w:r>
            <w:r>
              <w:rPr>
                <w:rFonts w:hint="eastAsia" w:ascii="Times New Roman" w:hAnsi="Times New Roman" w:eastAsia="宋体" w:cs="Times New Roman"/>
                <w:color w:val="auto"/>
                <w:sz w:val="24"/>
                <w:highlight w:val="none"/>
                <w:lang w:val="en-US" w:eastAsia="zh-CN"/>
              </w:rPr>
              <w:t>“一图”</w:t>
            </w:r>
          </w:p>
          <w:p w14:paraId="6B91146E">
            <w:pPr>
              <w:keepNext w:val="0"/>
              <w:keepLines w:val="0"/>
              <w:widowControl/>
              <w:suppressLineNumbers w:val="0"/>
              <w:jc w:val="both"/>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w:t>
            </w:r>
            <w:r>
              <w:rPr>
                <w:rFonts w:hint="eastAsia" w:ascii="Times New Roman" w:hAnsi="Times New Roman" w:cs="Times New Roman"/>
                <w:color w:val="auto"/>
                <w:sz w:val="24"/>
                <w:highlight w:val="none"/>
                <w:lang w:eastAsia="zh-CN"/>
              </w:rPr>
              <w:t>位于</w:t>
            </w:r>
            <w:r>
              <w:rPr>
                <w:rFonts w:hint="eastAsia" w:cs="Times New Roman"/>
                <w:color w:val="auto"/>
                <w:sz w:val="24"/>
                <w:highlight w:val="none"/>
                <w:lang w:val="en-US" w:eastAsia="zh-CN"/>
              </w:rPr>
              <w:t>双鸭山市宝清县</w:t>
            </w:r>
            <w:r>
              <w:rPr>
                <w:rFonts w:hint="eastAsia"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所在</w:t>
            </w:r>
            <w:r>
              <w:rPr>
                <w:rFonts w:hint="eastAsia" w:ascii="Times New Roman" w:hAnsi="Times New Roman" w:eastAsia="宋体" w:cs="Times New Roman"/>
                <w:color w:val="auto"/>
                <w:sz w:val="24"/>
                <w:highlight w:val="none"/>
                <w:lang w:val="en-US" w:eastAsia="zh-CN"/>
              </w:rPr>
              <w:t>位置</w:t>
            </w:r>
            <w:r>
              <w:rPr>
                <w:rFonts w:hint="default" w:ascii="Times New Roman" w:hAnsi="Times New Roman" w:eastAsia="宋体" w:cs="Times New Roman"/>
                <w:color w:val="auto"/>
                <w:sz w:val="24"/>
                <w:highlight w:val="none"/>
                <w:lang w:val="en-US" w:eastAsia="zh-CN"/>
              </w:rPr>
              <w:t>属于</w:t>
            </w:r>
            <w:r>
              <w:rPr>
                <w:rFonts w:hint="eastAsia" w:ascii="Times New Roman" w:hAnsi="Times New Roman" w:eastAsia="宋体" w:cs="Times New Roman"/>
                <w:color w:val="auto"/>
                <w:sz w:val="24"/>
                <w:highlight w:val="none"/>
                <w:lang w:val="en-US" w:eastAsia="zh-CN"/>
              </w:rPr>
              <w:t>宝清县三江平原生物多样性维护功能生态保护红线优先保护单元（ZH23052310001）、宝清县</w:t>
            </w:r>
            <w:r>
              <w:rPr>
                <w:rFonts w:hint="default" w:ascii="Times New Roman" w:hAnsi="Times New Roman" w:eastAsia="宋体" w:cs="Times New Roman"/>
                <w:color w:val="auto"/>
                <w:sz w:val="24"/>
                <w:highlight w:val="none"/>
                <w:lang w:val="en-US" w:eastAsia="zh-CN"/>
              </w:rPr>
              <w:t>一般生态空间</w:t>
            </w:r>
            <w:r>
              <w:rPr>
                <w:rFonts w:hint="eastAsia" w:ascii="Times New Roman" w:hAnsi="Times New Roman" w:eastAsia="宋体" w:cs="Times New Roman"/>
                <w:color w:val="auto"/>
                <w:sz w:val="24"/>
                <w:highlight w:val="none"/>
                <w:lang w:val="en-US" w:eastAsia="zh-CN"/>
              </w:rPr>
              <w:t>（ZH23052310002）和宝清县水环境农业污染重点管控区（ZH23052320005）</w:t>
            </w:r>
            <w:r>
              <w:rPr>
                <w:rFonts w:hint="default" w:ascii="Times New Roman" w:hAnsi="Times New Roman" w:eastAsia="宋体" w:cs="Times New Roman"/>
                <w:color w:val="auto"/>
                <w:sz w:val="24"/>
                <w:highlight w:val="none"/>
                <w:lang w:val="en-US" w:eastAsia="zh-CN"/>
              </w:rPr>
              <w:t>，</w:t>
            </w:r>
            <w:r>
              <w:rPr>
                <w:rFonts w:hint="eastAsia" w:cs="Times New Roman"/>
                <w:color w:val="auto"/>
                <w:sz w:val="24"/>
                <w:highlight w:val="none"/>
                <w:lang w:val="en-US" w:eastAsia="zh-CN"/>
              </w:rPr>
              <w:t>项目</w:t>
            </w:r>
            <w:r>
              <w:rPr>
                <w:rFonts w:hint="default" w:ascii="Times New Roman" w:hAnsi="Times New Roman" w:eastAsia="宋体" w:cs="Times New Roman"/>
                <w:color w:val="auto"/>
                <w:sz w:val="24"/>
                <w:highlight w:val="none"/>
                <w:lang w:val="en-US" w:eastAsia="zh-CN"/>
              </w:rPr>
              <w:t>管控单元分布位置示意图见</w:t>
            </w:r>
            <w:r>
              <w:rPr>
                <w:rFonts w:hint="eastAsia" w:ascii="Times New Roman" w:hAnsi="Times New Roman" w:eastAsia="宋体" w:cs="Times New Roman"/>
                <w:color w:val="auto"/>
                <w:sz w:val="24"/>
                <w:highlight w:val="none"/>
                <w:lang w:val="en-US" w:eastAsia="zh-CN"/>
              </w:rPr>
              <w:t>图1-1。</w:t>
            </w:r>
          </w:p>
          <w:p w14:paraId="7E8A4ED7">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center"/>
              <w:textAlignment w:val="auto"/>
              <w:rPr>
                <w:rFonts w:hint="eastAsia" w:ascii="Times New Roman" w:hAnsi="Times New Roman" w:eastAsia="宋体" w:cs="Times New Roman"/>
                <w:color w:val="auto"/>
                <w:sz w:val="24"/>
                <w:highlight w:val="yellow"/>
                <w:lang w:val="en-US" w:eastAsia="zh-CN"/>
              </w:rPr>
            </w:pPr>
            <w:r>
              <w:rPr>
                <w:color w:val="auto"/>
              </w:rPr>
              <w:drawing>
                <wp:inline distT="0" distB="0" distL="114300" distR="114300">
                  <wp:extent cx="4581525" cy="3035300"/>
                  <wp:effectExtent l="9525" t="9525" r="19050" b="222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4581525" cy="3035300"/>
                          </a:xfrm>
                          <a:prstGeom prst="rect">
                            <a:avLst/>
                          </a:prstGeom>
                          <a:noFill/>
                          <a:ln>
                            <a:solidFill>
                              <a:schemeClr val="tx1"/>
                            </a:solidFill>
                          </a:ln>
                        </pic:spPr>
                      </pic:pic>
                    </a:graphicData>
                  </a:graphic>
                </wp:inline>
              </w:drawing>
            </w:r>
          </w:p>
          <w:p w14:paraId="6AFD2D1A">
            <w:pPr>
              <w:keepNext w:val="0"/>
              <w:keepLines w:val="0"/>
              <w:pageBreakBefore w:val="0"/>
              <w:widowControl w:val="0"/>
              <w:kinsoku/>
              <w:wordWrap/>
              <w:overflowPunct/>
              <w:topLinePunct w:val="0"/>
              <w:autoSpaceDE w:val="0"/>
              <w:autoSpaceDN w:val="0"/>
              <w:bidi w:val="0"/>
              <w:adjustRightInd w:val="0"/>
              <w:snapToGrid w:val="0"/>
              <w:ind w:left="0" w:leftChars="0" w:firstLine="0" w:firstLineChars="0"/>
              <w:jc w:val="center"/>
              <w:textAlignment w:val="auto"/>
              <w:rPr>
                <w:rFonts w:hint="default" w:ascii="Times New Roman" w:hAnsi="Times New Roman" w:eastAsia="宋体" w:cs="Times New Roman"/>
                <w:color w:val="auto"/>
                <w:sz w:val="24"/>
                <w:highlight w:val="none"/>
                <w:lang w:val="en-US" w:eastAsia="zh-CN"/>
              </w:rPr>
            </w:pPr>
            <w:r>
              <w:rPr>
                <w:rFonts w:hint="eastAsia" w:ascii="Times New Roman" w:hAnsi="Times New Roman" w:eastAsia="黑体" w:cs="Times New Roman"/>
                <w:color w:val="auto"/>
                <w:kern w:val="2"/>
                <w:sz w:val="24"/>
                <w:szCs w:val="24"/>
                <w:highlight w:val="none"/>
                <w:lang w:val="en-US" w:eastAsia="zh-CN" w:bidi="ar-SA"/>
              </w:rPr>
              <w:t>图1-1  项目与环境管控单元叠加图</w:t>
            </w:r>
          </w:p>
          <w:p w14:paraId="33F144B6">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（2）</w:t>
            </w:r>
            <w:r>
              <w:rPr>
                <w:rFonts w:hint="eastAsia" w:ascii="Times New Roman" w:hAnsi="Times New Roman" w:eastAsia="宋体" w:cs="Times New Roman"/>
                <w:color w:val="auto"/>
                <w:sz w:val="24"/>
                <w:highlight w:val="none"/>
                <w:lang w:val="en-US" w:eastAsia="zh-CN"/>
              </w:rPr>
              <w:t>“一表”</w:t>
            </w:r>
          </w:p>
          <w:p w14:paraId="3BC72A08">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1）生态保护红线</w:t>
            </w:r>
          </w:p>
          <w:p w14:paraId="24490E85">
            <w:pPr>
              <w:autoSpaceDE w:val="0"/>
              <w:autoSpaceDN w:val="0"/>
              <w:spacing w:line="360" w:lineRule="auto"/>
              <w:ind w:firstLine="480" w:firstLineChars="200"/>
              <w:rPr>
                <w:rFonts w:hint="eastAsia" w:ascii="宋体" w:hAnsi="宋体" w:eastAsia="宋体"/>
                <w:color w:val="auto"/>
                <w:highlight w:val="none"/>
                <w:lang w:eastAsia="zh-CN"/>
              </w:rPr>
            </w:pPr>
            <w:r>
              <w:rPr>
                <w:rFonts w:hint="eastAsia" w:ascii="Times New Roman" w:hAnsi="Times New Roman" w:eastAsia="宋体" w:cs="Times New Roman"/>
                <w:color w:val="auto"/>
                <w:sz w:val="24"/>
                <w:highlight w:val="none"/>
                <w:lang w:val="en-US" w:eastAsia="zh-CN"/>
              </w:rPr>
              <w:t>本项目位</w:t>
            </w:r>
            <w:r>
              <w:rPr>
                <w:rFonts w:hint="eastAsia" w:ascii="Times New Roman" w:hAnsi="Times New Roman" w:cs="Times New Roman"/>
                <w:color w:val="auto"/>
                <w:sz w:val="24"/>
                <w:highlight w:val="none"/>
                <w:lang w:eastAsia="zh-CN"/>
              </w:rPr>
              <w:t>于</w:t>
            </w:r>
            <w:r>
              <w:rPr>
                <w:rFonts w:hint="eastAsia" w:cs="Times New Roman"/>
                <w:color w:val="auto"/>
                <w:sz w:val="24"/>
                <w:highlight w:val="none"/>
                <w:lang w:val="en-US" w:eastAsia="zh-CN"/>
              </w:rPr>
              <w:t>双鸭山市宝清县</w:t>
            </w:r>
            <w:r>
              <w:rPr>
                <w:rFonts w:hint="eastAsia" w:ascii="Times New Roman" w:hAnsi="Times New Roman" w:eastAsia="宋体" w:cs="Times New Roman"/>
                <w:color w:val="auto"/>
                <w:sz w:val="24"/>
                <w:highlight w:val="none"/>
                <w:lang w:val="en-US" w:eastAsia="zh-CN"/>
              </w:rPr>
              <w:t>，</w:t>
            </w:r>
            <w:r>
              <w:rPr>
                <w:rFonts w:hint="eastAsia" w:ascii="宋体" w:hAnsi="宋体" w:cs="宋体"/>
                <w:color w:val="auto"/>
                <w:szCs w:val="21"/>
                <w:highlight w:val="none"/>
              </w:rPr>
              <w:t>经调查，</w:t>
            </w:r>
            <w:r>
              <w:rPr>
                <w:rFonts w:hint="eastAsia"/>
                <w:color w:val="auto"/>
                <w:kern w:val="0"/>
                <w:szCs w:val="21"/>
                <w:highlight w:val="none"/>
              </w:rPr>
              <w:t>本项目</w:t>
            </w:r>
            <w:r>
              <w:rPr>
                <w:rFonts w:hint="eastAsia"/>
                <w:color w:val="auto"/>
                <w:kern w:val="0"/>
                <w:szCs w:val="21"/>
                <w:highlight w:val="none"/>
                <w:lang w:eastAsia="zh-CN"/>
              </w:rPr>
              <w:t>占地与</w:t>
            </w:r>
            <w:r>
              <w:rPr>
                <w:rFonts w:hint="eastAsia"/>
                <w:color w:val="auto"/>
                <w:kern w:val="0"/>
                <w:szCs w:val="21"/>
                <w:highlight w:val="none"/>
              </w:rPr>
              <w:t>生态保护红线范围</w:t>
            </w:r>
            <w:r>
              <w:rPr>
                <w:rFonts w:hint="eastAsia"/>
                <w:color w:val="auto"/>
                <w:kern w:val="0"/>
                <w:szCs w:val="21"/>
                <w:highlight w:val="none"/>
                <w:lang w:eastAsia="zh-CN"/>
              </w:rPr>
              <w:t>有交叉重叠</w:t>
            </w:r>
            <w:r>
              <w:rPr>
                <w:rFonts w:hint="eastAsia"/>
                <w:color w:val="auto"/>
                <w:kern w:val="0"/>
                <w:szCs w:val="21"/>
                <w:highlight w:val="none"/>
              </w:rPr>
              <w:t>，</w:t>
            </w:r>
            <w:r>
              <w:rPr>
                <w:rFonts w:hint="eastAsia"/>
                <w:color w:val="auto"/>
                <w:lang w:eastAsia="zh-CN"/>
              </w:rPr>
              <w:t>本项目在</w:t>
            </w:r>
            <w:r>
              <w:rPr>
                <w:rFonts w:hint="default" w:ascii="Times New Roman" w:hAnsi="Times New Roman" w:eastAsia="宋体" w:cs="Times New Roman"/>
                <w:color w:val="auto"/>
                <w:highlight w:val="none"/>
              </w:rPr>
              <w:t>原</w:t>
            </w:r>
            <w:r>
              <w:rPr>
                <w:color w:val="auto"/>
                <w:highlight w:val="none"/>
              </w:rPr>
              <w:t>道路用地范围内</w:t>
            </w:r>
            <w:r>
              <w:rPr>
                <w:rFonts w:hint="eastAsia"/>
                <w:color w:val="auto"/>
                <w:highlight w:val="none"/>
                <w:lang w:eastAsia="zh-CN"/>
              </w:rPr>
              <w:t>改扩建</w:t>
            </w:r>
            <w:r>
              <w:rPr>
                <w:color w:val="auto"/>
                <w:highlight w:val="none"/>
              </w:rPr>
              <w:t>，不新增永久占地。</w:t>
            </w:r>
            <w:r>
              <w:rPr>
                <w:rFonts w:hint="eastAsia" w:ascii="宋体" w:hAnsi="宋体" w:cs="宋体"/>
                <w:color w:val="auto"/>
                <w:szCs w:val="21"/>
                <w:highlight w:val="none"/>
              </w:rPr>
              <w:t>项目</w:t>
            </w:r>
            <w:r>
              <w:rPr>
                <w:rFonts w:hint="eastAsia" w:ascii="宋体" w:hAnsi="宋体"/>
                <w:color w:val="auto"/>
                <w:highlight w:val="none"/>
                <w:lang w:eastAsia="zh-CN"/>
              </w:rPr>
              <w:t>属于</w:t>
            </w:r>
            <w:r>
              <w:rPr>
                <w:rFonts w:hint="eastAsia" w:ascii="宋体" w:hAnsi="宋体"/>
                <w:color w:val="auto"/>
                <w:highlight w:val="none"/>
              </w:rPr>
              <w:t>《自然资源部</w:t>
            </w:r>
            <w:r>
              <w:rPr>
                <w:rFonts w:hint="eastAsia"/>
                <w:color w:val="auto"/>
                <w:highlight w:val="none"/>
              </w:rPr>
              <w:t xml:space="preserve"> </w:t>
            </w:r>
            <w:r>
              <w:rPr>
                <w:rFonts w:hint="eastAsia" w:ascii="宋体" w:hAnsi="宋体"/>
                <w:color w:val="auto"/>
                <w:highlight w:val="none"/>
              </w:rPr>
              <w:t>生态环境部</w:t>
            </w:r>
            <w:r>
              <w:rPr>
                <w:rFonts w:hint="eastAsia"/>
                <w:color w:val="auto"/>
                <w:highlight w:val="none"/>
              </w:rPr>
              <w:t xml:space="preserve"> </w:t>
            </w:r>
            <w:r>
              <w:rPr>
                <w:rFonts w:hint="eastAsia" w:ascii="宋体" w:hAnsi="宋体"/>
                <w:color w:val="auto"/>
                <w:highlight w:val="none"/>
              </w:rPr>
              <w:t>国家林业和草原局关于加强生态保护红线管理的通知（试行）》（自然资发</w:t>
            </w:r>
            <w:r>
              <w:rPr>
                <w:rFonts w:hint="eastAsia" w:ascii="宋体" w:hAnsi="宋体"/>
                <w:color w:val="auto"/>
                <w:kern w:val="0"/>
                <w:highlight w:val="none"/>
              </w:rPr>
              <w:t>﹝</w:t>
            </w:r>
            <w:r>
              <w:rPr>
                <w:rFonts w:hint="eastAsia"/>
                <w:color w:val="auto"/>
                <w:kern w:val="0"/>
                <w:highlight w:val="none"/>
              </w:rPr>
              <w:t>2</w:t>
            </w:r>
            <w:r>
              <w:rPr>
                <w:color w:val="auto"/>
                <w:kern w:val="0"/>
                <w:highlight w:val="none"/>
              </w:rPr>
              <w:t>02</w:t>
            </w:r>
            <w:r>
              <w:rPr>
                <w:rFonts w:hint="eastAsia"/>
                <w:color w:val="auto"/>
                <w:kern w:val="0"/>
                <w:highlight w:val="none"/>
              </w:rPr>
              <w:t>2</w:t>
            </w:r>
            <w:r>
              <w:rPr>
                <w:rFonts w:hint="eastAsia" w:ascii="宋体" w:hAnsi="宋体"/>
                <w:color w:val="auto"/>
                <w:kern w:val="0"/>
                <w:highlight w:val="none"/>
              </w:rPr>
              <w:t>﹞</w:t>
            </w:r>
            <w:r>
              <w:rPr>
                <w:rFonts w:hint="eastAsia"/>
                <w:color w:val="auto"/>
                <w:highlight w:val="none"/>
              </w:rPr>
              <w:t>142</w:t>
            </w:r>
            <w:r>
              <w:rPr>
                <w:rFonts w:hint="eastAsia" w:ascii="宋体" w:hAnsi="宋体"/>
                <w:color w:val="auto"/>
                <w:highlight w:val="none"/>
              </w:rPr>
              <w:t>号）文件中“加强人为活动管控”规定的生态保护红线内自然保护地核心保护区外，对生态功能不造成破坏的有限人为活动中第六条规定的允许有限人为活动类型，即</w:t>
            </w:r>
            <w:r>
              <w:rPr>
                <w:rFonts w:hint="eastAsia" w:ascii="宋体" w:hAnsi="宋体"/>
                <w:color w:val="auto"/>
                <w:highlight w:val="none"/>
                <w:lang w:val="en-US" w:eastAsia="zh-CN"/>
              </w:rPr>
              <w:t>“</w:t>
            </w:r>
            <w:r>
              <w:rPr>
                <w:rFonts w:hint="eastAsia"/>
                <w:color w:val="auto"/>
                <w:highlight w:val="none"/>
              </w:rPr>
              <w:t>6.</w:t>
            </w:r>
            <w:r>
              <w:rPr>
                <w:rFonts w:hint="eastAsia" w:ascii="宋体" w:hAnsi="宋体"/>
                <w:color w:val="auto"/>
                <w:highlight w:val="none"/>
              </w:rPr>
              <w:t>必须且无法避让、符合县级以上国土空间规划的线性基础设施、通讯和防洪、供水设施建设和船舶航行、航道疏浚清淤等活动；已有合法水利、交通运输等设施维护改造。</w:t>
            </w:r>
            <w:r>
              <w:rPr>
                <w:rFonts w:hint="eastAsia" w:ascii="宋体" w:hAnsi="宋体"/>
                <w:color w:val="auto"/>
                <w:highlight w:val="none"/>
                <w:lang w:eastAsia="zh-CN"/>
              </w:rPr>
              <w:t>”</w:t>
            </w:r>
          </w:p>
          <w:p w14:paraId="7769B86C">
            <w:pPr>
              <w:autoSpaceDE w:val="0"/>
              <w:autoSpaceDN w:val="0"/>
              <w:spacing w:line="360" w:lineRule="auto"/>
              <w:ind w:firstLine="480" w:firstLineChars="200"/>
              <w:rPr>
                <w:rFonts w:hint="eastAsia"/>
                <w:color w:val="auto"/>
                <w:highlight w:val="none"/>
                <w:lang w:val="zh-CN"/>
              </w:rPr>
            </w:pPr>
            <w:r>
              <w:rPr>
                <w:rFonts w:hint="eastAsia"/>
                <w:color w:val="auto"/>
                <w:highlight w:val="none"/>
                <w:lang w:val="zh-CN"/>
              </w:rPr>
              <w:t>综上所述，本项目属于符合现行法律法规的要求下，必须且无法避让、符合县级以上国土空间规划的线性基础设施，为允许建设开发活动，与生态保护红线管理要求相符。</w:t>
            </w:r>
          </w:p>
          <w:p w14:paraId="27E2E450">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2）环境质量底线</w:t>
            </w:r>
          </w:p>
          <w:p w14:paraId="0404E60C">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项目区域大气环境、水环境、声环境质量现状能够满足相应的标准要求。</w:t>
            </w:r>
            <w:r>
              <w:rPr>
                <w:rFonts w:hint="eastAsia"/>
                <w:color w:val="auto"/>
                <w:szCs w:val="21"/>
                <w:highlight w:val="none"/>
              </w:rPr>
              <w:t>项目运营期无需供暖，废气主要为汽车尾气，公路为开放式区域，扩散条件良好，对周边环境的影响很小，不会降低区域环境空气质量，可满足大气环境质量底线要求；项目运营期无废水产生，对地表水影响较小，不会突破水环境质量底线。</w:t>
            </w:r>
            <w:r>
              <w:rPr>
                <w:rFonts w:hint="eastAsia" w:ascii="Times New Roman" w:hAnsi="Times New Roman" w:eastAsia="宋体" w:cs="Times New Roman"/>
                <w:color w:val="auto"/>
                <w:sz w:val="24"/>
                <w:highlight w:val="none"/>
                <w:lang w:val="en-US" w:eastAsia="zh-CN"/>
              </w:rPr>
              <w:t>本项目在采取本环评提出的相关防治措施后，污染物排放对环境影响较小</w:t>
            </w:r>
            <w:r>
              <w:rPr>
                <w:rFonts w:hint="eastAsia" w:cs="Times New Roman"/>
                <w:color w:val="auto"/>
                <w:sz w:val="24"/>
                <w:highlight w:val="none"/>
                <w:lang w:val="en-US" w:eastAsia="zh-CN"/>
              </w:rPr>
              <w:t>，在</w:t>
            </w:r>
            <w:r>
              <w:rPr>
                <w:rFonts w:hint="eastAsia" w:ascii="Times New Roman" w:hAnsi="Times New Roman" w:eastAsia="宋体" w:cs="Times New Roman"/>
                <w:color w:val="auto"/>
                <w:sz w:val="24"/>
                <w:highlight w:val="none"/>
                <w:lang w:val="en-US" w:eastAsia="zh-CN"/>
              </w:rPr>
              <w:t>评价范围内能维持目前环境质量现状，不使区域环境质量底线发生变化，符合区域环境质量底线要求。</w:t>
            </w:r>
          </w:p>
          <w:p w14:paraId="6C31AB8F">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yellow"/>
                <w:lang w:val="en-US" w:eastAsia="zh-CN"/>
              </w:rPr>
            </w:pPr>
            <w:r>
              <w:rPr>
                <w:rFonts w:hint="eastAsia" w:ascii="Times New Roman" w:hAnsi="Times New Roman" w:eastAsia="宋体" w:cs="Times New Roman"/>
                <w:color w:val="auto"/>
                <w:sz w:val="24"/>
                <w:highlight w:val="none"/>
                <w:lang w:val="en-US" w:eastAsia="zh-CN"/>
              </w:rPr>
              <w:t>3）资源利用上线</w:t>
            </w:r>
          </w:p>
          <w:p w14:paraId="18734111">
            <w:pPr>
              <w:spacing w:line="360" w:lineRule="auto"/>
              <w:ind w:firstLine="480" w:firstLineChars="200"/>
              <w:rPr>
                <w:rFonts w:hint="eastAsia"/>
                <w:color w:val="auto"/>
                <w:szCs w:val="21"/>
                <w:highlight w:val="none"/>
              </w:rPr>
            </w:pPr>
            <w:r>
              <w:rPr>
                <w:rFonts w:hint="eastAsia"/>
                <w:color w:val="auto"/>
                <w:szCs w:val="21"/>
                <w:highlight w:val="none"/>
              </w:rPr>
              <w:t>本项目为公路改扩建项目，运营期无需用水，不属于水资源消耗项目。本项目</w:t>
            </w:r>
            <w:r>
              <w:rPr>
                <w:rFonts w:hint="eastAsia"/>
                <w:color w:val="auto"/>
                <w:lang w:eastAsia="zh-CN"/>
              </w:rPr>
              <w:t>全线利用既有公路路段，不新增永久占地，</w:t>
            </w:r>
            <w:r>
              <w:rPr>
                <w:rFonts w:hint="eastAsia"/>
                <w:color w:val="auto"/>
                <w:szCs w:val="21"/>
                <w:highlight w:val="none"/>
              </w:rPr>
              <w:t>对土地资源利用影响较小，土地资源消耗符合要求。本项目穿越生态红线，属于符合现行法律法规的要求下，必须且无法避让、符合县级以上国土空间规划的线性基础设施，为允许建设开发活动。</w:t>
            </w:r>
          </w:p>
          <w:p w14:paraId="6CCD4794">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color w:val="auto"/>
                <w:szCs w:val="21"/>
                <w:highlight w:val="none"/>
              </w:rPr>
              <w:t>综上，本项目符合资源利用上线要求，不逾越资源利用上线。</w:t>
            </w:r>
          </w:p>
          <w:p w14:paraId="6FE0E9FB">
            <w:pPr>
              <w:keepNext w:val="0"/>
              <w:keepLines w:val="0"/>
              <w:pageBreakBefore w:val="0"/>
              <w:widowControl w:val="0"/>
              <w:kinsoku/>
              <w:wordWrap/>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4）生态环境准入清单</w:t>
            </w:r>
          </w:p>
          <w:p w14:paraId="0155AFC8">
            <w:pPr>
              <w:keepNext w:val="0"/>
              <w:keepLines w:val="0"/>
              <w:pageBreakBefore w:val="0"/>
              <w:widowControl w:val="0"/>
              <w:kinsoku/>
              <w:wordWrap/>
              <w:overflowPunct/>
              <w:topLinePunct w:val="0"/>
              <w:autoSpaceDE/>
              <w:autoSpaceDN/>
              <w:bidi w:val="0"/>
              <w:adjustRightInd/>
              <w:snapToGrid/>
              <w:spacing w:line="360" w:lineRule="auto"/>
              <w:ind w:left="0" w:right="0" w:firstLine="481"/>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本项目位于</w:t>
            </w:r>
            <w:r>
              <w:rPr>
                <w:rFonts w:hint="eastAsia" w:cs="Times New Roman"/>
                <w:color w:val="auto"/>
                <w:sz w:val="24"/>
                <w:highlight w:val="none"/>
                <w:lang w:val="en-US" w:eastAsia="zh-CN"/>
              </w:rPr>
              <w:t>双鸭山市宝清县</w:t>
            </w:r>
            <w:r>
              <w:rPr>
                <w:rFonts w:hint="eastAsia" w:ascii="Times New Roman" w:hAnsi="Times New Roman" w:eastAsia="宋体" w:cs="Times New Roman"/>
                <w:color w:val="auto"/>
                <w:sz w:val="24"/>
                <w:highlight w:val="none"/>
                <w:lang w:val="en-US" w:eastAsia="zh-CN"/>
              </w:rPr>
              <w:t>，</w:t>
            </w:r>
            <w:r>
              <w:rPr>
                <w:color w:val="auto"/>
                <w:highlight w:val="none"/>
              </w:rPr>
              <w:t>根据《双鸭山市人民政府关于实施“三线一单”生态环境分区管控的意见》（双政规〔2021〕2号）及《双鸭山市生态环境准入清单》（2023年版）可知，</w:t>
            </w:r>
            <w:r>
              <w:rPr>
                <w:rFonts w:hint="eastAsia" w:ascii="Times New Roman" w:hAnsi="Times New Roman" w:eastAsia="宋体" w:cs="Times New Roman"/>
                <w:color w:val="auto"/>
                <w:sz w:val="24"/>
                <w:highlight w:val="none"/>
                <w:lang w:val="en-US" w:eastAsia="zh-CN"/>
              </w:rPr>
              <w:t>本项目线路占地及评价范围位于生态保护红线优先保护单元（ZH23052310001）、宝清县</w:t>
            </w:r>
            <w:r>
              <w:rPr>
                <w:rFonts w:hint="default" w:ascii="Times New Roman" w:hAnsi="Times New Roman" w:eastAsia="宋体" w:cs="Times New Roman"/>
                <w:color w:val="auto"/>
                <w:sz w:val="24"/>
                <w:highlight w:val="none"/>
                <w:lang w:val="en-US" w:eastAsia="zh-CN"/>
              </w:rPr>
              <w:t>一般生态空间</w:t>
            </w:r>
            <w:r>
              <w:rPr>
                <w:rFonts w:hint="eastAsia" w:ascii="Times New Roman" w:hAnsi="Times New Roman" w:eastAsia="宋体" w:cs="Times New Roman"/>
                <w:color w:val="auto"/>
                <w:sz w:val="24"/>
                <w:highlight w:val="none"/>
                <w:lang w:val="en-US" w:eastAsia="zh-CN"/>
              </w:rPr>
              <w:t>（ZH23052310002）和宝清县水环境农业污染重点管控区（ZH23052320005），本项目与生态环境准入清单管控要求及符合性分析见表1-</w:t>
            </w:r>
            <w:r>
              <w:rPr>
                <w:rFonts w:hint="eastAsia" w:cs="Times New Roman"/>
                <w:color w:val="auto"/>
                <w:sz w:val="24"/>
                <w:highlight w:val="none"/>
                <w:lang w:val="en-US" w:eastAsia="zh-CN"/>
              </w:rPr>
              <w:t>2</w:t>
            </w:r>
            <w:r>
              <w:rPr>
                <w:rFonts w:hint="eastAsia" w:ascii="Times New Roman" w:hAnsi="Times New Roman" w:eastAsia="宋体" w:cs="Times New Roman"/>
                <w:color w:val="auto"/>
                <w:sz w:val="24"/>
                <w:highlight w:val="none"/>
                <w:lang w:val="en-US" w:eastAsia="zh-CN"/>
              </w:rPr>
              <w:t>。</w:t>
            </w:r>
          </w:p>
          <w:p w14:paraId="2353E423">
            <w:pPr>
              <w:keepNext w:val="0"/>
              <w:keepLines w:val="0"/>
              <w:pageBreakBefore w:val="0"/>
              <w:widowControl w:val="0"/>
              <w:kinsoku/>
              <w:wordWrap/>
              <w:overflowPunct/>
              <w:topLinePunct w:val="0"/>
              <w:autoSpaceDE/>
              <w:autoSpaceDN/>
              <w:bidi w:val="0"/>
              <w:adjustRightInd/>
              <w:snapToGrid/>
              <w:spacing w:line="360" w:lineRule="auto"/>
              <w:ind w:left="0" w:right="0" w:firstLine="481"/>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由表1-</w:t>
            </w:r>
            <w:r>
              <w:rPr>
                <w:rFonts w:hint="eastAsia" w:cs="Times New Roman"/>
                <w:color w:val="auto"/>
                <w:highlight w:val="none"/>
                <w:lang w:val="en-US" w:eastAsia="zh-CN"/>
              </w:rPr>
              <w:t>2</w:t>
            </w:r>
            <w:r>
              <w:rPr>
                <w:rFonts w:hint="eastAsia" w:ascii="Times New Roman" w:hAnsi="Times New Roman" w:eastAsia="宋体" w:cs="Times New Roman"/>
                <w:color w:val="auto"/>
                <w:highlight w:val="none"/>
                <w:lang w:val="en-US" w:eastAsia="zh-CN"/>
              </w:rPr>
              <w:t>可知，本项目的建设符合</w:t>
            </w:r>
            <w:r>
              <w:rPr>
                <w:color w:val="auto"/>
                <w:highlight w:val="none"/>
              </w:rPr>
              <w:t>《双鸭山市人民政府关于实施</w:t>
            </w:r>
            <w:r>
              <w:rPr>
                <w:rFonts w:hint="eastAsia"/>
                <w:color w:val="auto"/>
                <w:highlight w:val="none"/>
                <w:lang w:eastAsia="zh-CN"/>
              </w:rPr>
              <w:t>“</w:t>
            </w:r>
            <w:r>
              <w:rPr>
                <w:color w:val="auto"/>
                <w:highlight w:val="none"/>
              </w:rPr>
              <w:t>三线一单</w:t>
            </w:r>
            <w:r>
              <w:rPr>
                <w:rFonts w:hint="eastAsia"/>
                <w:color w:val="auto"/>
                <w:highlight w:val="none"/>
                <w:lang w:eastAsia="zh-CN"/>
              </w:rPr>
              <w:t>”</w:t>
            </w:r>
            <w:r>
              <w:rPr>
                <w:color w:val="auto"/>
                <w:highlight w:val="none"/>
              </w:rPr>
              <w:t>生态环境分区管控的意见》（双政规〔2021〕2号）及《双鸭山市生态环境准入清单》（2023年版）</w:t>
            </w:r>
            <w:r>
              <w:rPr>
                <w:rFonts w:hint="eastAsia" w:ascii="Times New Roman" w:hAnsi="Times New Roman" w:eastAsia="宋体" w:cs="Times New Roman"/>
                <w:color w:val="auto"/>
                <w:highlight w:val="none"/>
                <w:lang w:val="en-US" w:eastAsia="zh-CN"/>
              </w:rPr>
              <w:t>中的要求。</w:t>
            </w:r>
          </w:p>
          <w:p w14:paraId="32D1911E">
            <w:pPr>
              <w:keepNext w:val="0"/>
              <w:keepLines w:val="0"/>
              <w:pageBreakBefore w:val="0"/>
              <w:widowControl w:val="0"/>
              <w:kinsoku/>
              <w:wordWrap w:val="0"/>
              <w:overflowPunct/>
              <w:topLinePunct w:val="0"/>
              <w:autoSpaceDE w:val="0"/>
              <w:autoSpaceDN w:val="0"/>
              <w:bidi w:val="0"/>
              <w:adjustRightInd w:val="0"/>
              <w:snapToGrid w:val="0"/>
              <w:ind w:left="0" w:leftChars="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经分析，本项目的建设与生态保护红线管理要求相符，不会突破资源利用上线，不会降低区域环境质量底线，本项目满足生态环境准入清单要求，与“</w:t>
            </w:r>
            <w:r>
              <w:rPr>
                <w:rFonts w:hint="default" w:ascii="Times New Roman" w:hAnsi="Times New Roman" w:eastAsia="宋体" w:cs="Times New Roman"/>
                <w:color w:val="auto"/>
                <w:sz w:val="24"/>
                <w:highlight w:val="none"/>
                <w:lang w:val="en-US" w:eastAsia="zh-CN"/>
              </w:rPr>
              <w:t>生态环境分区管控</w:t>
            </w:r>
            <w:r>
              <w:rPr>
                <w:rFonts w:hint="eastAsia" w:ascii="Times New Roman" w:hAnsi="Times New Roman" w:eastAsia="宋体" w:cs="Times New Roman"/>
                <w:color w:val="auto"/>
                <w:sz w:val="24"/>
                <w:highlight w:val="none"/>
                <w:lang w:val="en-US" w:eastAsia="zh-CN"/>
              </w:rPr>
              <w:t>”要求相符。</w:t>
            </w:r>
          </w:p>
          <w:p w14:paraId="530F892D">
            <w:pPr>
              <w:pStyle w:val="5"/>
              <w:rPr>
                <w:rFonts w:hint="eastAsia" w:ascii="Times New Roman" w:hAnsi="Times New Roman" w:eastAsia="宋体" w:cs="Times New Roman"/>
                <w:color w:val="auto"/>
                <w:sz w:val="24"/>
                <w:highlight w:val="none"/>
                <w:lang w:val="en-US" w:eastAsia="zh-CN"/>
              </w:rPr>
            </w:pPr>
          </w:p>
          <w:p w14:paraId="23CD8C48">
            <w:pPr>
              <w:ind w:left="0" w:leftChars="0" w:firstLine="0" w:firstLineChars="0"/>
              <w:rPr>
                <w:rFonts w:hint="eastAsia"/>
                <w:color w:val="auto"/>
                <w:lang w:val="en-US" w:eastAsia="zh-CN"/>
              </w:rPr>
            </w:pPr>
          </w:p>
        </w:tc>
      </w:tr>
    </w:tbl>
    <w:p w14:paraId="6ACF883A">
      <w:pPr>
        <w:pStyle w:val="37"/>
        <w:rPr>
          <w:color w:val="auto"/>
          <w:highlight w:val="yellow"/>
        </w:rPr>
        <w:sectPr>
          <w:footerReference r:id="rId7" w:type="default"/>
          <w:pgSz w:w="11906" w:h="16838"/>
          <w:pgMar w:top="1701" w:right="1531" w:bottom="1701" w:left="1531" w:header="851" w:footer="1077" w:gutter="0"/>
          <w:pgBorders>
            <w:top w:val="none" w:sz="0" w:space="0"/>
            <w:left w:val="none" w:sz="0" w:space="0"/>
            <w:bottom w:val="none" w:sz="0" w:space="0"/>
            <w:right w:val="none" w:sz="0" w:space="0"/>
          </w:pgBorders>
          <w:pgNumType w:start="1"/>
          <w:cols w:space="720" w:num="1"/>
          <w:docGrid w:linePitch="312" w:charSpace="0"/>
        </w:sectPr>
      </w:pPr>
    </w:p>
    <w:bookmarkEnd w:id="2"/>
    <w:p w14:paraId="7E1FA23E">
      <w:pPr>
        <w:pStyle w:val="40"/>
        <w:rPr>
          <w:rFonts w:hint="eastAsia"/>
          <w:color w:val="auto"/>
          <w:highlight w:val="none"/>
        </w:rPr>
      </w:pPr>
      <w:r>
        <w:rPr>
          <w:rFonts w:hint="eastAsia"/>
          <w:color w:val="auto"/>
          <w:highlight w:val="none"/>
        </w:rPr>
        <w:t>表1-</w:t>
      </w:r>
      <w:r>
        <w:rPr>
          <w:rFonts w:hint="eastAsia"/>
          <w:color w:val="auto"/>
          <w:highlight w:val="none"/>
          <w:lang w:val="en-US" w:eastAsia="zh-CN"/>
        </w:rPr>
        <w:t xml:space="preserve">2 </w:t>
      </w:r>
      <w:r>
        <w:rPr>
          <w:rFonts w:hint="eastAsia"/>
          <w:color w:val="auto"/>
          <w:highlight w:val="none"/>
        </w:rPr>
        <w:t xml:space="preserve"> 生态环境准入清单管控要求一览表</w:t>
      </w:r>
    </w:p>
    <w:tbl>
      <w:tblPr>
        <w:tblStyle w:val="18"/>
        <w:tblW w:w="4996" w:type="pct"/>
        <w:jc w:val="center"/>
        <w:tblBorders>
          <w:top w:val="single" w:color="auto" w:sz="12" w:space="0"/>
          <w:left w:val="none" w:color="auto" w:sz="0" w:space="0"/>
          <w:bottom w:val="single" w:color="auto" w:sz="12" w:space="0"/>
          <w:right w:val="none" w:color="auto" w:sz="0" w:space="0"/>
          <w:insideH w:val="single" w:color="auto" w:sz="8" w:space="0"/>
          <w:insideV w:val="single" w:color="auto" w:sz="6" w:space="0"/>
        </w:tblBorders>
        <w:tblLayout w:type="fixed"/>
        <w:tblCellMar>
          <w:top w:w="0" w:type="dxa"/>
          <w:left w:w="108" w:type="dxa"/>
          <w:bottom w:w="0" w:type="dxa"/>
          <w:right w:w="108" w:type="dxa"/>
        </w:tblCellMar>
      </w:tblPr>
      <w:tblGrid>
        <w:gridCol w:w="1085"/>
        <w:gridCol w:w="1238"/>
        <w:gridCol w:w="877"/>
        <w:gridCol w:w="427"/>
        <w:gridCol w:w="6402"/>
        <w:gridCol w:w="2754"/>
        <w:gridCol w:w="859"/>
      </w:tblGrid>
      <w:tr w14:paraId="5B5E4F0C">
        <w:tblPrEx>
          <w:tblBorders>
            <w:top w:val="single" w:color="auto" w:sz="12" w:space="0"/>
            <w:left w:val="none" w:color="auto" w:sz="0" w:space="0"/>
            <w:bottom w:val="single" w:color="auto" w:sz="12" w:space="0"/>
            <w:right w:val="none" w:color="auto" w:sz="0" w:space="0"/>
            <w:insideH w:val="single" w:color="auto" w:sz="8" w:space="0"/>
            <w:insideV w:val="single" w:color="auto" w:sz="6" w:space="0"/>
          </w:tblBorders>
          <w:tblCellMar>
            <w:top w:w="0" w:type="dxa"/>
            <w:left w:w="108" w:type="dxa"/>
            <w:bottom w:w="0" w:type="dxa"/>
            <w:right w:w="108" w:type="dxa"/>
          </w:tblCellMar>
        </w:tblPrEx>
        <w:trPr>
          <w:trHeight w:val="454" w:hRule="atLeast"/>
          <w:tblHeader/>
          <w:jc w:val="center"/>
        </w:trPr>
        <w:tc>
          <w:tcPr>
            <w:tcW w:w="397" w:type="pct"/>
            <w:noWrap w:val="0"/>
            <w:vAlign w:val="center"/>
          </w:tcPr>
          <w:p w14:paraId="0CA2A3F3">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olor w:val="auto"/>
                <w:kern w:val="2"/>
                <w:sz w:val="21"/>
                <w:szCs w:val="21"/>
                <w:highlight w:val="none"/>
                <w:lang w:val="en-US" w:eastAsia="zh-CN" w:bidi="ar-SA"/>
              </w:rPr>
            </w:pPr>
            <w:bookmarkStart w:id="3" w:name="_Toc45198936"/>
            <w:r>
              <w:rPr>
                <w:color w:val="auto"/>
                <w:highlight w:val="none"/>
              </w:rPr>
              <w:t>环境管控单元编码</w:t>
            </w:r>
          </w:p>
        </w:tc>
        <w:tc>
          <w:tcPr>
            <w:tcW w:w="453" w:type="pct"/>
            <w:noWrap w:val="0"/>
            <w:vAlign w:val="center"/>
          </w:tcPr>
          <w:p w14:paraId="1E39DBB9">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olor w:val="auto"/>
                <w:kern w:val="2"/>
                <w:sz w:val="21"/>
                <w:szCs w:val="21"/>
                <w:highlight w:val="none"/>
                <w:lang w:val="en-US" w:eastAsia="zh-CN" w:bidi="ar-SA"/>
              </w:rPr>
            </w:pPr>
            <w:r>
              <w:rPr>
                <w:color w:val="auto"/>
                <w:highlight w:val="none"/>
              </w:rPr>
              <w:t>环境管控单元名称</w:t>
            </w:r>
          </w:p>
        </w:tc>
        <w:tc>
          <w:tcPr>
            <w:tcW w:w="321" w:type="pct"/>
            <w:noWrap w:val="0"/>
            <w:vAlign w:val="center"/>
          </w:tcPr>
          <w:p w14:paraId="0E9A4E31">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olor w:val="auto"/>
                <w:kern w:val="2"/>
                <w:sz w:val="21"/>
                <w:szCs w:val="21"/>
                <w:highlight w:val="none"/>
                <w:lang w:val="en-US" w:eastAsia="zh-CN" w:bidi="ar-SA"/>
              </w:rPr>
            </w:pPr>
            <w:r>
              <w:rPr>
                <w:color w:val="auto"/>
                <w:highlight w:val="none"/>
              </w:rPr>
              <w:t>管控单元类别</w:t>
            </w:r>
          </w:p>
        </w:tc>
        <w:tc>
          <w:tcPr>
            <w:tcW w:w="2502" w:type="pct"/>
            <w:gridSpan w:val="2"/>
            <w:noWrap w:val="0"/>
            <w:vAlign w:val="center"/>
          </w:tcPr>
          <w:p w14:paraId="4F822F78">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olor w:val="auto"/>
                <w:kern w:val="2"/>
                <w:sz w:val="21"/>
                <w:szCs w:val="21"/>
                <w:highlight w:val="yellow"/>
                <w:lang w:val="en-US" w:eastAsia="zh-CN" w:bidi="ar-SA"/>
              </w:rPr>
            </w:pPr>
            <w:r>
              <w:rPr>
                <w:color w:val="auto"/>
                <w:highlight w:val="none"/>
              </w:rPr>
              <w:t>管控要求</w:t>
            </w:r>
          </w:p>
        </w:tc>
        <w:tc>
          <w:tcPr>
            <w:tcW w:w="1009" w:type="pct"/>
            <w:noWrap w:val="0"/>
            <w:vAlign w:val="center"/>
          </w:tcPr>
          <w:p w14:paraId="16E72B80">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highlight w:val="yellow"/>
                <w:lang w:val="en-US" w:eastAsia="zh-CN"/>
              </w:rPr>
            </w:pPr>
            <w:r>
              <w:rPr>
                <w:rFonts w:hint="eastAsia"/>
                <w:color w:val="auto"/>
                <w:highlight w:val="none"/>
                <w:lang w:val="en-US" w:eastAsia="zh-CN"/>
              </w:rPr>
              <w:t>本项目情况</w:t>
            </w:r>
          </w:p>
        </w:tc>
        <w:tc>
          <w:tcPr>
            <w:tcW w:w="314" w:type="pct"/>
            <w:noWrap w:val="0"/>
            <w:vAlign w:val="center"/>
          </w:tcPr>
          <w:p w14:paraId="4AE0B066">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color w:val="auto"/>
                <w:highlight w:val="none"/>
              </w:rPr>
              <w:t>符合性分析</w:t>
            </w:r>
          </w:p>
        </w:tc>
      </w:tr>
      <w:tr w14:paraId="158D4E15">
        <w:tblPrEx>
          <w:tblBorders>
            <w:top w:val="single" w:color="auto" w:sz="12" w:space="0"/>
            <w:left w:val="none" w:color="auto" w:sz="0" w:space="0"/>
            <w:bottom w:val="single" w:color="auto" w:sz="12" w:space="0"/>
            <w:right w:val="none" w:color="auto" w:sz="0" w:space="0"/>
            <w:insideH w:val="single" w:color="auto" w:sz="8" w:space="0"/>
            <w:insideV w:val="single" w:color="auto" w:sz="6" w:space="0"/>
          </w:tblBorders>
          <w:tblCellMar>
            <w:top w:w="0" w:type="dxa"/>
            <w:left w:w="108" w:type="dxa"/>
            <w:bottom w:w="0" w:type="dxa"/>
            <w:right w:w="108" w:type="dxa"/>
          </w:tblCellMar>
        </w:tblPrEx>
        <w:trPr>
          <w:trHeight w:val="454" w:hRule="atLeast"/>
          <w:jc w:val="center"/>
        </w:trPr>
        <w:tc>
          <w:tcPr>
            <w:tcW w:w="397" w:type="pct"/>
            <w:noWrap w:val="0"/>
            <w:vAlign w:val="center"/>
          </w:tcPr>
          <w:p w14:paraId="38AFDD43">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ZH23052310001</w:t>
            </w:r>
          </w:p>
        </w:tc>
        <w:tc>
          <w:tcPr>
            <w:tcW w:w="453" w:type="pct"/>
            <w:noWrap w:val="0"/>
            <w:vAlign w:val="center"/>
          </w:tcPr>
          <w:p w14:paraId="063083BC">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宝清县生态保护红线</w:t>
            </w:r>
          </w:p>
        </w:tc>
        <w:tc>
          <w:tcPr>
            <w:tcW w:w="321" w:type="pct"/>
            <w:noWrap w:val="0"/>
            <w:vAlign w:val="center"/>
          </w:tcPr>
          <w:p w14:paraId="624342B4">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优先保护单元</w:t>
            </w:r>
          </w:p>
        </w:tc>
        <w:tc>
          <w:tcPr>
            <w:tcW w:w="156" w:type="pct"/>
            <w:noWrap w:val="0"/>
            <w:vAlign w:val="center"/>
          </w:tcPr>
          <w:p w14:paraId="36386394">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空间布局约束</w:t>
            </w:r>
          </w:p>
        </w:tc>
        <w:tc>
          <w:tcPr>
            <w:tcW w:w="2346" w:type="pct"/>
            <w:noWrap w:val="0"/>
            <w:vAlign w:val="center"/>
          </w:tcPr>
          <w:p w14:paraId="7793BDCA">
            <w:pPr>
              <w:pStyle w:val="29"/>
              <w:keepNext w:val="0"/>
              <w:keepLines w:val="0"/>
              <w:pageBreakBefore w:val="0"/>
              <w:widowControl w:val="0"/>
              <w:kinsoku/>
              <w:wordWrap w:val="0"/>
              <w:overflowPunct/>
              <w:topLinePunct w:val="0"/>
              <w:autoSpaceDE/>
              <w:autoSpaceDN/>
              <w:bidi w:val="0"/>
              <w:adjustRightInd/>
              <w:snapToGrid/>
              <w:jc w:val="both"/>
              <w:textAlignment w:val="auto"/>
              <w:rPr>
                <w:rFonts w:hint="default" w:ascii="Times New Roman" w:hAnsi="Times New Roman" w:eastAsia="宋体" w:cs="Times New Roman"/>
                <w:b w:val="0"/>
                <w:color w:val="auto"/>
                <w:sz w:val="21"/>
                <w:highlight w:val="none"/>
              </w:rPr>
            </w:pPr>
            <w:r>
              <w:rPr>
                <w:rFonts w:hint="default" w:ascii="Times New Roman" w:hAnsi="Times New Roman" w:eastAsia="宋体" w:cs="Times New Roman"/>
                <w:color w:val="auto"/>
                <w:kern w:val="0"/>
                <w:sz w:val="21"/>
                <w:szCs w:val="21"/>
                <w:highlight w:val="none"/>
                <w:lang w:val="en-US" w:eastAsia="zh-CN" w:bidi="ar"/>
              </w:rPr>
              <w:t>1.区域准入要求执行“1）原则上按禁止开发区域的要求进行管理，严禁不符合主体功能定位的各类开发活动，严禁任意改变用途。2）生态保护红线内，自然保护地核心保护区原则上禁止人为活动。生态保护红线内自然保护地核心保护区外，禁止开发性、生产性建设活动，在符合法律法规的前提下，仅允许以下对生态功能不造成破坏的有限人为活动：管护巡护、保护执法、科学研究、调查监测、测绘导航、防灾减灾救灾、军事国防、疫情防控等活动及相关的必要设施修筑；原住居民和其他合法权益主体，允许在不扩大现有建设用地、耕地、水产养殖规模和放牧强度（符合草畜平衡管理规定）的前提下，开展种植、放牧、捕捞、养殖等活动，修筑生产生活设施；经依法批准的考古调查发掘、古生物化石调查发掘、标本采集和文物保护活动；按规定对人工商品林进行抚育采伐，或以提升森林质量、优化栖息地、建设生物防火隔离带等为目的的树种更新；不破坏生态功能的适度参观旅游、科普宣教及符合相关规划的配套性服务设施和相关的必要公共设施建设及维护；必须且无法避让、符合县级以上国土空间规划的线性基础设施、通讯和防洪、供水设施建设和船舶航行、航道疏浚清淤等活动；已有的合法水利、交通运输等设施运行维护改造；地质调查与矿产资源勘查开采。包括：基础地质调查和战略性矿产资源远景调查等公益性工作；铀矿勘查开采活动，可办理矿业权登记；已依法设立的油气探矿权继续勘查活动，可办理探矿权延续、变更（不含扩大勘查区块范围）、保留、注销，当发现可供开采油气资源并探明储量时，可将开采拟占用的地表范围依照国家相关规定调出生态保护红线；已依法设立的油气采矿权不扩大用地范围，继续开采，可办理采矿权延续、变更（不含扩大矿区范围）、注销；已依法设立的矿泉水和地热采矿权，在不超出已经核定的生产规模、不新增生产设施的前提下继续开采，可办理采矿权延续、变更（不含扩大矿区范围）、注销；已依法设立和新立的战略性矿产探矿权开展勘查活动，可办理探矿权登记，因国家战略需要开展开采活动的，可办理采矿权登记。上述勘查开采活动，应落实减缓生态环境影响措施，严格执行绿色勘查、开采及矿山环境生态修复相关要求；依据县级以上国土空间规划和生态保护修复专项规划开展的生态修复；根据我国相关法律法规和与邻国签署的国界管理制度协定（条约）开展的边界边境通视道清理以及界务工程的修建、维护和拆除工作；法律法规规定允许的其他人为活动。上述有限人为活动管理，涉及新增建设用地的，在报批农用地转用、土地征收时，附省级人民政府出具符合生态保护红线内允许有限人为活动的认定意见；不涉及新增建设用地的，按有关规定进行管理，无明确规定的由省级人民政府制定具体监管办法。上述活动涉及自然保护地的，应征求林业和草原主管部门或自然保护地管理机构意见。生态保护红线内自然保护区、风景名胜区、饮用水水源保护区等区域，依照法律法规执行。3）鼓励各地根据生态保护需要和规划，结合土地综合整治、工矿废弃地复垦利用、矿山环境恢复治理等各类工程实施，因地制宜促进生态空间内建设用地逐步有序退出；区内已有的农业用地，建立逐步退出机制，恢复生态用途。”2.水源涵养功能极重要区同时执行“禁止开发建设活动要求：1）对重要水源涵养区建立生态功能保护区，加强对水源涵养区的保护与管理，严格保护具有重要水源涵养功能的自然植被，限制或禁止各种损害生态系统水源涵养功能的经济社会活动和生产方式，如无序采矿、毁林开荒、湿地和草地开垦、过度放牧、道路建设等。2）禁止导致水体污染的产业发展，开展生态清洁小流域的建设。3）严格监管矿产、水资源开发，严肃查处毁林、毁草、破坏湿地等行为。”3.生物多样性维护极重要区同时执行“禁止开发建设活动要求：1）禁止对野生动植物进行滥捕滥采，保持并恢复野生动植物物种和种群的平衡，实现野生动植物资源的良性循环和永续利用。2）保护自然生态系统与重要物种栖息地，限制或禁止各种损害栖息地的经济社会活动和生产方式，如无序采矿、毁林开荒、湿地和草地开垦、道路建设等，防止生态建设导致栖息环境的改变。”。4.水土保持功能极重要区同时执行“禁止开发建设活动要求：1）全面实施保护天然林、退耕还林、退牧还草工程，严禁陡坡垦殖和过度放牧。2）禁止毁林开荒、烧山开荒和陡坡地开垦，合理开发自然资源，保护和恢复自然生态系统，增强区域水土保持能力。3）禁止在幼林地砍柴、毁苗、放牧。”。5.黑龙江宝清七星河国家级自然保护区、黑龙江东升省级自然保护区、黑龙江东方红国家级自然保护区、黑龙江挠力河国家级自然保护区同时执行“禁止开发建设活动要求：1）禁止在自然保护区内进行砍伐、放牧、狩猎、捕捞、采药、开垦、烧荒、开矿、采石、挖沙等活动；但法律、行政法规等另有规定的除外。禁止任何人进入自然保护区的核心区，因科学研究的需要，必须进入核心区从事科学研究观测、调查活动的，应当事先向自然保护区管理机构提交申请和活动计划，并经自然保护区管理机构批准；其中，进入国家级自然保护区核心区的，应当经省、自治区、直辖市人民政府有关自然保护区行政主管部门批准。2）禁止在自然保护区的缓冲区开展旅游和生产经营活动。严禁开设与自然保护区保护方向不一致的参观、旅游项目。3）禁止在自然保护区的核心区和缓冲区内建设畜禽养殖场、养殖小区。4）禁止在自然保护区及其外围保护地带建立污染、破坏或者危害自然保护区自然环境和自然资源的设施。5）核心区和缓冲区内不得建设任何生产设施；实验区不得建设污染环境、破坏资源或者景观的生产设施。 5.黑龙江完达山国家森林公园同时执行“禁止开发建设活动要求：1）在国家级自然公园内开展相关活动和设施建设，不得擅自改变其自然状态和历史风貌。2）禁止擅自在国家级自然公园内从事采矿、房地产、开发区、高尔夫球场、风力光伏电场等不符合管控要求的开发活动。3）禁止违规侵占国家级自然公园，排放不符合水污染物排放标准的工业废水、生活污水及其</w:t>
            </w:r>
            <w:r>
              <w:rPr>
                <w:rFonts w:hint="eastAsia" w:cs="Times New Roman"/>
                <w:color w:val="auto"/>
                <w:kern w:val="0"/>
                <w:sz w:val="21"/>
                <w:szCs w:val="21"/>
                <w:highlight w:val="none"/>
                <w:lang w:val="en-US" w:eastAsia="zh-CN" w:bidi="ar"/>
              </w:rPr>
              <w:t>他</w:t>
            </w:r>
            <w:r>
              <w:rPr>
                <w:rFonts w:hint="default" w:ascii="Times New Roman" w:hAnsi="Times New Roman" w:eastAsia="宋体" w:cs="Times New Roman"/>
                <w:color w:val="auto"/>
                <w:kern w:val="0"/>
                <w:sz w:val="21"/>
                <w:szCs w:val="21"/>
                <w:highlight w:val="none"/>
                <w:lang w:val="en-US" w:eastAsia="zh-CN" w:bidi="ar"/>
              </w:rPr>
              <w:t>废水、污水，倾倒、堆放、丢弃、遗撒固体废物等污染生态环境的行为。限制开发建设活动要求：国家级自然公园范围内除国家重大项目外，仅允许对生态功能不造成破坏的有限人为活动：自然公园内居民和其他合法权益主体依法依规开展的生产生活及设施建设；符合自然公园保护管理要求的文化、体育活动和必要的配套设施建设；符合生态保护红线管控要求的其他活动和设施建设；法律法规和国家政策允许在自然公园内开展的其他活动。</w:t>
            </w:r>
          </w:p>
        </w:tc>
        <w:tc>
          <w:tcPr>
            <w:tcW w:w="1009" w:type="pct"/>
            <w:noWrap w:val="0"/>
            <w:vAlign w:val="center"/>
          </w:tcPr>
          <w:p w14:paraId="09931DE5">
            <w:pPr>
              <w:pStyle w:val="29"/>
              <w:keepNext w:val="0"/>
              <w:keepLines w:val="0"/>
              <w:pageBreakBefore w:val="0"/>
              <w:widowControl w:val="0"/>
              <w:kinsoku/>
              <w:wordWrap w:val="0"/>
              <w:overflowPunct/>
              <w:topLinePunct w:val="0"/>
              <w:autoSpaceDE/>
              <w:autoSpaceDN/>
              <w:bidi w:val="0"/>
              <w:adjustRightInd/>
              <w:snapToGrid/>
              <w:jc w:val="both"/>
              <w:textAlignment w:val="auto"/>
              <w:rPr>
                <w:rFonts w:hint="eastAsia" w:ascii="Times New Roman" w:hAnsi="Times New Roman" w:eastAsia="宋体" w:cs="Times New Roman"/>
                <w:color w:val="auto"/>
                <w:highlight w:val="yellow"/>
                <w:lang w:val="en-US" w:eastAsia="zh-CN"/>
              </w:rPr>
            </w:pPr>
            <w:r>
              <w:rPr>
                <w:rFonts w:hint="default" w:ascii="Times New Roman" w:hAnsi="Times New Roman" w:eastAsia="宋体" w:cs="Times New Roman"/>
                <w:color w:val="auto"/>
                <w:sz w:val="21"/>
                <w:szCs w:val="21"/>
                <w:lang w:eastAsia="zh-CN"/>
              </w:rPr>
              <w:t>本项目</w:t>
            </w:r>
            <w:r>
              <w:rPr>
                <w:rFonts w:hint="default" w:ascii="Times New Roman" w:hAnsi="Times New Roman" w:eastAsia="宋体" w:cs="Times New Roman"/>
                <w:color w:val="auto"/>
                <w:sz w:val="21"/>
                <w:szCs w:val="21"/>
                <w:highlight w:val="none"/>
              </w:rPr>
              <w:t>位于</w:t>
            </w:r>
            <w:r>
              <w:rPr>
                <w:rFonts w:hint="default" w:ascii="Times New Roman" w:hAnsi="Times New Roman" w:eastAsia="宋体" w:cs="Times New Roman"/>
                <w:color w:val="auto"/>
                <w:sz w:val="21"/>
                <w:szCs w:val="21"/>
                <w:highlight w:val="none"/>
                <w:lang w:val="en-US" w:eastAsia="zh-CN"/>
              </w:rPr>
              <w:t>黑龙江东升省级自然保护区缓冲区，</w:t>
            </w:r>
            <w:r>
              <w:rPr>
                <w:rFonts w:hint="eastAsia" w:cs="Times New Roman"/>
                <w:color w:val="auto"/>
                <w:sz w:val="21"/>
                <w:szCs w:val="21"/>
                <w:highlight w:val="none"/>
                <w:lang w:val="en-US" w:eastAsia="zh-CN"/>
              </w:rPr>
              <w:t>在</w:t>
            </w:r>
            <w:r>
              <w:rPr>
                <w:rFonts w:hint="default" w:ascii="Times New Roman" w:hAnsi="Times New Roman" w:eastAsia="宋体" w:cs="Times New Roman"/>
                <w:color w:val="auto"/>
                <w:sz w:val="21"/>
                <w:szCs w:val="21"/>
                <w:highlight w:val="none"/>
              </w:rPr>
              <w:t>原</w:t>
            </w:r>
            <w:r>
              <w:rPr>
                <w:color w:val="auto"/>
                <w:sz w:val="21"/>
                <w:szCs w:val="21"/>
                <w:highlight w:val="none"/>
              </w:rPr>
              <w:t>道路用地范围内</w:t>
            </w:r>
            <w:r>
              <w:rPr>
                <w:rFonts w:hint="eastAsia"/>
                <w:color w:val="auto"/>
                <w:sz w:val="21"/>
                <w:szCs w:val="21"/>
                <w:highlight w:val="none"/>
                <w:lang w:eastAsia="zh-CN"/>
              </w:rPr>
              <w:t>改扩建</w:t>
            </w:r>
            <w:r>
              <w:rPr>
                <w:color w:val="auto"/>
                <w:sz w:val="21"/>
                <w:szCs w:val="21"/>
                <w:highlight w:val="none"/>
              </w:rPr>
              <w:t>，不新增永久占地。</w:t>
            </w:r>
            <w:r>
              <w:rPr>
                <w:rFonts w:hint="eastAsia"/>
                <w:bCs/>
                <w:color w:val="auto"/>
                <w:szCs w:val="21"/>
                <w:highlight w:val="none"/>
              </w:rPr>
              <w:t>本项目为线性基础设施项目，属于符合现行法律法规的要求下，必须且无法避让、符合县级以上国土空间规划的线性基础设施，为允许建设开发活动。</w:t>
            </w:r>
            <w:r>
              <w:rPr>
                <w:rFonts w:hint="eastAsia"/>
                <w:bCs/>
                <w:color w:val="auto"/>
                <w:szCs w:val="21"/>
                <w:highlight w:val="none"/>
                <w:lang w:eastAsia="zh-CN"/>
              </w:rPr>
              <w:t>本项目严格</w:t>
            </w:r>
            <w:r>
              <w:rPr>
                <w:rFonts w:hint="eastAsia"/>
                <w:bCs/>
                <w:color w:val="auto"/>
                <w:szCs w:val="21"/>
                <w:highlight w:val="none"/>
              </w:rPr>
              <w:t>落实相应的环境保护措施</w:t>
            </w:r>
            <w:r>
              <w:rPr>
                <w:rFonts w:hint="eastAsia"/>
                <w:bCs/>
                <w:color w:val="auto"/>
                <w:szCs w:val="21"/>
                <w:highlight w:val="none"/>
                <w:lang w:eastAsia="zh-CN"/>
              </w:rPr>
              <w:t>。</w:t>
            </w:r>
            <w:r>
              <w:rPr>
                <w:rFonts w:hint="eastAsia" w:ascii="Times New Roman" w:hAnsi="Times New Roman" w:eastAsia="宋体" w:cs="方正仿宋_GB2312"/>
                <w:b w:val="0"/>
                <w:color w:val="auto"/>
                <w:kern w:val="0"/>
                <w:sz w:val="21"/>
                <w:szCs w:val="21"/>
                <w:highlight w:val="none"/>
                <w:lang w:eastAsia="zh-CN"/>
              </w:rPr>
              <w:t>项目占地与宝清县三江平原生物多样性维护功能生态保护红线-生物多样性维护生态功能重要区存在交集，</w:t>
            </w:r>
            <w:r>
              <w:rPr>
                <w:rFonts w:hint="default" w:ascii="Times New Roman" w:hAnsi="Times New Roman" w:eastAsia="宋体" w:cs="方正仿宋_GB2312"/>
                <w:b w:val="0"/>
                <w:color w:val="auto"/>
                <w:kern w:val="0"/>
                <w:sz w:val="21"/>
                <w:szCs w:val="21"/>
                <w:highlight w:val="none"/>
                <w:lang w:val="en-US" w:eastAsia="zh-CN"/>
              </w:rPr>
              <w:t>执行禁止开发建设活动要求</w:t>
            </w:r>
            <w:r>
              <w:rPr>
                <w:rFonts w:hint="eastAsia" w:ascii="Times New Roman" w:hAnsi="Times New Roman" w:eastAsia="宋体" w:cs="方正仿宋_GB2312"/>
                <w:b w:val="0"/>
                <w:color w:val="auto"/>
                <w:kern w:val="0"/>
                <w:sz w:val="21"/>
                <w:szCs w:val="21"/>
                <w:highlight w:val="none"/>
                <w:lang w:val="en-US" w:eastAsia="zh-CN"/>
              </w:rPr>
              <w:t>。</w:t>
            </w:r>
            <w:r>
              <w:rPr>
                <w:rFonts w:hint="eastAsia" w:ascii="Times New Roman" w:hAnsi="Times New Roman" w:eastAsia="宋体" w:cs="方正仿宋_GB2312"/>
                <w:b w:val="0"/>
                <w:color w:val="auto"/>
                <w:kern w:val="0"/>
                <w:sz w:val="21"/>
                <w:szCs w:val="21"/>
                <w:highlight w:val="none"/>
                <w:lang w:eastAsia="zh-CN"/>
              </w:rPr>
              <w:t>项目占地与</w:t>
            </w:r>
            <w:r>
              <w:rPr>
                <w:rFonts w:hint="default" w:ascii="Times New Roman" w:hAnsi="Times New Roman" w:eastAsia="宋体" w:cs="方正仿宋_GB2312"/>
                <w:b w:val="0"/>
                <w:color w:val="auto"/>
                <w:kern w:val="0"/>
                <w:sz w:val="21"/>
                <w:szCs w:val="21"/>
                <w:highlight w:val="none"/>
                <w:lang w:val="en-US" w:eastAsia="zh-CN"/>
              </w:rPr>
              <w:t>黑</w:t>
            </w:r>
            <w:r>
              <w:rPr>
                <w:rFonts w:hint="default" w:ascii="Times New Roman" w:hAnsi="Times New Roman" w:eastAsia="宋体" w:cs="Times New Roman"/>
                <w:color w:val="auto"/>
                <w:kern w:val="0"/>
                <w:sz w:val="21"/>
                <w:szCs w:val="21"/>
                <w:highlight w:val="none"/>
                <w:lang w:val="en-US" w:eastAsia="zh-CN" w:bidi="ar"/>
              </w:rPr>
              <w:t>龙江东升省级自然保护区</w:t>
            </w:r>
            <w:r>
              <w:rPr>
                <w:rFonts w:hint="eastAsia" w:ascii="Times New Roman" w:hAnsi="Times New Roman" w:eastAsia="宋体" w:cs="Times New Roman"/>
                <w:color w:val="auto"/>
                <w:kern w:val="0"/>
                <w:sz w:val="21"/>
                <w:szCs w:val="21"/>
                <w:highlight w:val="none"/>
                <w:lang w:val="en-US" w:eastAsia="zh-CN" w:bidi="ar"/>
              </w:rPr>
              <w:t>、</w:t>
            </w:r>
            <w:r>
              <w:rPr>
                <w:rFonts w:hint="eastAsia" w:ascii="Times New Roman" w:hAnsi="Times New Roman" w:eastAsia="宋体" w:cs="Times New Roman"/>
                <w:bCs/>
                <w:color w:val="auto"/>
                <w:szCs w:val="21"/>
                <w:highlight w:val="none"/>
                <w:lang w:val="en-US" w:eastAsia="zh-CN"/>
              </w:rPr>
              <w:t>黑龙江完达山国家森林公园</w:t>
            </w:r>
            <w:r>
              <w:rPr>
                <w:rFonts w:hint="eastAsia" w:ascii="Times New Roman" w:hAnsi="Times New Roman" w:eastAsia="宋体" w:cs="方正仿宋_GB2312"/>
                <w:b w:val="0"/>
                <w:color w:val="auto"/>
                <w:kern w:val="0"/>
                <w:sz w:val="21"/>
                <w:szCs w:val="21"/>
                <w:highlight w:val="none"/>
                <w:lang w:eastAsia="zh-CN"/>
              </w:rPr>
              <w:t>存在交集，</w:t>
            </w:r>
            <w:r>
              <w:rPr>
                <w:rFonts w:hint="default" w:ascii="Times New Roman" w:hAnsi="Times New Roman" w:eastAsia="宋体" w:cs="Times New Roman"/>
                <w:color w:val="auto"/>
                <w:kern w:val="0"/>
                <w:sz w:val="21"/>
                <w:szCs w:val="21"/>
                <w:highlight w:val="none"/>
                <w:lang w:val="en-US" w:eastAsia="zh-CN" w:bidi="ar"/>
              </w:rPr>
              <w:t>执行禁止开发建设活动要求</w:t>
            </w:r>
            <w:r>
              <w:rPr>
                <w:rFonts w:hint="eastAsia" w:ascii="Times New Roman" w:hAnsi="Times New Roman" w:eastAsia="宋体" w:cs="Times New Roman"/>
                <w:color w:val="auto"/>
                <w:kern w:val="0"/>
                <w:sz w:val="21"/>
                <w:szCs w:val="21"/>
                <w:highlight w:val="none"/>
                <w:lang w:val="en-US" w:eastAsia="zh-CN" w:bidi="ar"/>
              </w:rPr>
              <w:t>。</w:t>
            </w:r>
            <w:r>
              <w:rPr>
                <w:rFonts w:hint="eastAsia"/>
                <w:bCs/>
                <w:color w:val="auto"/>
                <w:szCs w:val="21"/>
                <w:highlight w:val="none"/>
                <w:lang w:eastAsia="zh-CN"/>
              </w:rPr>
              <w:t>本项目不涉及</w:t>
            </w:r>
            <w:r>
              <w:rPr>
                <w:rFonts w:hint="default" w:ascii="Times New Roman" w:hAnsi="Times New Roman" w:eastAsia="宋体" w:cs="Times New Roman"/>
                <w:color w:val="auto"/>
                <w:kern w:val="0"/>
                <w:sz w:val="21"/>
                <w:szCs w:val="21"/>
                <w:highlight w:val="none"/>
                <w:lang w:val="en-US" w:eastAsia="zh-CN" w:bidi="ar"/>
              </w:rPr>
              <w:t>水源涵养功能极重要区</w:t>
            </w:r>
            <w:r>
              <w:rPr>
                <w:rFonts w:hint="eastAsia" w:ascii="Times New Roman" w:hAnsi="Times New Roman" w:eastAsia="宋体" w:cs="Times New Roman"/>
                <w:color w:val="auto"/>
                <w:kern w:val="0"/>
                <w:sz w:val="21"/>
                <w:szCs w:val="21"/>
                <w:highlight w:val="none"/>
                <w:lang w:val="en-US" w:eastAsia="zh-CN" w:bidi="ar"/>
              </w:rPr>
              <w:t>。</w:t>
            </w:r>
            <w:r>
              <w:rPr>
                <w:rFonts w:hint="eastAsia"/>
                <w:bCs/>
                <w:color w:val="auto"/>
                <w:szCs w:val="21"/>
                <w:highlight w:val="none"/>
                <w:lang w:eastAsia="zh-CN"/>
              </w:rPr>
              <w:t>综上所述，</w:t>
            </w:r>
            <w:r>
              <w:rPr>
                <w:rFonts w:hint="eastAsia"/>
                <w:bCs/>
                <w:color w:val="auto"/>
                <w:szCs w:val="21"/>
                <w:highlight w:val="none"/>
              </w:rPr>
              <w:t>与生态保护红线管理要求相符。</w:t>
            </w:r>
          </w:p>
        </w:tc>
        <w:tc>
          <w:tcPr>
            <w:tcW w:w="314" w:type="pct"/>
            <w:noWrap w:val="0"/>
            <w:vAlign w:val="center"/>
          </w:tcPr>
          <w:p w14:paraId="269A6135">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highlight w:val="none"/>
                <w:lang w:val="en-US" w:eastAsia="zh-CN"/>
              </w:rPr>
            </w:pPr>
            <w:r>
              <w:rPr>
                <w:rFonts w:hint="eastAsia"/>
                <w:color w:val="auto"/>
                <w:highlight w:val="none"/>
                <w:lang w:val="en-US" w:eastAsia="zh-CN"/>
              </w:rPr>
              <w:t>符合</w:t>
            </w:r>
          </w:p>
        </w:tc>
      </w:tr>
      <w:tr w14:paraId="69649790">
        <w:tblPrEx>
          <w:tblBorders>
            <w:top w:val="single" w:color="auto" w:sz="12" w:space="0"/>
            <w:left w:val="none" w:color="auto" w:sz="0" w:space="0"/>
            <w:bottom w:val="single" w:color="auto" w:sz="12" w:space="0"/>
            <w:right w:val="none" w:color="auto" w:sz="0" w:space="0"/>
            <w:insideH w:val="single" w:color="auto" w:sz="8" w:space="0"/>
            <w:insideV w:val="single" w:color="auto" w:sz="6" w:space="0"/>
          </w:tblBorders>
          <w:tblCellMar>
            <w:top w:w="0" w:type="dxa"/>
            <w:left w:w="108" w:type="dxa"/>
            <w:bottom w:w="0" w:type="dxa"/>
            <w:right w:w="108" w:type="dxa"/>
          </w:tblCellMar>
        </w:tblPrEx>
        <w:trPr>
          <w:trHeight w:val="454" w:hRule="atLeast"/>
          <w:jc w:val="center"/>
        </w:trPr>
        <w:tc>
          <w:tcPr>
            <w:tcW w:w="397" w:type="pct"/>
            <w:noWrap w:val="0"/>
            <w:vAlign w:val="center"/>
          </w:tcPr>
          <w:p w14:paraId="0CABCE44">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ZH23052310002</w:t>
            </w:r>
          </w:p>
        </w:tc>
        <w:tc>
          <w:tcPr>
            <w:tcW w:w="453" w:type="pct"/>
            <w:noWrap w:val="0"/>
            <w:vAlign w:val="center"/>
          </w:tcPr>
          <w:p w14:paraId="3F91A611">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宝清县</w:t>
            </w:r>
            <w:r>
              <w:rPr>
                <w:rFonts w:hint="eastAsia" w:ascii="Times New Roman" w:hAnsi="Times New Roman" w:eastAsia="宋体" w:cs="Times New Roman"/>
                <w:color w:val="auto"/>
                <w:highlight w:val="none"/>
                <w:lang w:val="en-US" w:eastAsia="zh-CN"/>
              </w:rPr>
              <w:t>一般生态空间</w:t>
            </w:r>
          </w:p>
        </w:tc>
        <w:tc>
          <w:tcPr>
            <w:tcW w:w="321" w:type="pct"/>
            <w:noWrap w:val="0"/>
            <w:vAlign w:val="center"/>
          </w:tcPr>
          <w:p w14:paraId="79866F7C">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优先保护单元</w:t>
            </w:r>
          </w:p>
        </w:tc>
        <w:tc>
          <w:tcPr>
            <w:tcW w:w="156" w:type="pct"/>
            <w:noWrap w:val="0"/>
            <w:vAlign w:val="center"/>
          </w:tcPr>
          <w:p w14:paraId="355DD224">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空间布局约束</w:t>
            </w:r>
          </w:p>
        </w:tc>
        <w:tc>
          <w:tcPr>
            <w:tcW w:w="2346" w:type="pct"/>
            <w:noWrap w:val="0"/>
            <w:vAlign w:val="center"/>
          </w:tcPr>
          <w:p w14:paraId="5E4B4319">
            <w:pPr>
              <w:pStyle w:val="29"/>
              <w:keepNext w:val="0"/>
              <w:keepLines w:val="0"/>
              <w:pageBreakBefore w:val="0"/>
              <w:widowControl w:val="0"/>
              <w:kinsoku/>
              <w:wordWrap w:val="0"/>
              <w:overflowPunct/>
              <w:topLinePunct w:val="0"/>
              <w:autoSpaceDE/>
              <w:autoSpaceDN/>
              <w:bidi w:val="0"/>
              <w:adjustRightInd/>
              <w:snapToGrid/>
              <w:jc w:val="both"/>
              <w:textAlignment w:val="auto"/>
              <w:rPr>
                <w:rFonts w:hint="default" w:ascii="Times New Roman" w:hAnsi="Times New Roman" w:eastAsia="宋体" w:cs="Times New Roman"/>
                <w:bCs/>
                <w:color w:val="auto"/>
                <w:szCs w:val="21"/>
                <w:highlight w:val="none"/>
              </w:rPr>
            </w:pPr>
            <w:r>
              <w:rPr>
                <w:rFonts w:hint="default" w:ascii="Times New Roman" w:hAnsi="Times New Roman" w:eastAsia="宋体" w:cs="Times New Roman"/>
                <w:bCs/>
                <w:color w:val="auto"/>
                <w:szCs w:val="21"/>
                <w:highlight w:val="none"/>
                <w:lang w:val="en-US" w:eastAsia="zh-CN"/>
              </w:rPr>
              <w:t>1.区域准入要求“1）原则上按限制开发区域的要求进行管理。严格限制与生态功能不一致的开发建设活动。符合区域准入条件的新增建设项目，涉及占用生态空间中的林地、草原等，按有关法律法规规定办理；涉及占用生态空间中其他未作明确规定的用地，应当加强论证和管理。符合条件的农业开发项目，须依法由市县级及以上地方人民政府统筹安排。除符合国家生态退耕条件的耕地，并纳入国家生态退耕总体安排，或因国家重大生态工程建设需要外，不得随意转用。2）对依法保护的生态空间实行承载力控制，防止过度垦殖、放牧、采伐、取水、渔猎、旅游等对生态功能造成损害，确保自然生态系统的稳定。3）避免开发建设活动损害其生态服务功能和生态产品质量。4）已经侵占生态空间的，应建立退出机制、制定治理方案及时间表。2.黑龙江完达山国家森林公园同时执行“禁止开发建设活动要求：1）在国家级自然公园内开展相关活动和设施建设，不得擅自改变其自然状态和历史风貌。2）禁止擅自在国家级自然公园内从事采矿、房地产、开发区、高尔夫球场、风力光伏电场等不符合管控要求的开发活动。3）禁止违规侵占国家级自然公园，排放不符合水污染物排放标准的工业废水、生活污水及其</w:t>
            </w:r>
            <w:r>
              <w:rPr>
                <w:rFonts w:hint="eastAsia" w:cs="Times New Roman"/>
                <w:bCs/>
                <w:color w:val="auto"/>
                <w:szCs w:val="21"/>
                <w:highlight w:val="none"/>
                <w:lang w:val="en-US" w:eastAsia="zh-CN"/>
              </w:rPr>
              <w:t>他</w:t>
            </w:r>
            <w:r>
              <w:rPr>
                <w:rFonts w:hint="default" w:ascii="Times New Roman" w:hAnsi="Times New Roman" w:eastAsia="宋体" w:cs="Times New Roman"/>
                <w:bCs/>
                <w:color w:val="auto"/>
                <w:szCs w:val="21"/>
                <w:highlight w:val="none"/>
                <w:lang w:val="en-US" w:eastAsia="zh-CN"/>
              </w:rPr>
              <w:t xml:space="preserve">废水、污水，倾倒、堆放、丢弃、遗撒固体废物等污染生态环境的行为。限制开发建设活动要求：国家级自然公园范围内除国家重大项目外，仅允许对生态功能不造成破坏的有限人为活动：自然公园内居民和其他合法权益主体依法依规开展的生产生活及设施建设；符合自然公园保护管理要求的文化、体育活动和必要的配套设施建设；符合生态保护红线管控要求的其他活动和设施建设；法律法规和国家政策允许在自然公园内开展的其他活动。3.双鸭山市寒葱沟水库饮用水水源、红兴隆管理局八五三农场场部饮用水水源执行“1）饮用水地表水源各级保护区及准保护区内均必须遵守下列规定：（1）禁止一切破坏水环境生态平衡的活动以及破坏水源林、护岸林、与水源保护相关植被的活动。（2）禁止向水域倾倒工业废渣、城市垃圾、粪便及其它废弃物。（3）运输有毒有害物质、油类、粪便的船舶和车辆一般不准进入保护区，必须进入者应事先申请并经有关部门批准、登记并设置防渗、防溢、防漏设施。（4）禁止使用剧毒和高残留农药，不得滥用化肥，不得使用炸药、毒品捕杀鱼类。（5）禁止建设畜禽养殖场、养殖小区。（6）禁止设置排污口。2）饮用水地表水源各级保护区及准保护区内必须分别遵守下列规定：（1）一级保护区内：禁止新建、扩建与供水设施和保护水源无关的建设项目，已建成的与供水设施和保护水源无关的建设项目，由县级以上人民政府责令拆除或者关闭；禁止向水域排放污水，已设置的排污口必须拆除；不得设置与供水需要无关的码头，禁止停靠船舶；禁止堆置 </w:t>
            </w:r>
          </w:p>
          <w:p w14:paraId="41F75F0A">
            <w:pPr>
              <w:pStyle w:val="29"/>
              <w:keepNext w:val="0"/>
              <w:keepLines w:val="0"/>
              <w:pageBreakBefore w:val="0"/>
              <w:widowControl w:val="0"/>
              <w:kinsoku/>
              <w:wordWrap w:val="0"/>
              <w:overflowPunct/>
              <w:topLinePunct w:val="0"/>
              <w:autoSpaceDE/>
              <w:autoSpaceDN/>
              <w:bidi w:val="0"/>
              <w:adjustRightInd/>
              <w:snapToGrid/>
              <w:jc w:val="both"/>
              <w:textAlignment w:val="auto"/>
              <w:rPr>
                <w:rFonts w:hint="default" w:ascii="Times New Roman" w:hAnsi="Times New Roman" w:eastAsia="宋体" w:cs="Times New Roman"/>
                <w:bCs/>
                <w:color w:val="auto"/>
                <w:szCs w:val="21"/>
                <w:highlight w:val="none"/>
              </w:rPr>
            </w:pPr>
            <w:r>
              <w:rPr>
                <w:rFonts w:hint="default" w:ascii="Times New Roman" w:hAnsi="Times New Roman" w:eastAsia="宋体" w:cs="Times New Roman"/>
                <w:bCs/>
                <w:color w:val="auto"/>
                <w:szCs w:val="21"/>
                <w:highlight w:val="none"/>
                <w:lang w:val="en-US" w:eastAsia="zh-CN"/>
              </w:rPr>
              <w:t>和存放工业废渣、城市垃圾、粪便和其他废弃物；禁止设置油库；禁止从事种植、放养畜禽和网箱养殖活动；禁止可能污染水源的旅游活动和其他活动。（2）二级保护区内：禁止新建、改建、扩建排放污染物的建设项目，已建成的排放污染物的建设项目，由县级以上人民政府责令拆除或者关闭；原有排污口依法拆除或者关闭；禁止设立装卸垃圾、粪便、油类和有毒物品的码头。（3）准保护区内：禁止新建、扩建对水体污染严重的建设项目；改建建设项目，不得增加排污量。3）国务院和省、自治区、直辖市人民政府根据水环境保护的需要，可以规定在饮用水水源保护区内，采取禁止或者限制使用含磷洗涤剂、化肥、农药以及限制种植养殖等措施。4）饮用水地下水源各级保护区及准保护区内均必须遵守下列规定：禁止利用渗坑、渗井、裂隙、溶洞等排放污水和其它有害废弃物；禁止利用透水层孔隙、裂隙、溶洞及废弃矿坑储存石油、天然气、放射性物质、有毒有害化工原料、农药等；实行人工回灌地下水时不得污染当地地下水源。（1）一级保护区内：禁止建设与取水设施无关的建筑物；禁止从事农牧业活动；禁止倾倒、堆放工业废渣及城市垃圾、粪便和其它有害废弃物；禁止输送污水的渠道、管道及输油管道通过本区；禁止建设油库；禁止建立墓地。（2）二级保护区内：①对于潜水含水层地下水水源地：禁止建设化工、电镀、皮革、造纸、制浆、冶炼、放射性、印染、染料、炼焦、炼油及其它有严重污染的企业，已建成的要限期治理，转产或搬迁；禁止设置城市垃圾、粪便和易溶、有毒有害废弃物堆放场和转运站，已有的上述场站要限期搬迁；禁止利用未经净化的污水灌溉农田，已有的污灌农田要限期改用清水灌溉；化工原料、矿物油类及有毒有害矿产品的堆放场所必须有防雨、防渗措施。②对于承压含水层地下水水源地：禁止承压水和潜水的混合开采，作好潜水的止水措施。（3）准保护区内：禁止建设城市垃圾、粪便和易溶、有毒有害废弃物的堆放场站，因特殊需要设立转运站的，必须经有关部门批准，并采取防渗漏措施；当补给源为地表水体时，该地表水体水质不应低于《地表水环境质量标准》Ⅲ类标准；不得使用不符合《农田灌溉水质标准》的污水进行灌溉，合理使用化肥；保护水源林，禁止毁林开荒，禁止非更新砍伐水源林。”</w:t>
            </w:r>
          </w:p>
        </w:tc>
        <w:tc>
          <w:tcPr>
            <w:tcW w:w="1009" w:type="pct"/>
            <w:noWrap w:val="0"/>
            <w:vAlign w:val="center"/>
          </w:tcPr>
          <w:p w14:paraId="2F37F152">
            <w:pPr>
              <w:pStyle w:val="29"/>
              <w:bidi w:val="0"/>
              <w:ind w:firstLine="0" w:firstLineChars="0"/>
              <w:jc w:val="both"/>
              <w:rPr>
                <w:rFonts w:hint="eastAsia"/>
                <w:bCs/>
                <w:color w:val="auto"/>
                <w:szCs w:val="21"/>
                <w:highlight w:val="yellow"/>
                <w:lang w:eastAsia="zh-CN"/>
              </w:rPr>
            </w:pPr>
            <w:r>
              <w:rPr>
                <w:rFonts w:hint="eastAsia"/>
                <w:bCs/>
                <w:color w:val="auto"/>
                <w:szCs w:val="21"/>
                <w:highlight w:val="none"/>
              </w:rPr>
              <w:t>本项目为线性基础设施</w:t>
            </w:r>
            <w:r>
              <w:rPr>
                <w:rFonts w:hint="eastAsia"/>
                <w:bCs/>
                <w:color w:val="auto"/>
                <w:szCs w:val="21"/>
                <w:highlight w:val="none"/>
                <w:lang w:eastAsia="zh-CN"/>
              </w:rPr>
              <w:t>改扩建</w:t>
            </w:r>
            <w:r>
              <w:rPr>
                <w:rFonts w:hint="eastAsia"/>
                <w:bCs/>
                <w:color w:val="auto"/>
                <w:szCs w:val="21"/>
                <w:highlight w:val="none"/>
              </w:rPr>
              <w:t>项目，</w:t>
            </w:r>
            <w:r>
              <w:rPr>
                <w:rFonts w:hint="eastAsia"/>
                <w:bCs/>
                <w:color w:val="auto"/>
                <w:szCs w:val="21"/>
                <w:highlight w:val="none"/>
                <w:lang w:eastAsia="zh-CN"/>
              </w:rPr>
              <w:t>在</w:t>
            </w:r>
            <w:r>
              <w:rPr>
                <w:rFonts w:hint="default" w:ascii="Times New Roman" w:hAnsi="Times New Roman" w:eastAsia="宋体" w:cs="Times New Roman"/>
                <w:color w:val="auto"/>
                <w:highlight w:val="none"/>
              </w:rPr>
              <w:t>原</w:t>
            </w:r>
            <w:r>
              <w:rPr>
                <w:color w:val="auto"/>
                <w:highlight w:val="none"/>
              </w:rPr>
              <w:t>道路用地范围内，不新增永久占地。</w:t>
            </w:r>
            <w:r>
              <w:rPr>
                <w:rFonts w:hint="eastAsia"/>
                <w:bCs/>
                <w:color w:val="auto"/>
                <w:szCs w:val="21"/>
                <w:highlight w:val="none"/>
              </w:rPr>
              <w:t>属于符合现行法律法规的要求下，必须且无法避让、符合县级以上国土空间规划的线性基础设施，为允许建设开发活动。</w:t>
            </w:r>
          </w:p>
          <w:p w14:paraId="454BC30C">
            <w:pPr>
              <w:pStyle w:val="29"/>
              <w:bidi w:val="0"/>
              <w:ind w:firstLine="0" w:firstLineChars="0"/>
              <w:jc w:val="both"/>
              <w:rPr>
                <w:rFonts w:hint="eastAsia" w:ascii="Times New Roman" w:hAnsi="Times New Roman" w:eastAsia="宋体" w:cs="Times New Roman"/>
                <w:color w:val="auto"/>
                <w:kern w:val="2"/>
                <w:sz w:val="21"/>
                <w:szCs w:val="21"/>
                <w:highlight w:val="yellow"/>
                <w:lang w:val="en-US" w:eastAsia="zh-CN" w:bidi="ar-SA"/>
              </w:rPr>
            </w:pPr>
            <w:r>
              <w:rPr>
                <w:rFonts w:hint="eastAsia"/>
                <w:bCs/>
                <w:color w:val="auto"/>
                <w:szCs w:val="21"/>
                <w:highlight w:val="none"/>
                <w:lang w:eastAsia="zh-CN"/>
              </w:rPr>
              <w:t>项目不涉及过度</w:t>
            </w:r>
            <w:r>
              <w:rPr>
                <w:rFonts w:hint="eastAsia" w:ascii="Times New Roman" w:hAnsi="Times New Roman" w:eastAsia="宋体" w:cs="方正仿宋_GB2312"/>
                <w:b w:val="0"/>
                <w:color w:val="auto"/>
                <w:kern w:val="0"/>
                <w:sz w:val="21"/>
                <w:szCs w:val="21"/>
                <w:highlight w:val="none"/>
              </w:rPr>
              <w:t>垦殖、放牧、采伐、取水、渔猎、旅游等</w:t>
            </w:r>
            <w:r>
              <w:rPr>
                <w:rFonts w:hint="eastAsia" w:ascii="Times New Roman" w:hAnsi="Times New Roman" w:eastAsia="宋体" w:cs="方正仿宋_GB2312"/>
                <w:b w:val="0"/>
                <w:color w:val="auto"/>
                <w:kern w:val="0"/>
                <w:sz w:val="21"/>
                <w:szCs w:val="21"/>
                <w:highlight w:val="none"/>
                <w:lang w:eastAsia="zh-CN"/>
              </w:rPr>
              <w:t>行为。项目建设不会损害生态服务功能和生态产品质量，不侵占生态空间。项目占地与</w:t>
            </w:r>
            <w:r>
              <w:rPr>
                <w:rFonts w:hint="eastAsia" w:ascii="Times New Roman" w:hAnsi="Times New Roman" w:eastAsia="宋体" w:cs="Times New Roman"/>
                <w:bCs/>
                <w:color w:val="auto"/>
                <w:szCs w:val="21"/>
                <w:highlight w:val="none"/>
                <w:lang w:val="en-US" w:eastAsia="zh-CN"/>
              </w:rPr>
              <w:t>黑龙江完达山国家森林公园</w:t>
            </w:r>
            <w:r>
              <w:rPr>
                <w:rFonts w:hint="eastAsia" w:ascii="Times New Roman" w:hAnsi="Times New Roman" w:eastAsia="宋体" w:cs="方正仿宋_GB2312"/>
                <w:b w:val="0"/>
                <w:color w:val="auto"/>
                <w:kern w:val="0"/>
                <w:sz w:val="21"/>
                <w:szCs w:val="21"/>
                <w:highlight w:val="none"/>
                <w:lang w:eastAsia="zh-CN"/>
              </w:rPr>
              <w:t>存在交集，因此执行相应“禁止开发建设活动要求”。</w:t>
            </w:r>
            <w:r>
              <w:rPr>
                <w:rFonts w:hint="eastAsia" w:ascii="Times New Roman" w:hAnsi="Times New Roman" w:eastAsia="宋体"/>
                <w:b w:val="0"/>
                <w:color w:val="auto"/>
                <w:sz w:val="21"/>
                <w:szCs w:val="21"/>
                <w:highlight w:val="none"/>
                <w:lang w:eastAsia="zh-CN"/>
              </w:rPr>
              <w:t>项目不位于</w:t>
            </w:r>
            <w:r>
              <w:rPr>
                <w:rFonts w:hint="eastAsia" w:ascii="Times New Roman" w:hAnsi="Times New Roman" w:eastAsia="宋体" w:cs="Times New Roman"/>
                <w:bCs/>
                <w:color w:val="auto"/>
                <w:szCs w:val="21"/>
                <w:highlight w:val="none"/>
                <w:lang w:val="en-US" w:eastAsia="zh-CN"/>
              </w:rPr>
              <w:t>双鸭山市寒葱沟水库饮用水水源、红兴隆管理局八五三农场场部饮用水水源</w:t>
            </w:r>
            <w:r>
              <w:rPr>
                <w:rFonts w:hint="eastAsia" w:ascii="Times New Roman" w:hAnsi="Times New Roman" w:eastAsia="宋体"/>
                <w:b w:val="0"/>
                <w:color w:val="auto"/>
                <w:sz w:val="21"/>
                <w:szCs w:val="21"/>
                <w:highlight w:val="none"/>
                <w:lang w:eastAsia="zh-CN"/>
              </w:rPr>
              <w:t>。</w:t>
            </w:r>
            <w:r>
              <w:rPr>
                <w:rFonts w:hint="eastAsia"/>
                <w:bCs/>
                <w:color w:val="auto"/>
                <w:szCs w:val="21"/>
                <w:highlight w:val="none"/>
                <w:lang w:eastAsia="zh-CN"/>
              </w:rPr>
              <w:t>综上所述，</w:t>
            </w:r>
            <w:r>
              <w:rPr>
                <w:rFonts w:hint="eastAsia"/>
                <w:bCs/>
                <w:color w:val="auto"/>
                <w:szCs w:val="21"/>
                <w:highlight w:val="none"/>
              </w:rPr>
              <w:t>与</w:t>
            </w:r>
            <w:r>
              <w:rPr>
                <w:rFonts w:hint="eastAsia"/>
                <w:bCs/>
                <w:color w:val="auto"/>
                <w:szCs w:val="21"/>
                <w:highlight w:val="none"/>
                <w:lang w:eastAsia="zh-CN"/>
              </w:rPr>
              <w:t>一般生态空间</w:t>
            </w:r>
            <w:r>
              <w:rPr>
                <w:rFonts w:hint="eastAsia"/>
                <w:bCs/>
                <w:color w:val="auto"/>
                <w:szCs w:val="21"/>
                <w:highlight w:val="none"/>
              </w:rPr>
              <w:t>管理要求相符。</w:t>
            </w:r>
          </w:p>
        </w:tc>
        <w:tc>
          <w:tcPr>
            <w:tcW w:w="314" w:type="pct"/>
            <w:noWrap w:val="0"/>
            <w:vAlign w:val="center"/>
          </w:tcPr>
          <w:p w14:paraId="10BCE33A">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符合</w:t>
            </w:r>
          </w:p>
        </w:tc>
      </w:tr>
      <w:tr w14:paraId="4301D8B2">
        <w:tblPrEx>
          <w:tblBorders>
            <w:top w:val="single" w:color="auto" w:sz="12" w:space="0"/>
            <w:left w:val="none" w:color="auto" w:sz="0" w:space="0"/>
            <w:bottom w:val="single" w:color="auto" w:sz="12" w:space="0"/>
            <w:right w:val="none" w:color="auto" w:sz="0" w:space="0"/>
            <w:insideH w:val="single" w:color="auto" w:sz="8" w:space="0"/>
            <w:insideV w:val="single" w:color="auto" w:sz="6" w:space="0"/>
          </w:tblBorders>
          <w:tblCellMar>
            <w:top w:w="0" w:type="dxa"/>
            <w:left w:w="108" w:type="dxa"/>
            <w:bottom w:w="0" w:type="dxa"/>
            <w:right w:w="108" w:type="dxa"/>
          </w:tblCellMar>
        </w:tblPrEx>
        <w:trPr>
          <w:trHeight w:val="454" w:hRule="atLeast"/>
          <w:jc w:val="center"/>
        </w:trPr>
        <w:tc>
          <w:tcPr>
            <w:tcW w:w="397" w:type="pct"/>
            <w:vMerge w:val="restart"/>
            <w:noWrap w:val="0"/>
            <w:vAlign w:val="center"/>
          </w:tcPr>
          <w:p w14:paraId="133BDB7E">
            <w:pPr>
              <w:pStyle w:val="29"/>
              <w:bidi w:val="0"/>
              <w:ind w:firstLine="0" w:firstLineChars="0"/>
              <w:jc w:val="both"/>
              <w:rPr>
                <w:rFonts w:hint="default" w:ascii="Times New Roman" w:hAnsi="Times New Roman" w:eastAsia="宋体" w:cs="Times New Roman"/>
                <w:bCs/>
                <w:color w:val="auto"/>
                <w:sz w:val="21"/>
                <w:szCs w:val="21"/>
                <w:highlight w:val="none"/>
                <w:lang w:val="en-US" w:eastAsia="zh-CN"/>
              </w:rPr>
            </w:pPr>
            <w:r>
              <w:rPr>
                <w:rFonts w:hint="eastAsia" w:ascii="Times New Roman" w:hAnsi="Times New Roman" w:eastAsia="宋体" w:cs="Times New Roman"/>
                <w:bCs/>
                <w:color w:val="auto"/>
                <w:sz w:val="21"/>
                <w:szCs w:val="21"/>
                <w:highlight w:val="none"/>
                <w:lang w:val="en-US" w:eastAsia="zh-CN"/>
              </w:rPr>
              <w:t>ZH23052320005</w:t>
            </w:r>
          </w:p>
        </w:tc>
        <w:tc>
          <w:tcPr>
            <w:tcW w:w="453" w:type="pct"/>
            <w:vMerge w:val="restart"/>
            <w:noWrap w:val="0"/>
            <w:vAlign w:val="center"/>
          </w:tcPr>
          <w:p w14:paraId="62DF9806">
            <w:pPr>
              <w:pStyle w:val="29"/>
              <w:bidi w:val="0"/>
              <w:ind w:firstLine="0" w:firstLineChars="0"/>
              <w:jc w:val="both"/>
              <w:rPr>
                <w:rFonts w:hint="default" w:ascii="Times New Roman" w:hAnsi="Times New Roman" w:eastAsia="宋体" w:cs="Times New Roman"/>
                <w:bCs/>
                <w:color w:val="auto"/>
                <w:sz w:val="21"/>
                <w:szCs w:val="21"/>
                <w:highlight w:val="none"/>
                <w:lang w:val="en-US" w:eastAsia="zh-CN"/>
              </w:rPr>
            </w:pPr>
            <w:r>
              <w:rPr>
                <w:rFonts w:hint="eastAsia" w:ascii="Times New Roman" w:hAnsi="Times New Roman" w:eastAsia="宋体" w:cs="Times New Roman"/>
                <w:bCs/>
                <w:color w:val="auto"/>
                <w:sz w:val="21"/>
                <w:szCs w:val="21"/>
                <w:highlight w:val="none"/>
                <w:lang w:val="en-US" w:eastAsia="zh-CN"/>
              </w:rPr>
              <w:t>宝清县水环境农业污染重点管控区</w:t>
            </w:r>
          </w:p>
        </w:tc>
        <w:tc>
          <w:tcPr>
            <w:tcW w:w="321" w:type="pct"/>
            <w:vMerge w:val="restart"/>
            <w:noWrap w:val="0"/>
            <w:vAlign w:val="center"/>
          </w:tcPr>
          <w:p w14:paraId="1675C7F8">
            <w:pPr>
              <w:pStyle w:val="29"/>
              <w:bidi w:val="0"/>
              <w:ind w:firstLine="0" w:firstLineChars="0"/>
              <w:jc w:val="both"/>
              <w:rPr>
                <w:rFonts w:hint="eastAsia" w:ascii="Times New Roman" w:hAnsi="Times New Roman" w:eastAsia="宋体" w:cs="Times New Roman"/>
                <w:bCs/>
                <w:color w:val="auto"/>
                <w:sz w:val="21"/>
                <w:szCs w:val="21"/>
                <w:highlight w:val="none"/>
                <w:lang w:val="en-US" w:eastAsia="zh-CN"/>
              </w:rPr>
            </w:pPr>
            <w:r>
              <w:rPr>
                <w:rFonts w:hint="eastAsia" w:ascii="Times New Roman" w:hAnsi="Times New Roman" w:eastAsia="宋体" w:cs="Times New Roman"/>
                <w:bCs/>
                <w:color w:val="auto"/>
                <w:sz w:val="21"/>
                <w:szCs w:val="21"/>
                <w:highlight w:val="none"/>
                <w:lang w:val="en-US" w:eastAsia="zh-CN"/>
              </w:rPr>
              <w:t>重点管控单位</w:t>
            </w:r>
          </w:p>
        </w:tc>
        <w:tc>
          <w:tcPr>
            <w:tcW w:w="156" w:type="pct"/>
            <w:noWrap w:val="0"/>
            <w:vAlign w:val="center"/>
          </w:tcPr>
          <w:p w14:paraId="3ECEADF0">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空间布局约束</w:t>
            </w:r>
          </w:p>
        </w:tc>
        <w:tc>
          <w:tcPr>
            <w:tcW w:w="2346" w:type="pct"/>
            <w:noWrap w:val="0"/>
            <w:vAlign w:val="center"/>
          </w:tcPr>
          <w:p w14:paraId="1DE8FB1C">
            <w:pPr>
              <w:pStyle w:val="29"/>
              <w:bidi w:val="0"/>
              <w:ind w:firstLine="0" w:firstLineChars="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kern w:val="0"/>
                <w:sz w:val="21"/>
                <w:szCs w:val="21"/>
                <w:highlight w:val="none"/>
                <w:lang w:val="en-US" w:eastAsia="zh-CN" w:bidi="ar"/>
              </w:rPr>
              <w:t>执行“1）科学划定畜禽养殖禁养区。2）加快农业结构调整。松嫩平原和三江平原等地下水易受污染地区优先种植需肥需药量低、环境效益突出的农作物；在西部干旱区发展谷子、高粱等耐旱杂粮种植；在北部四、五积温区开展米豆麦轮作，促进化肥需求低的农作物面积恢复性增长。”</w:t>
            </w:r>
          </w:p>
        </w:tc>
        <w:tc>
          <w:tcPr>
            <w:tcW w:w="1009" w:type="pct"/>
            <w:vMerge w:val="restart"/>
            <w:noWrap w:val="0"/>
            <w:vAlign w:val="center"/>
          </w:tcPr>
          <w:p w14:paraId="07BB274D">
            <w:pPr>
              <w:pStyle w:val="29"/>
              <w:bidi w:val="0"/>
              <w:ind w:firstLine="0" w:firstLineChars="0"/>
              <w:jc w:val="both"/>
              <w:rPr>
                <w:rFonts w:hint="eastAsia" w:ascii="Times New Roman" w:hAnsi="Times New Roman" w:eastAsia="宋体" w:cs="Times New Roman"/>
                <w:color w:val="auto"/>
                <w:highlight w:val="yellow"/>
                <w:lang w:val="en-US" w:eastAsia="zh-CN"/>
              </w:rPr>
            </w:pPr>
            <w:r>
              <w:rPr>
                <w:bCs/>
                <w:color w:val="auto"/>
                <w:sz w:val="21"/>
                <w:szCs w:val="21"/>
                <w:highlight w:val="none"/>
              </w:rPr>
              <w:t>本项目为</w:t>
            </w:r>
            <w:r>
              <w:rPr>
                <w:rFonts w:hint="eastAsia"/>
                <w:bCs/>
                <w:color w:val="auto"/>
                <w:sz w:val="21"/>
                <w:szCs w:val="21"/>
                <w:highlight w:val="none"/>
                <w:lang w:eastAsia="zh-CN"/>
              </w:rPr>
              <w:t>公路改扩建项目</w:t>
            </w:r>
            <w:r>
              <w:rPr>
                <w:bCs/>
                <w:color w:val="auto"/>
                <w:sz w:val="21"/>
                <w:szCs w:val="21"/>
                <w:highlight w:val="none"/>
              </w:rPr>
              <w:t>，</w:t>
            </w:r>
            <w:r>
              <w:rPr>
                <w:rFonts w:hint="eastAsia"/>
                <w:bCs/>
                <w:color w:val="auto"/>
                <w:sz w:val="21"/>
                <w:szCs w:val="21"/>
                <w:highlight w:val="none"/>
                <w:lang w:eastAsia="zh-CN"/>
              </w:rPr>
              <w:t>不属于</w:t>
            </w:r>
            <w:r>
              <w:rPr>
                <w:rFonts w:hint="eastAsia" w:ascii="宋体" w:hAnsi="宋体"/>
                <w:color w:val="auto"/>
                <w:highlight w:val="none"/>
              </w:rPr>
              <w:t>畜禽养殖</w:t>
            </w:r>
            <w:r>
              <w:rPr>
                <w:rFonts w:hint="eastAsia" w:ascii="宋体" w:hAnsi="宋体"/>
                <w:color w:val="auto"/>
                <w:highlight w:val="none"/>
                <w:lang w:eastAsia="zh-CN"/>
              </w:rPr>
              <w:t>场或养殖小区建设项目，不涉及农业面源污染，</w:t>
            </w:r>
            <w:r>
              <w:rPr>
                <w:bCs/>
                <w:color w:val="auto"/>
                <w:sz w:val="21"/>
                <w:szCs w:val="21"/>
                <w:highlight w:val="none"/>
              </w:rPr>
              <w:t>与</w:t>
            </w:r>
            <w:r>
              <w:rPr>
                <w:rFonts w:hint="eastAsia" w:ascii="Times New Roman" w:hAnsi="Times New Roman" w:eastAsia="宋体" w:cs="Times New Roman"/>
                <w:bCs/>
                <w:color w:val="auto"/>
                <w:sz w:val="21"/>
                <w:szCs w:val="21"/>
                <w:highlight w:val="none"/>
                <w:lang w:val="en-US" w:eastAsia="zh-CN"/>
              </w:rPr>
              <w:t>宝清县水环境农业污染重点管控区</w:t>
            </w:r>
            <w:r>
              <w:rPr>
                <w:bCs/>
                <w:color w:val="auto"/>
                <w:sz w:val="21"/>
                <w:szCs w:val="21"/>
                <w:highlight w:val="none"/>
              </w:rPr>
              <w:t>要求相符</w:t>
            </w:r>
            <w:r>
              <w:rPr>
                <w:rFonts w:hint="eastAsia"/>
                <w:bCs/>
                <w:color w:val="auto"/>
                <w:sz w:val="21"/>
                <w:szCs w:val="21"/>
                <w:highlight w:val="none"/>
                <w:lang w:eastAsia="zh-CN"/>
              </w:rPr>
              <w:t>。</w:t>
            </w:r>
          </w:p>
        </w:tc>
        <w:tc>
          <w:tcPr>
            <w:tcW w:w="314" w:type="pct"/>
            <w:noWrap w:val="0"/>
            <w:vAlign w:val="center"/>
          </w:tcPr>
          <w:p w14:paraId="6837DE66">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color w:val="auto"/>
                <w:highlight w:val="none"/>
                <w:lang w:val="en-US" w:eastAsia="zh-CN"/>
              </w:rPr>
            </w:pPr>
            <w:r>
              <w:rPr>
                <w:rFonts w:hint="eastAsia"/>
                <w:color w:val="auto"/>
                <w:highlight w:val="none"/>
                <w:lang w:val="en-US" w:eastAsia="zh-CN"/>
              </w:rPr>
              <w:t>符合</w:t>
            </w:r>
          </w:p>
        </w:tc>
      </w:tr>
      <w:tr w14:paraId="18245F16">
        <w:tblPrEx>
          <w:tblBorders>
            <w:top w:val="single" w:color="auto" w:sz="12" w:space="0"/>
            <w:left w:val="none" w:color="auto" w:sz="0" w:space="0"/>
            <w:bottom w:val="single" w:color="auto" w:sz="12" w:space="0"/>
            <w:right w:val="none" w:color="auto" w:sz="0" w:space="0"/>
            <w:insideH w:val="single" w:color="auto" w:sz="8" w:space="0"/>
            <w:insideV w:val="single" w:color="auto" w:sz="6" w:space="0"/>
          </w:tblBorders>
          <w:tblCellMar>
            <w:top w:w="0" w:type="dxa"/>
            <w:left w:w="108" w:type="dxa"/>
            <w:bottom w:w="0" w:type="dxa"/>
            <w:right w:w="108" w:type="dxa"/>
          </w:tblCellMar>
        </w:tblPrEx>
        <w:trPr>
          <w:trHeight w:val="454" w:hRule="atLeast"/>
          <w:jc w:val="center"/>
        </w:trPr>
        <w:tc>
          <w:tcPr>
            <w:tcW w:w="397" w:type="pct"/>
            <w:vMerge w:val="continue"/>
            <w:noWrap w:val="0"/>
            <w:vAlign w:val="center"/>
          </w:tcPr>
          <w:p w14:paraId="172814D3">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453" w:type="pct"/>
            <w:vMerge w:val="continue"/>
            <w:noWrap w:val="0"/>
            <w:vAlign w:val="center"/>
          </w:tcPr>
          <w:p w14:paraId="4EA8B36B">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321" w:type="pct"/>
            <w:vMerge w:val="continue"/>
            <w:noWrap w:val="0"/>
            <w:vAlign w:val="center"/>
          </w:tcPr>
          <w:p w14:paraId="70880278">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val="en-US" w:eastAsia="zh-CN"/>
              </w:rPr>
            </w:pPr>
          </w:p>
        </w:tc>
        <w:tc>
          <w:tcPr>
            <w:tcW w:w="156" w:type="pct"/>
            <w:noWrap w:val="0"/>
            <w:vAlign w:val="center"/>
          </w:tcPr>
          <w:p w14:paraId="0CA9C267">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val="en-US" w:eastAsia="zh-CN"/>
              </w:rPr>
              <w:t>污染物排放管控</w:t>
            </w:r>
          </w:p>
        </w:tc>
        <w:tc>
          <w:tcPr>
            <w:tcW w:w="2346" w:type="pct"/>
            <w:noWrap w:val="0"/>
            <w:vAlign w:val="center"/>
          </w:tcPr>
          <w:p w14:paraId="1B90E6F0">
            <w:pPr>
              <w:pStyle w:val="29"/>
              <w:bidi w:val="0"/>
              <w:ind w:firstLine="0" w:firstLineChars="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1.支持规模化畜禽养殖场</w:t>
            </w:r>
            <w:r>
              <w:rPr>
                <w:rFonts w:hint="eastAsia" w:ascii="Times New Roman" w:hAnsi="Times New Roman" w:cs="Times New Roman"/>
                <w:color w:val="auto"/>
                <w:highlight w:val="none"/>
                <w:lang w:val="en-US" w:eastAsia="zh-CN"/>
              </w:rPr>
              <w:t>（</w:t>
            </w:r>
            <w:r>
              <w:rPr>
                <w:rFonts w:hint="default" w:ascii="Times New Roman" w:hAnsi="Times New Roman" w:eastAsia="宋体" w:cs="Times New Roman"/>
                <w:color w:val="auto"/>
                <w:highlight w:val="none"/>
                <w:lang w:val="en-US" w:eastAsia="zh-CN"/>
              </w:rPr>
              <w:t>小区</w:t>
            </w:r>
            <w:r>
              <w:rPr>
                <w:rFonts w:hint="eastAsia" w:ascii="Times New Roman" w:hAnsi="Times New Roman" w:cs="Times New Roman"/>
                <w:color w:val="auto"/>
                <w:highlight w:val="none"/>
                <w:lang w:val="en-US" w:eastAsia="zh-CN"/>
              </w:rPr>
              <w:t>）</w:t>
            </w:r>
            <w:r>
              <w:rPr>
                <w:rFonts w:hint="default" w:ascii="Times New Roman" w:hAnsi="Times New Roman" w:eastAsia="宋体" w:cs="Times New Roman"/>
                <w:color w:val="auto"/>
                <w:highlight w:val="none"/>
                <w:lang w:val="en-US" w:eastAsia="zh-CN"/>
              </w:rPr>
              <w:t>开展标准化改造和建设，提高畜禽粪污收集和处理机械化水平，实施雨污分流、粪污资源化利用，控制畜禽养殖污染排放。2.畜禽养殖户应当及时对畜禽粪便、污水进行收集、贮存</w:t>
            </w:r>
            <w:r>
              <w:rPr>
                <w:rFonts w:hint="default" w:ascii="Times New Roman" w:hAnsi="Times New Roman" w:eastAsia="宋体" w:cs="Times New Roman"/>
                <w:bCs/>
                <w:color w:val="auto"/>
                <w:sz w:val="21"/>
                <w:szCs w:val="21"/>
                <w:highlight w:val="none"/>
                <w:lang w:val="en-US" w:eastAsia="zh-CN"/>
              </w:rPr>
              <w:t>、</w:t>
            </w:r>
            <w:r>
              <w:rPr>
                <w:rFonts w:hint="default" w:ascii="Times New Roman" w:hAnsi="Times New Roman" w:eastAsia="宋体" w:cs="Times New Roman"/>
                <w:color w:val="auto"/>
                <w:highlight w:val="none"/>
                <w:lang w:val="en-US" w:eastAsia="zh-CN"/>
              </w:rPr>
              <w:t>清运，</w:t>
            </w:r>
            <w:r>
              <w:rPr>
                <w:rFonts w:hint="default" w:ascii="Times New Roman" w:hAnsi="Times New Roman" w:eastAsia="宋体" w:cs="Times New Roman"/>
                <w:bCs/>
                <w:color w:val="auto"/>
                <w:sz w:val="21"/>
                <w:szCs w:val="21"/>
                <w:highlight w:val="none"/>
                <w:lang w:val="en-US" w:eastAsia="zh-CN"/>
              </w:rPr>
              <w:t>或者</w:t>
            </w:r>
            <w:r>
              <w:rPr>
                <w:rFonts w:hint="default" w:ascii="Times New Roman" w:hAnsi="Times New Roman" w:eastAsia="宋体" w:cs="Times New Roman"/>
                <w:color w:val="auto"/>
                <w:highlight w:val="none"/>
                <w:lang w:val="en-US" w:eastAsia="zh-CN"/>
              </w:rPr>
              <w:t>进行无害化处理。县级人民政府应当组织对本行政区域的畜禽散养密集区畜禽粪便、污水进行集中处理利用，督促乡镇人民政府建设或者配备污染防治配套设施。3.全面加强农业面源污染防控，科学合理使用农业投入品，提高使用效率，减少农业内源性污染。</w:t>
            </w:r>
          </w:p>
        </w:tc>
        <w:tc>
          <w:tcPr>
            <w:tcW w:w="1009" w:type="pct"/>
            <w:vMerge w:val="continue"/>
            <w:noWrap w:val="0"/>
            <w:vAlign w:val="center"/>
          </w:tcPr>
          <w:p w14:paraId="7C256B93">
            <w:pPr>
              <w:pStyle w:val="29"/>
              <w:bidi w:val="0"/>
              <w:ind w:firstLine="0" w:firstLineChars="0"/>
              <w:jc w:val="both"/>
              <w:rPr>
                <w:bCs/>
                <w:color w:val="auto"/>
                <w:sz w:val="21"/>
                <w:szCs w:val="21"/>
                <w:highlight w:val="yellow"/>
              </w:rPr>
            </w:pPr>
          </w:p>
        </w:tc>
        <w:tc>
          <w:tcPr>
            <w:tcW w:w="314" w:type="pct"/>
            <w:noWrap w:val="0"/>
            <w:vAlign w:val="center"/>
          </w:tcPr>
          <w:p w14:paraId="112F8386">
            <w:pPr>
              <w:pStyle w:val="29"/>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yellow"/>
                <w:lang w:val="en-US" w:eastAsia="zh-CN"/>
              </w:rPr>
            </w:pPr>
            <w:r>
              <w:rPr>
                <w:rFonts w:hint="eastAsia"/>
                <w:color w:val="auto"/>
                <w:highlight w:val="none"/>
                <w:lang w:val="en-US" w:eastAsia="zh-CN"/>
              </w:rPr>
              <w:t>符合</w:t>
            </w:r>
          </w:p>
        </w:tc>
      </w:tr>
      <w:bookmarkEnd w:id="3"/>
    </w:tbl>
    <w:p w14:paraId="26C2F4E5">
      <w:pPr>
        <w:outlineLvl w:val="0"/>
        <w:rPr>
          <w:rFonts w:eastAsia="黑体"/>
          <w:color w:val="auto"/>
          <w:sz w:val="30"/>
          <w:highlight w:val="none"/>
        </w:rPr>
        <w:sectPr>
          <w:pgSz w:w="16838" w:h="11906" w:orient="landscape"/>
          <w:pgMar w:top="1531" w:right="1701" w:bottom="1531" w:left="1701" w:header="851" w:footer="1077" w:gutter="0"/>
          <w:pgBorders>
            <w:top w:val="none" w:sz="0" w:space="0"/>
            <w:left w:val="none" w:sz="0" w:space="0"/>
            <w:bottom w:val="none" w:sz="0" w:space="0"/>
            <w:right w:val="none" w:sz="0" w:space="0"/>
          </w:pgBorders>
          <w:cols w:space="720" w:num="1"/>
          <w:rtlGutter w:val="0"/>
          <w:docGrid w:linePitch="312" w:charSpace="0"/>
        </w:sectPr>
      </w:pPr>
    </w:p>
    <w:p w14:paraId="3330A537">
      <w:pPr>
        <w:pStyle w:val="31"/>
        <w:rPr>
          <w:color w:val="auto"/>
          <w:highlight w:val="none"/>
        </w:rPr>
      </w:pPr>
      <w:bookmarkStart w:id="4" w:name="_Toc16241"/>
      <w:bookmarkStart w:id="5" w:name="_Toc27068"/>
      <w:r>
        <w:rPr>
          <w:color w:val="auto"/>
          <w:highlight w:val="none"/>
        </w:rPr>
        <w:t>二、建设内容</w:t>
      </w:r>
      <w:bookmarkEnd w:id="4"/>
      <w:bookmarkEnd w:id="5"/>
    </w:p>
    <w:tbl>
      <w:tblPr>
        <w:tblStyle w:val="1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50"/>
      </w:tblGrid>
      <w:tr w14:paraId="0F392D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452" w:type="pct"/>
            <w:noWrap w:val="0"/>
            <w:vAlign w:val="center"/>
          </w:tcPr>
          <w:p w14:paraId="79988821">
            <w:pPr>
              <w:pStyle w:val="38"/>
              <w:rPr>
                <w:color w:val="auto"/>
                <w:highlight w:val="none"/>
              </w:rPr>
            </w:pPr>
            <w:r>
              <w:rPr>
                <w:color w:val="auto"/>
                <w:highlight w:val="none"/>
              </w:rPr>
              <w:t>地理位置</w:t>
            </w:r>
          </w:p>
        </w:tc>
        <w:tc>
          <w:tcPr>
            <w:tcW w:w="4547" w:type="pct"/>
            <w:noWrap w:val="0"/>
            <w:vAlign w:val="center"/>
          </w:tcPr>
          <w:p w14:paraId="371365EF">
            <w:pPr>
              <w:keepNext w:val="0"/>
              <w:keepLines w:val="0"/>
              <w:widowControl/>
              <w:suppressLineNumbers w:val="0"/>
              <w:jc w:val="both"/>
              <w:rPr>
                <w:color w:val="auto"/>
                <w:highlight w:val="none"/>
              </w:rPr>
            </w:pPr>
            <w:r>
              <w:rPr>
                <w:rFonts w:hint="eastAsia"/>
                <w:color w:val="auto"/>
                <w:highlight w:val="none"/>
                <w:lang w:eastAsia="zh-CN"/>
              </w:rPr>
              <w:t>本项目位于黑龙江省双鸭山市宝清县，线路起点位于</w:t>
            </w:r>
            <w:r>
              <w:rPr>
                <w:rFonts w:hint="eastAsia" w:ascii="Times New Roman" w:hAnsi="Times New Roman" w:eastAsia="宋体" w:cs="Times New Roman"/>
                <w:color w:val="auto"/>
                <w:highlight w:val="none"/>
                <w:lang w:val="en-US" w:eastAsia="zh-CN"/>
              </w:rPr>
              <w:t>清原镇永红村附近与Y034公路交叉口</w:t>
            </w:r>
            <w:r>
              <w:rPr>
                <w:rFonts w:hint="eastAsia"/>
                <w:color w:val="auto"/>
                <w:highlight w:val="none"/>
                <w:lang w:val="en-US" w:eastAsia="zh-CN"/>
              </w:rPr>
              <w:t>处（设计桩号K12+391），路线向东北方向利用现有旧路布线，途经</w:t>
            </w:r>
            <w:r>
              <w:rPr>
                <w:rFonts w:hint="eastAsia" w:cs="Times New Roman"/>
                <w:color w:val="auto"/>
                <w:highlight w:val="none"/>
                <w:lang w:val="en-US" w:eastAsia="zh-CN"/>
              </w:rPr>
              <w:t>两处零散户、联合屯、头道林子村、东旭村、二道林子村、三道林子村、东升卫生院、中岗村</w:t>
            </w:r>
            <w:r>
              <w:rPr>
                <w:rFonts w:hint="eastAsia"/>
                <w:color w:val="auto"/>
                <w:highlight w:val="none"/>
                <w:lang w:val="en-US" w:eastAsia="zh-CN"/>
              </w:rPr>
              <w:t>，终点位于银龙村</w:t>
            </w:r>
            <w:r>
              <w:rPr>
                <w:rFonts w:hint="eastAsia"/>
                <w:color w:val="auto"/>
                <w:highlight w:val="none"/>
                <w:lang w:eastAsia="zh-CN"/>
              </w:rPr>
              <w:t>（</w:t>
            </w:r>
            <w:r>
              <w:rPr>
                <w:rFonts w:hint="eastAsia"/>
                <w:color w:val="auto"/>
                <w:highlight w:val="none"/>
                <w:lang w:val="en-US" w:eastAsia="zh-CN"/>
              </w:rPr>
              <w:t>设计桩号K55+161</w:t>
            </w:r>
            <w:r>
              <w:rPr>
                <w:rFonts w:hint="eastAsia"/>
                <w:color w:val="auto"/>
                <w:highlight w:val="none"/>
                <w:lang w:eastAsia="zh-CN"/>
              </w:rPr>
              <w:t>），</w:t>
            </w:r>
            <w:r>
              <w:rPr>
                <w:rFonts w:hint="eastAsia" w:ascii="Times New Roman" w:hAnsi="Times New Roman" w:eastAsia="宋体" w:cs="Times New Roman"/>
                <w:color w:val="auto"/>
                <w:highlight w:val="none"/>
                <w:lang w:eastAsia="zh-CN"/>
              </w:rPr>
              <w:t>路线全长</w:t>
            </w:r>
            <w:r>
              <w:rPr>
                <w:rFonts w:hint="eastAsia" w:cs="Times New Roman"/>
                <w:color w:val="auto"/>
                <w:highlight w:val="none"/>
                <w:lang w:val="en-US" w:eastAsia="zh-CN"/>
              </w:rPr>
              <w:t>42.77</w:t>
            </w:r>
            <w:r>
              <w:rPr>
                <w:rFonts w:hint="default" w:ascii="Times New Roman" w:hAnsi="Times New Roman" w:eastAsia="宋体" w:cs="Times New Roman"/>
                <w:color w:val="auto"/>
                <w:highlight w:val="none"/>
                <w:lang w:eastAsia="zh-CN"/>
              </w:rPr>
              <w:t>km</w:t>
            </w:r>
            <w:r>
              <w:rPr>
                <w:rFonts w:hint="eastAsia" w:ascii="Times New Roman" w:hAnsi="Times New Roman" w:eastAsia="宋体" w:cs="Times New Roman"/>
                <w:color w:val="auto"/>
                <w:highlight w:val="none"/>
                <w:lang w:eastAsia="zh-CN"/>
              </w:rPr>
              <w:t>。项目地理位置见附图</w:t>
            </w:r>
            <w:r>
              <w:rPr>
                <w:rFonts w:hint="eastAsia" w:ascii="Times New Roman" w:hAnsi="Times New Roman" w:eastAsia="宋体" w:cs="Times New Roman"/>
                <w:color w:val="auto"/>
                <w:highlight w:val="none"/>
                <w:lang w:val="en-US" w:eastAsia="zh-CN"/>
              </w:rPr>
              <w:t>1。</w:t>
            </w:r>
          </w:p>
        </w:tc>
      </w:tr>
      <w:tr w14:paraId="2C68DC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2" w:type="pct"/>
            <w:noWrap w:val="0"/>
            <w:vAlign w:val="center"/>
          </w:tcPr>
          <w:p w14:paraId="001E328F">
            <w:pPr>
              <w:pStyle w:val="38"/>
              <w:rPr>
                <w:color w:val="auto"/>
                <w:highlight w:val="none"/>
              </w:rPr>
            </w:pPr>
            <w:r>
              <w:rPr>
                <w:color w:val="auto"/>
                <w:highlight w:val="none"/>
              </w:rPr>
              <w:t>项目组成及规模</w:t>
            </w:r>
          </w:p>
        </w:tc>
        <w:tc>
          <w:tcPr>
            <w:tcW w:w="4547" w:type="pct"/>
            <w:noWrap w:val="0"/>
            <w:vAlign w:val="center"/>
          </w:tcPr>
          <w:p w14:paraId="6A9889FC">
            <w:pPr>
              <w:numPr>
                <w:ilvl w:val="0"/>
                <w:numId w:val="0"/>
              </w:numPr>
              <w:ind w:firstLine="480" w:firstLineChars="200"/>
              <w:rPr>
                <w:rFonts w:hint="eastAsia"/>
                <w:color w:val="auto"/>
              </w:rPr>
            </w:pPr>
            <w:r>
              <w:rPr>
                <w:rFonts w:hint="eastAsia" w:ascii="Times New Roman" w:hAnsi="Times New Roman" w:eastAsia="宋体" w:cs="Times New Roman"/>
                <w:color w:val="auto"/>
                <w:kern w:val="2"/>
                <w:sz w:val="24"/>
                <w:szCs w:val="24"/>
                <w:lang w:val="en-US" w:eastAsia="zh-CN" w:bidi="ar-SA"/>
              </w:rPr>
              <w:t>1、</w:t>
            </w:r>
            <w:r>
              <w:rPr>
                <w:rFonts w:hint="eastAsia"/>
                <w:color w:val="auto"/>
              </w:rPr>
              <w:t>工程内容</w:t>
            </w:r>
          </w:p>
          <w:p w14:paraId="3180DAE0">
            <w:pPr>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highlight w:val="yellow"/>
                <w:lang w:val="en-US" w:eastAsia="zh-CN"/>
              </w:rPr>
            </w:pPr>
            <w:r>
              <w:rPr>
                <w:rFonts w:hint="eastAsia" w:ascii="Times New Roman" w:hAnsi="Times New Roman" w:eastAsia="宋体" w:cs="Times New Roman"/>
                <w:color w:val="auto"/>
                <w:highlight w:val="none"/>
                <w:lang w:eastAsia="zh-CN"/>
              </w:rPr>
              <w:t>本项目为改、扩建项目，路线全长</w:t>
            </w:r>
            <w:r>
              <w:rPr>
                <w:rFonts w:hint="eastAsia" w:ascii="Times New Roman" w:hAnsi="Times New Roman" w:eastAsia="宋体" w:cs="Times New Roman"/>
                <w:color w:val="auto"/>
                <w:highlight w:val="none"/>
                <w:lang w:val="en-US" w:eastAsia="zh-CN"/>
              </w:rPr>
              <w:t>42.77km，</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lang w:val="en-US" w:eastAsia="zh-CN"/>
              </w:rPr>
              <w:t>K12+391</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K55+161，本项目永久用地均在原路用地界以内，无新增</w:t>
            </w:r>
            <w:r>
              <w:rPr>
                <w:rFonts w:hint="eastAsia" w:cs="Times New Roman"/>
                <w:color w:val="auto"/>
                <w:highlight w:val="none"/>
                <w:lang w:val="en-US" w:eastAsia="zh-CN"/>
              </w:rPr>
              <w:t>永久占地</w:t>
            </w:r>
            <w:r>
              <w:rPr>
                <w:rFonts w:hint="eastAsia" w:ascii="Times New Roman" w:hAnsi="Times New Roman" w:eastAsia="宋体" w:cs="Times New Roman"/>
                <w:color w:val="auto"/>
                <w:highlight w:val="none"/>
                <w:lang w:val="en-US" w:eastAsia="zh-CN"/>
              </w:rPr>
              <w:t>，永久占地面积537944m</w:t>
            </w:r>
            <w:r>
              <w:rPr>
                <w:rFonts w:hint="eastAsia" w:ascii="Times New Roman" w:hAnsi="Times New Roman" w:eastAsia="宋体" w:cs="Times New Roman"/>
                <w:color w:val="auto"/>
                <w:highlight w:val="none"/>
                <w:vertAlign w:val="superscript"/>
                <w:lang w:val="en-US" w:eastAsia="zh-CN"/>
              </w:rPr>
              <w:t>2</w:t>
            </w:r>
            <w:r>
              <w:rPr>
                <w:rFonts w:hint="eastAsia" w:ascii="Times New Roman" w:hAnsi="Times New Roman" w:eastAsia="宋体" w:cs="Times New Roman"/>
                <w:color w:val="auto"/>
                <w:highlight w:val="none"/>
                <w:lang w:val="en-US" w:eastAsia="zh-CN"/>
              </w:rPr>
              <w:t>。本项目K12+391</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K48+240路段采用设计速度30km/h、路基宽度7.5m的三级公路标准建设，</w:t>
            </w:r>
            <w:r>
              <w:rPr>
                <w:rFonts w:hint="eastAsia" w:ascii="Times New Roman" w:hAnsi="Times New Roman" w:eastAsia="宋体" w:cs="Times New Roman"/>
                <w:color w:val="auto"/>
                <w:highlight w:val="none"/>
                <w:lang w:eastAsia="zh-CN"/>
              </w:rPr>
              <w:t>路面为水泥混凝土路面</w:t>
            </w:r>
            <w:r>
              <w:rPr>
                <w:rFonts w:hint="eastAsia" w:ascii="Times New Roman" w:hAnsi="Times New Roman" w:eastAsia="宋体" w:cs="Times New Roman"/>
                <w:color w:val="auto"/>
                <w:highlight w:val="none"/>
                <w:lang w:val="en-US" w:eastAsia="zh-CN"/>
              </w:rPr>
              <w:t>；本项目K48+240</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K55+161路段采用设计速度20km/h、路基宽度6.0m的四级公路标准建设，</w:t>
            </w:r>
            <w:r>
              <w:rPr>
                <w:rFonts w:hint="eastAsia" w:ascii="Times New Roman" w:hAnsi="Times New Roman" w:eastAsia="宋体" w:cs="Times New Roman"/>
                <w:color w:val="auto"/>
                <w:highlight w:val="none"/>
                <w:lang w:eastAsia="zh-CN"/>
              </w:rPr>
              <w:t>路面为水泥混凝土路面</w:t>
            </w:r>
            <w:r>
              <w:rPr>
                <w:rFonts w:hint="eastAsia" w:ascii="Times New Roman" w:hAnsi="Times New Roman" w:eastAsia="宋体" w:cs="Times New Roman"/>
                <w:color w:val="auto"/>
                <w:highlight w:val="none"/>
                <w:lang w:val="en-US" w:eastAsia="zh-CN"/>
              </w:rPr>
              <w:t>。</w:t>
            </w:r>
          </w:p>
          <w:p w14:paraId="2ED895C5">
            <w:pPr>
              <w:snapToGrid w:val="0"/>
              <w:ind w:firstLine="640"/>
              <w:rPr>
                <w:rFonts w:hint="eastAsia" w:ascii="Times New Roman" w:hAnsi="Times New Roman" w:eastAsia="宋体" w:cs="Times New Roman"/>
                <w:color w:val="auto"/>
                <w:highlight w:val="none"/>
                <w:lang w:val="en-US" w:eastAsia="zh-CN"/>
              </w:rPr>
            </w:pPr>
            <w:r>
              <w:rPr>
                <w:rFonts w:eastAsia="宋体"/>
                <w:color w:val="auto"/>
                <w:highlight w:val="none"/>
              </w:rPr>
              <w:t>本项目在既有旧路路基范围内施工，路基范围保持不变，不进行路基帮宽。</w:t>
            </w:r>
            <w:r>
              <w:rPr>
                <w:color w:val="auto"/>
                <w:sz w:val="24"/>
                <w:szCs w:val="24"/>
                <w:highlight w:val="none"/>
              </w:rPr>
              <w:t>本项目</w:t>
            </w:r>
            <w:r>
              <w:rPr>
                <w:rFonts w:hint="eastAsia"/>
                <w:color w:val="auto"/>
                <w:highlight w:val="none"/>
                <w:lang w:val="en-US" w:eastAsia="zh-CN"/>
              </w:rPr>
              <w:t>线路桩号K18+920</w:t>
            </w:r>
            <w:r>
              <w:rPr>
                <w:rFonts w:hint="eastAsia" w:ascii="Times New Roman" w:hAnsi="Times New Roman" w:eastAsia="宋体" w:cs="Times New Roman"/>
                <w:color w:val="auto"/>
                <w:highlight w:val="none"/>
                <w:lang w:val="en-US" w:eastAsia="zh-CN"/>
              </w:rPr>
              <w:t>～</w:t>
            </w:r>
            <w:r>
              <w:rPr>
                <w:rFonts w:hint="eastAsia"/>
                <w:color w:val="auto"/>
                <w:highlight w:val="none"/>
                <w:lang w:val="en-US" w:eastAsia="zh-CN"/>
              </w:rPr>
              <w:t>K20+680</w:t>
            </w:r>
            <w:r>
              <w:rPr>
                <w:rFonts w:hint="eastAsia"/>
                <w:color w:val="auto"/>
                <w:sz w:val="24"/>
                <w:szCs w:val="24"/>
                <w:highlight w:val="none"/>
                <w:lang w:val="en-US" w:eastAsia="zh-CN"/>
              </w:rPr>
              <w:t>段约1.76km</w:t>
            </w:r>
            <w:r>
              <w:rPr>
                <w:color w:val="auto"/>
                <w:sz w:val="24"/>
                <w:szCs w:val="24"/>
                <w:highlight w:val="none"/>
              </w:rPr>
              <w:t>穿越生态保护</w:t>
            </w:r>
            <w:r>
              <w:rPr>
                <w:rFonts w:hint="eastAsia" w:ascii="Times New Roman" w:hAnsi="Times New Roman" w:eastAsia="宋体" w:cs="Times New Roman"/>
                <w:color w:val="auto"/>
                <w:highlight w:val="none"/>
                <w:lang w:val="en-US" w:eastAsia="zh-CN"/>
              </w:rPr>
              <w:t>红线，本项目线路桩号</w:t>
            </w:r>
            <w:r>
              <w:rPr>
                <w:rFonts w:hint="eastAsia"/>
                <w:color w:val="auto"/>
                <w:sz w:val="24"/>
                <w:szCs w:val="24"/>
                <w:highlight w:val="none"/>
                <w:lang w:val="en-US" w:eastAsia="zh-CN"/>
              </w:rPr>
              <w:t>K19+150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w:t>
            </w:r>
            <w:r>
              <w:rPr>
                <w:rFonts w:hint="eastAsia" w:ascii="Times New Roman" w:hAnsi="Times New Roman" w:eastAsia="宋体" w:cs="Times New Roman"/>
                <w:color w:val="auto"/>
                <w:highlight w:val="none"/>
                <w:lang w:val="en-US" w:eastAsia="zh-CN"/>
              </w:rPr>
              <w:t>段约1.53km穿越黑龙江东升省级自然</w:t>
            </w:r>
            <w:r>
              <w:rPr>
                <w:rFonts w:hint="eastAsia"/>
                <w:color w:val="auto"/>
                <w:kern w:val="0"/>
                <w:szCs w:val="21"/>
                <w:highlight w:val="none"/>
              </w:rPr>
              <w:t>保护区</w:t>
            </w:r>
            <w:r>
              <w:rPr>
                <w:rFonts w:hint="eastAsia"/>
                <w:color w:val="auto"/>
                <w:kern w:val="0"/>
                <w:szCs w:val="21"/>
                <w:highlight w:val="none"/>
                <w:lang w:eastAsia="zh-CN"/>
              </w:rPr>
              <w:t>，</w:t>
            </w:r>
            <w:r>
              <w:rPr>
                <w:rFonts w:hint="eastAsia"/>
                <w:color w:val="auto"/>
                <w:highlight w:val="none"/>
                <w:lang w:val="en-US" w:eastAsia="zh-CN"/>
              </w:rPr>
              <w:t>线路桩号K40+900～K51+600段约10.7km穿越黑龙江完达山国家级森林公园，项目</w:t>
            </w:r>
            <w:r>
              <w:rPr>
                <w:rFonts w:ascii="宋体" w:hAnsi="宋体" w:eastAsia="宋体" w:cs="宋体"/>
                <w:color w:val="auto"/>
                <w:sz w:val="24"/>
                <w:szCs w:val="24"/>
                <w:highlight w:val="none"/>
              </w:rPr>
              <w:t>穿越</w:t>
            </w:r>
            <w:r>
              <w:rPr>
                <w:rFonts w:hint="eastAsia" w:ascii="宋体" w:hAnsi="宋体" w:eastAsia="宋体" w:cs="宋体"/>
                <w:color w:val="auto"/>
                <w:sz w:val="24"/>
                <w:szCs w:val="24"/>
                <w:highlight w:val="none"/>
                <w:lang w:eastAsia="zh-CN"/>
              </w:rPr>
              <w:t>上述生态敏感区</w:t>
            </w:r>
            <w:r>
              <w:rPr>
                <w:rFonts w:ascii="宋体" w:hAnsi="宋体" w:eastAsia="宋体" w:cs="宋体"/>
                <w:color w:val="auto"/>
                <w:sz w:val="24"/>
                <w:szCs w:val="24"/>
                <w:highlight w:val="none"/>
              </w:rPr>
              <w:t>路段对现状既有路面进行</w:t>
            </w:r>
            <w:r>
              <w:rPr>
                <w:rFonts w:hint="eastAsia" w:ascii="宋体" w:hAnsi="宋体" w:eastAsia="宋体" w:cs="宋体"/>
                <w:color w:val="auto"/>
                <w:sz w:val="24"/>
                <w:szCs w:val="24"/>
                <w:highlight w:val="none"/>
                <w:lang w:eastAsia="zh-CN"/>
              </w:rPr>
              <w:t>维护</w:t>
            </w:r>
            <w:r>
              <w:rPr>
                <w:rFonts w:hint="eastAsia" w:ascii="宋体" w:hAnsi="宋体" w:cs="宋体"/>
                <w:color w:val="auto"/>
                <w:sz w:val="24"/>
                <w:szCs w:val="24"/>
                <w:highlight w:val="none"/>
                <w:lang w:eastAsia="zh-CN"/>
              </w:rPr>
              <w:t>作业</w:t>
            </w:r>
            <w:r>
              <w:rPr>
                <w:rFonts w:ascii="宋体" w:hAnsi="宋体" w:eastAsia="宋体" w:cs="宋体"/>
                <w:color w:val="auto"/>
                <w:sz w:val="24"/>
                <w:szCs w:val="24"/>
                <w:highlight w:val="none"/>
              </w:rPr>
              <w:t>，不拓宽路面</w:t>
            </w:r>
            <w:r>
              <w:rPr>
                <w:rFonts w:hint="eastAsia" w:ascii="Times New Roman" w:hAnsi="Times New Roman"/>
                <w:color w:val="auto"/>
                <w:sz w:val="24"/>
                <w:szCs w:val="24"/>
                <w:highlight w:val="none"/>
                <w:lang w:eastAsia="zh-CN"/>
              </w:rPr>
              <w:t>。三级</w:t>
            </w:r>
            <w:r>
              <w:rPr>
                <w:rFonts w:hint="eastAsia" w:ascii="Times New Roman" w:hAnsi="Times New Roman" w:eastAsia="宋体" w:cs="Times New Roman"/>
                <w:color w:val="auto"/>
                <w:highlight w:val="none"/>
                <w:lang w:val="en-US" w:eastAsia="zh-CN"/>
              </w:rPr>
              <w:t>公路</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lang w:val="en-US" w:eastAsia="zh-CN"/>
              </w:rPr>
              <w:t>K12+391～K18+920、K20+680～K40+900路段路面宽度6.5m，</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18+920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20+680</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40+900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48+240</w:t>
            </w:r>
            <w:r>
              <w:rPr>
                <w:rFonts w:hint="eastAsia" w:ascii="Times New Roman" w:hAnsi="Times New Roman" w:eastAsia="宋体" w:cs="Times New Roman"/>
                <w:color w:val="auto"/>
                <w:highlight w:val="none"/>
                <w:lang w:val="en-US" w:eastAsia="zh-CN"/>
              </w:rPr>
              <w:t>路段路面宽度6.</w:t>
            </w:r>
            <w:r>
              <w:rPr>
                <w:rFonts w:hint="eastAsia" w:cs="Times New Roman"/>
                <w:color w:val="auto"/>
                <w:highlight w:val="none"/>
                <w:lang w:val="en-US" w:eastAsia="zh-CN"/>
              </w:rPr>
              <w:t>0</w:t>
            </w:r>
            <w:r>
              <w:rPr>
                <w:rFonts w:hint="eastAsia" w:ascii="Times New Roman" w:hAnsi="Times New Roman" w:eastAsia="宋体" w:cs="Times New Roman"/>
                <w:color w:val="auto"/>
                <w:highlight w:val="none"/>
                <w:lang w:val="en-US" w:eastAsia="zh-CN"/>
              </w:rPr>
              <w:t>m；四级公路</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48+240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51+600</w:t>
            </w:r>
            <w:r>
              <w:rPr>
                <w:rFonts w:hint="eastAsia" w:ascii="Times New Roman" w:hAnsi="Times New Roman" w:eastAsia="宋体" w:cs="Times New Roman"/>
                <w:color w:val="auto"/>
                <w:highlight w:val="none"/>
              </w:rPr>
              <w:t>路段</w:t>
            </w:r>
            <w:r>
              <w:rPr>
                <w:rFonts w:hint="eastAsia" w:ascii="Times New Roman" w:hAnsi="Times New Roman" w:eastAsia="宋体" w:cs="Times New Roman"/>
                <w:color w:val="auto"/>
                <w:highlight w:val="none"/>
                <w:lang w:val="en-US" w:eastAsia="zh-CN"/>
              </w:rPr>
              <w:t>路面宽度3.5m，</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51+600</w:t>
            </w:r>
            <w:r>
              <w:rPr>
                <w:rFonts w:hint="eastAsia" w:ascii="Times New Roman" w:hAnsi="Times New Roman" w:eastAsia="宋体" w:cs="Times New Roman"/>
                <w:color w:val="auto"/>
                <w:highlight w:val="none"/>
              </w:rPr>
              <w:t>～K55+161路段</w:t>
            </w:r>
            <w:r>
              <w:rPr>
                <w:rFonts w:hint="eastAsia" w:ascii="Times New Roman" w:hAnsi="Times New Roman" w:eastAsia="宋体" w:cs="Times New Roman"/>
                <w:color w:val="auto"/>
                <w:highlight w:val="none"/>
                <w:lang w:val="en-US" w:eastAsia="zh-CN"/>
              </w:rPr>
              <w:t>路面宽度4.5m。</w:t>
            </w:r>
          </w:p>
          <w:p w14:paraId="1EAA7D8D">
            <w:pPr>
              <w:keepNext w:val="0"/>
              <w:keepLines w:val="0"/>
              <w:widowControl/>
              <w:suppressLineNumbers w:val="0"/>
              <w:jc w:val="both"/>
              <w:rPr>
                <w:rFonts w:hint="eastAsia"/>
                <w:color w:val="auto"/>
                <w:szCs w:val="21"/>
              </w:rPr>
            </w:pPr>
            <w:r>
              <w:rPr>
                <w:rFonts w:hint="eastAsia"/>
                <w:color w:val="auto"/>
                <w:szCs w:val="21"/>
                <w:lang w:eastAsia="zh-CN"/>
              </w:rPr>
              <w:t>本项目共设置涵洞</w:t>
            </w:r>
            <w:r>
              <w:rPr>
                <w:rFonts w:hint="eastAsia"/>
                <w:color w:val="auto"/>
                <w:szCs w:val="21"/>
                <w:lang w:val="en-US" w:eastAsia="zh-CN"/>
              </w:rPr>
              <w:t>8道</w:t>
            </w:r>
            <w:r>
              <w:rPr>
                <w:rFonts w:hint="eastAsia"/>
                <w:color w:val="auto"/>
                <w:szCs w:val="21"/>
                <w:lang w:eastAsia="zh-CN"/>
              </w:rPr>
              <w:t>，平面交叉</w:t>
            </w:r>
            <w:r>
              <w:rPr>
                <w:rFonts w:hint="eastAsia"/>
                <w:color w:val="auto"/>
                <w:szCs w:val="21"/>
                <w:lang w:val="en-US" w:eastAsia="zh-CN"/>
              </w:rPr>
              <w:t>167处</w:t>
            </w:r>
            <w:r>
              <w:rPr>
                <w:rFonts w:hint="eastAsia"/>
                <w:color w:val="auto"/>
                <w:szCs w:val="21"/>
                <w:lang w:eastAsia="zh-CN"/>
              </w:rPr>
              <w:t>。现</w:t>
            </w:r>
            <w:r>
              <w:rPr>
                <w:rFonts w:hint="eastAsia"/>
                <w:color w:val="auto"/>
                <w:szCs w:val="21"/>
                <w:lang w:val="en-US" w:eastAsia="zh-CN"/>
              </w:rPr>
              <w:t>有桥梁均满足现有道路通行标准，全部利用，其中K53+756银龙桥</w:t>
            </w:r>
            <w:r>
              <w:rPr>
                <w:rFonts w:hint="eastAsia"/>
                <w:color w:val="auto"/>
                <w:szCs w:val="21"/>
                <w:lang w:eastAsia="zh-CN"/>
              </w:rPr>
              <w:t>现</w:t>
            </w:r>
            <w:r>
              <w:rPr>
                <w:rFonts w:hint="eastAsia"/>
                <w:color w:val="auto"/>
                <w:szCs w:val="21"/>
                <w:lang w:val="en-US" w:eastAsia="zh-CN"/>
              </w:rPr>
              <w:t>有桥梁护栏破损，本次维修护栏后利用。</w:t>
            </w:r>
          </w:p>
          <w:p w14:paraId="538E6B43">
            <w:pPr>
              <w:ind w:firstLine="480"/>
              <w:rPr>
                <w:rFonts w:hint="eastAsia"/>
                <w:color w:val="auto"/>
              </w:rPr>
            </w:pPr>
            <w:r>
              <w:rPr>
                <w:rFonts w:hint="eastAsia"/>
                <w:color w:val="auto"/>
              </w:rPr>
              <w:t>本项目工程内容详见表2-1。</w:t>
            </w:r>
          </w:p>
          <w:p w14:paraId="2C46A3F4">
            <w:pPr>
              <w:pStyle w:val="28"/>
              <w:rPr>
                <w:color w:val="auto"/>
              </w:rPr>
            </w:pPr>
            <w:r>
              <w:rPr>
                <w:color w:val="auto"/>
              </w:rPr>
              <w:t xml:space="preserve">表2-1 </w:t>
            </w:r>
            <w:r>
              <w:rPr>
                <w:rFonts w:hint="eastAsia"/>
                <w:color w:val="auto"/>
                <w:lang w:val="en-US" w:eastAsia="zh-CN"/>
              </w:rPr>
              <w:t xml:space="preserve"> </w:t>
            </w:r>
            <w:r>
              <w:rPr>
                <w:color w:val="auto"/>
              </w:rPr>
              <w:t>本项目工程组成一览表</w:t>
            </w:r>
          </w:p>
          <w:tbl>
            <w:tblPr>
              <w:tblStyle w:val="18"/>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506"/>
              <w:gridCol w:w="559"/>
              <w:gridCol w:w="1108"/>
              <w:gridCol w:w="1197"/>
              <w:gridCol w:w="1179"/>
              <w:gridCol w:w="1484"/>
              <w:gridCol w:w="1496"/>
            </w:tblGrid>
            <w:tr w14:paraId="12906B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707" w:type="pct"/>
                  <w:gridSpan w:val="2"/>
                  <w:noWrap w:val="0"/>
                  <w:vAlign w:val="center"/>
                </w:tcPr>
                <w:p w14:paraId="4EAA65C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工程类别</w:t>
                  </w:r>
                </w:p>
              </w:tc>
              <w:tc>
                <w:tcPr>
                  <w:tcW w:w="4292" w:type="pct"/>
                  <w:gridSpan w:val="5"/>
                  <w:noWrap w:val="0"/>
                  <w:vAlign w:val="center"/>
                </w:tcPr>
                <w:p w14:paraId="13D0946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建设内容</w:t>
                  </w:r>
                </w:p>
              </w:tc>
            </w:tr>
            <w:tr w14:paraId="791324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restart"/>
                  <w:noWrap w:val="0"/>
                  <w:vAlign w:val="center"/>
                </w:tcPr>
                <w:p w14:paraId="6E6BB41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主体工程</w:t>
                  </w:r>
                </w:p>
              </w:tc>
              <w:tc>
                <w:tcPr>
                  <w:tcW w:w="371" w:type="pct"/>
                  <w:vMerge w:val="restart"/>
                  <w:noWrap w:val="0"/>
                  <w:vAlign w:val="center"/>
                </w:tcPr>
                <w:p w14:paraId="2CEDAF6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路基工程</w:t>
                  </w:r>
                </w:p>
              </w:tc>
              <w:tc>
                <w:tcPr>
                  <w:tcW w:w="735" w:type="pct"/>
                  <w:noWrap w:val="0"/>
                  <w:vAlign w:val="center"/>
                </w:tcPr>
                <w:p w14:paraId="35EA317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rPr>
                  </w:pPr>
                  <w:r>
                    <w:rPr>
                      <w:color w:val="auto"/>
                      <w:sz w:val="21"/>
                      <w:szCs w:val="21"/>
                    </w:rPr>
                    <w:t>路段</w:t>
                  </w:r>
                </w:p>
              </w:tc>
              <w:tc>
                <w:tcPr>
                  <w:tcW w:w="3556" w:type="pct"/>
                  <w:gridSpan w:val="4"/>
                  <w:noWrap w:val="0"/>
                  <w:vAlign w:val="center"/>
                </w:tcPr>
                <w:p w14:paraId="7CBE73B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sz w:val="21"/>
                      <w:szCs w:val="21"/>
                      <w:lang w:eastAsia="zh-CN"/>
                    </w:rPr>
                  </w:pPr>
                  <w:r>
                    <w:rPr>
                      <w:rFonts w:hint="eastAsia"/>
                      <w:color w:val="auto"/>
                      <w:sz w:val="21"/>
                      <w:szCs w:val="21"/>
                      <w:lang w:eastAsia="zh-CN"/>
                    </w:rPr>
                    <w:t>郝家至银龙公路永红村至银龙村段改扩建工程</w:t>
                  </w:r>
                </w:p>
              </w:tc>
            </w:tr>
            <w:tr w14:paraId="7C71A3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6B54C83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60B08D4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78C1BCF8">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rPr>
                  </w:pPr>
                  <w:r>
                    <w:rPr>
                      <w:color w:val="auto"/>
                      <w:sz w:val="21"/>
                      <w:szCs w:val="21"/>
                    </w:rPr>
                    <w:t>桩号</w:t>
                  </w:r>
                </w:p>
              </w:tc>
              <w:tc>
                <w:tcPr>
                  <w:tcW w:w="1577" w:type="pct"/>
                  <w:gridSpan w:val="2"/>
                  <w:noWrap w:val="0"/>
                  <w:vAlign w:val="center"/>
                </w:tcPr>
                <w:p w14:paraId="7CE8BD5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K12+391~K48+240</w:t>
                  </w:r>
                </w:p>
              </w:tc>
              <w:tc>
                <w:tcPr>
                  <w:tcW w:w="1979" w:type="pct"/>
                  <w:gridSpan w:val="2"/>
                  <w:noWrap w:val="0"/>
                  <w:vAlign w:val="center"/>
                </w:tcPr>
                <w:p w14:paraId="6F7A24E1">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auto"/>
                      <w:sz w:val="21"/>
                      <w:szCs w:val="21"/>
                      <w:lang w:val="en-US" w:eastAsia="zh-CN"/>
                    </w:rPr>
                  </w:pPr>
                  <w:r>
                    <w:rPr>
                      <w:rFonts w:hint="eastAsia"/>
                      <w:color w:val="auto"/>
                      <w:sz w:val="21"/>
                      <w:szCs w:val="21"/>
                      <w:lang w:val="en-US" w:eastAsia="zh-CN"/>
                    </w:rPr>
                    <w:t>K48+240~K55+161</w:t>
                  </w:r>
                </w:p>
              </w:tc>
            </w:tr>
            <w:tr w14:paraId="4EABC9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6D00C89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5471BA7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666A5D9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eastAsia="zh-CN"/>
                    </w:rPr>
                  </w:pPr>
                  <w:r>
                    <w:rPr>
                      <w:rFonts w:hint="eastAsia"/>
                      <w:color w:val="auto"/>
                      <w:sz w:val="21"/>
                      <w:szCs w:val="21"/>
                      <w:lang w:eastAsia="zh-CN"/>
                    </w:rPr>
                    <w:t>性质</w:t>
                  </w:r>
                </w:p>
              </w:tc>
              <w:tc>
                <w:tcPr>
                  <w:tcW w:w="794" w:type="pct"/>
                  <w:noWrap w:val="0"/>
                  <w:vAlign w:val="center"/>
                </w:tcPr>
                <w:p w14:paraId="6F8DA89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lang w:val="en-US" w:eastAsia="zh-CN"/>
                    </w:rPr>
                  </w:pPr>
                  <w:r>
                    <w:rPr>
                      <w:rFonts w:hint="eastAsia"/>
                      <w:color w:val="auto"/>
                      <w:sz w:val="21"/>
                      <w:szCs w:val="21"/>
                      <w:lang w:eastAsia="zh-CN"/>
                    </w:rPr>
                    <w:t>原有公路</w:t>
                  </w:r>
                </w:p>
              </w:tc>
              <w:tc>
                <w:tcPr>
                  <w:tcW w:w="782" w:type="pct"/>
                  <w:noWrap w:val="0"/>
                  <w:vAlign w:val="center"/>
                </w:tcPr>
                <w:p w14:paraId="75C60D4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改扩建</w:t>
                  </w:r>
                </w:p>
              </w:tc>
              <w:tc>
                <w:tcPr>
                  <w:tcW w:w="985" w:type="pct"/>
                  <w:noWrap w:val="0"/>
                  <w:vAlign w:val="center"/>
                </w:tcPr>
                <w:p w14:paraId="35C34759">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sz w:val="21"/>
                      <w:szCs w:val="21"/>
                      <w:lang w:eastAsia="zh-CN"/>
                    </w:rPr>
                  </w:pPr>
                  <w:r>
                    <w:rPr>
                      <w:rFonts w:hint="eastAsia"/>
                      <w:color w:val="auto"/>
                      <w:sz w:val="21"/>
                      <w:szCs w:val="21"/>
                      <w:lang w:eastAsia="zh-CN"/>
                    </w:rPr>
                    <w:t>原有公路</w:t>
                  </w:r>
                </w:p>
              </w:tc>
              <w:tc>
                <w:tcPr>
                  <w:tcW w:w="993" w:type="pct"/>
                  <w:noWrap w:val="0"/>
                  <w:vAlign w:val="center"/>
                </w:tcPr>
                <w:p w14:paraId="2E08856A">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sz w:val="21"/>
                      <w:szCs w:val="21"/>
                      <w:lang w:eastAsia="zh-CN"/>
                    </w:rPr>
                  </w:pPr>
                  <w:r>
                    <w:rPr>
                      <w:rFonts w:hint="eastAsia"/>
                      <w:color w:val="auto"/>
                      <w:sz w:val="21"/>
                      <w:szCs w:val="21"/>
                      <w:lang w:val="en-US" w:eastAsia="zh-CN"/>
                    </w:rPr>
                    <w:t>改扩建</w:t>
                  </w:r>
                </w:p>
              </w:tc>
            </w:tr>
            <w:tr w14:paraId="25C8E0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164ECDB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450737E8">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795A59D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rPr>
                  </w:pPr>
                  <w:r>
                    <w:rPr>
                      <w:color w:val="auto"/>
                      <w:sz w:val="21"/>
                      <w:szCs w:val="21"/>
                    </w:rPr>
                    <w:t>路线长度</w:t>
                  </w:r>
                </w:p>
              </w:tc>
              <w:tc>
                <w:tcPr>
                  <w:tcW w:w="794" w:type="pct"/>
                  <w:noWrap w:val="0"/>
                  <w:vAlign w:val="center"/>
                </w:tcPr>
                <w:p w14:paraId="5EFAEDA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sz w:val="21"/>
                      <w:szCs w:val="21"/>
                      <w:lang w:val="en-US" w:eastAsia="zh-CN"/>
                    </w:rPr>
                  </w:pPr>
                  <w:r>
                    <w:rPr>
                      <w:rFonts w:hint="eastAsia"/>
                      <w:color w:val="auto"/>
                      <w:sz w:val="21"/>
                      <w:szCs w:val="21"/>
                      <w:lang w:val="en-US" w:eastAsia="zh-CN"/>
                    </w:rPr>
                    <w:t>35.849km</w:t>
                  </w:r>
                </w:p>
              </w:tc>
              <w:tc>
                <w:tcPr>
                  <w:tcW w:w="782" w:type="pct"/>
                  <w:noWrap w:val="0"/>
                  <w:vAlign w:val="center"/>
                </w:tcPr>
                <w:p w14:paraId="019C24A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sz w:val="21"/>
                      <w:szCs w:val="21"/>
                      <w:lang w:val="en-US" w:eastAsia="zh-CN"/>
                    </w:rPr>
                  </w:pPr>
                  <w:r>
                    <w:rPr>
                      <w:rFonts w:hint="eastAsia"/>
                      <w:color w:val="auto"/>
                      <w:sz w:val="21"/>
                      <w:szCs w:val="21"/>
                      <w:lang w:val="en-US" w:eastAsia="zh-CN"/>
                    </w:rPr>
                    <w:t>35.849km</w:t>
                  </w:r>
                </w:p>
              </w:tc>
              <w:tc>
                <w:tcPr>
                  <w:tcW w:w="985" w:type="pct"/>
                  <w:noWrap w:val="0"/>
                  <w:vAlign w:val="center"/>
                </w:tcPr>
                <w:p w14:paraId="1554F538">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color w:val="auto"/>
                      <w:sz w:val="21"/>
                      <w:szCs w:val="21"/>
                      <w:lang w:val="en-US" w:eastAsia="zh-CN"/>
                    </w:rPr>
                  </w:pPr>
                  <w:r>
                    <w:rPr>
                      <w:rFonts w:hint="eastAsia"/>
                      <w:color w:val="auto"/>
                      <w:sz w:val="21"/>
                      <w:szCs w:val="21"/>
                      <w:lang w:val="en-US" w:eastAsia="zh-CN"/>
                    </w:rPr>
                    <w:t>6.921km</w:t>
                  </w:r>
                </w:p>
              </w:tc>
              <w:tc>
                <w:tcPr>
                  <w:tcW w:w="993" w:type="pct"/>
                  <w:noWrap w:val="0"/>
                  <w:vAlign w:val="center"/>
                </w:tcPr>
                <w:p w14:paraId="0DBF34D3">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color w:val="auto"/>
                      <w:sz w:val="21"/>
                      <w:szCs w:val="21"/>
                      <w:lang w:val="en-US" w:eastAsia="zh-CN"/>
                    </w:rPr>
                  </w:pPr>
                  <w:r>
                    <w:rPr>
                      <w:rFonts w:hint="eastAsia"/>
                      <w:color w:val="auto"/>
                      <w:sz w:val="21"/>
                      <w:szCs w:val="21"/>
                      <w:lang w:val="en-US" w:eastAsia="zh-CN"/>
                    </w:rPr>
                    <w:t>6.921km</w:t>
                  </w:r>
                </w:p>
              </w:tc>
            </w:tr>
            <w:tr w14:paraId="440D98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15811AF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39B4599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193A716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eastAsia="zh-CN"/>
                    </w:rPr>
                  </w:pPr>
                  <w:r>
                    <w:rPr>
                      <w:rFonts w:hint="eastAsia"/>
                      <w:color w:val="auto"/>
                      <w:sz w:val="21"/>
                      <w:szCs w:val="21"/>
                      <w:lang w:eastAsia="zh-CN"/>
                    </w:rPr>
                    <w:t>公路等级</w:t>
                  </w:r>
                </w:p>
              </w:tc>
              <w:tc>
                <w:tcPr>
                  <w:tcW w:w="794" w:type="pct"/>
                  <w:noWrap w:val="0"/>
                  <w:vAlign w:val="center"/>
                </w:tcPr>
                <w:p w14:paraId="5127BB0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lang w:val="en-US" w:eastAsia="zh-CN"/>
                    </w:rPr>
                  </w:pPr>
                  <w:r>
                    <w:rPr>
                      <w:rFonts w:hint="eastAsia"/>
                      <w:color w:val="auto"/>
                      <w:sz w:val="21"/>
                      <w:szCs w:val="21"/>
                      <w:lang w:val="en-US" w:eastAsia="zh-CN"/>
                    </w:rPr>
                    <w:t>四级公路</w:t>
                  </w:r>
                </w:p>
              </w:tc>
              <w:tc>
                <w:tcPr>
                  <w:tcW w:w="782" w:type="pct"/>
                  <w:noWrap w:val="0"/>
                  <w:vAlign w:val="center"/>
                </w:tcPr>
                <w:p w14:paraId="74F0E728">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三级公路</w:t>
                  </w:r>
                </w:p>
              </w:tc>
              <w:tc>
                <w:tcPr>
                  <w:tcW w:w="985" w:type="pct"/>
                  <w:noWrap w:val="0"/>
                  <w:vAlign w:val="center"/>
                </w:tcPr>
                <w:p w14:paraId="5C8B054F">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auto"/>
                      <w:sz w:val="21"/>
                      <w:szCs w:val="21"/>
                      <w:lang w:val="en-US" w:eastAsia="zh-CN"/>
                    </w:rPr>
                  </w:pPr>
                  <w:r>
                    <w:rPr>
                      <w:rFonts w:hint="eastAsia"/>
                      <w:color w:val="auto"/>
                      <w:sz w:val="21"/>
                      <w:szCs w:val="21"/>
                      <w:lang w:val="en-US" w:eastAsia="zh-CN"/>
                    </w:rPr>
                    <w:t>四级公路</w:t>
                  </w:r>
                </w:p>
              </w:tc>
              <w:tc>
                <w:tcPr>
                  <w:tcW w:w="993" w:type="pct"/>
                  <w:noWrap w:val="0"/>
                  <w:vAlign w:val="center"/>
                </w:tcPr>
                <w:p w14:paraId="6A342819">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auto"/>
                      <w:sz w:val="21"/>
                      <w:szCs w:val="21"/>
                      <w:lang w:val="en-US" w:eastAsia="zh-CN"/>
                    </w:rPr>
                  </w:pPr>
                  <w:r>
                    <w:rPr>
                      <w:rFonts w:hint="eastAsia"/>
                      <w:color w:val="auto"/>
                      <w:sz w:val="21"/>
                      <w:szCs w:val="21"/>
                      <w:lang w:val="en-US" w:eastAsia="zh-CN"/>
                    </w:rPr>
                    <w:t>四级公路</w:t>
                  </w:r>
                </w:p>
              </w:tc>
            </w:tr>
            <w:tr w14:paraId="5EE5A1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061C837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1320A7B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72A1F82D">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eastAsia="zh-CN"/>
                    </w:rPr>
                  </w:pPr>
                  <w:r>
                    <w:rPr>
                      <w:rFonts w:hint="eastAsia"/>
                      <w:color w:val="auto"/>
                      <w:sz w:val="21"/>
                      <w:szCs w:val="21"/>
                      <w:lang w:eastAsia="zh-CN"/>
                    </w:rPr>
                    <w:t>行车道个数</w:t>
                  </w:r>
                </w:p>
              </w:tc>
              <w:tc>
                <w:tcPr>
                  <w:tcW w:w="794" w:type="pct"/>
                  <w:noWrap w:val="0"/>
                  <w:vAlign w:val="center"/>
                </w:tcPr>
                <w:p w14:paraId="460CDACA">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sz w:val="21"/>
                      <w:szCs w:val="21"/>
                      <w:lang w:val="en-US" w:eastAsia="zh-CN"/>
                    </w:rPr>
                  </w:pPr>
                  <w:r>
                    <w:rPr>
                      <w:rFonts w:hint="eastAsia"/>
                      <w:color w:val="auto"/>
                      <w:sz w:val="21"/>
                      <w:szCs w:val="21"/>
                      <w:lang w:val="en-US" w:eastAsia="zh-CN"/>
                    </w:rPr>
                    <w:t>2个</w:t>
                  </w:r>
                </w:p>
              </w:tc>
              <w:tc>
                <w:tcPr>
                  <w:tcW w:w="782" w:type="pct"/>
                  <w:noWrap w:val="0"/>
                  <w:vAlign w:val="center"/>
                </w:tcPr>
                <w:p w14:paraId="6EA2007A">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lang w:val="en-US" w:eastAsia="zh-CN"/>
                    </w:rPr>
                  </w:pPr>
                  <w:r>
                    <w:rPr>
                      <w:rFonts w:hint="eastAsia"/>
                      <w:color w:val="auto"/>
                      <w:sz w:val="21"/>
                      <w:szCs w:val="21"/>
                      <w:lang w:val="en-US" w:eastAsia="zh-CN"/>
                    </w:rPr>
                    <w:t>2个</w:t>
                  </w:r>
                </w:p>
              </w:tc>
              <w:tc>
                <w:tcPr>
                  <w:tcW w:w="985" w:type="pct"/>
                  <w:noWrap w:val="0"/>
                  <w:vAlign w:val="center"/>
                </w:tcPr>
                <w:p w14:paraId="1627E542">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auto"/>
                      <w:sz w:val="21"/>
                      <w:szCs w:val="21"/>
                      <w:lang w:val="en-US" w:eastAsia="zh-CN"/>
                    </w:rPr>
                  </w:pPr>
                  <w:r>
                    <w:rPr>
                      <w:rFonts w:hint="eastAsia"/>
                      <w:color w:val="auto"/>
                      <w:sz w:val="21"/>
                      <w:szCs w:val="21"/>
                      <w:lang w:val="en-US" w:eastAsia="zh-CN"/>
                    </w:rPr>
                    <w:t>1个</w:t>
                  </w:r>
                </w:p>
              </w:tc>
              <w:tc>
                <w:tcPr>
                  <w:tcW w:w="993" w:type="pct"/>
                  <w:noWrap w:val="0"/>
                  <w:vAlign w:val="center"/>
                </w:tcPr>
                <w:p w14:paraId="6E5FADC5">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auto"/>
                      <w:sz w:val="21"/>
                      <w:szCs w:val="21"/>
                      <w:lang w:val="en-US" w:eastAsia="zh-CN"/>
                    </w:rPr>
                  </w:pPr>
                  <w:r>
                    <w:rPr>
                      <w:rFonts w:hint="eastAsia"/>
                      <w:color w:val="auto"/>
                      <w:sz w:val="21"/>
                      <w:szCs w:val="21"/>
                      <w:lang w:val="en-US" w:eastAsia="zh-CN"/>
                    </w:rPr>
                    <w:t>1个</w:t>
                  </w:r>
                </w:p>
              </w:tc>
            </w:tr>
            <w:tr w14:paraId="35BFBA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2A033AB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06188F56">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6B6D747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eastAsia="zh-CN"/>
                    </w:rPr>
                  </w:pPr>
                  <w:r>
                    <w:rPr>
                      <w:rFonts w:hint="eastAsia"/>
                      <w:color w:val="auto"/>
                      <w:sz w:val="21"/>
                      <w:szCs w:val="21"/>
                      <w:lang w:eastAsia="zh-CN"/>
                    </w:rPr>
                    <w:t>路基宽度</w:t>
                  </w:r>
                </w:p>
              </w:tc>
              <w:tc>
                <w:tcPr>
                  <w:tcW w:w="794" w:type="pct"/>
                  <w:noWrap w:val="0"/>
                  <w:vAlign w:val="center"/>
                </w:tcPr>
                <w:p w14:paraId="10B7137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highlight w:val="none"/>
                      <w:lang w:val="en-US" w:eastAsia="zh-CN"/>
                    </w:rPr>
                  </w:pPr>
                  <w:r>
                    <w:rPr>
                      <w:rFonts w:hint="eastAsia"/>
                      <w:color w:val="auto"/>
                      <w:sz w:val="21"/>
                      <w:szCs w:val="21"/>
                      <w:highlight w:val="none"/>
                      <w:lang w:val="en-US" w:eastAsia="zh-CN"/>
                    </w:rPr>
                    <w:t>7.5m</w:t>
                  </w:r>
                </w:p>
              </w:tc>
              <w:tc>
                <w:tcPr>
                  <w:tcW w:w="782" w:type="pct"/>
                  <w:noWrap w:val="0"/>
                  <w:vAlign w:val="center"/>
                </w:tcPr>
                <w:p w14:paraId="0F3E17D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highlight w:val="none"/>
                      <w:lang w:val="en-US" w:eastAsia="zh-CN"/>
                    </w:rPr>
                  </w:pPr>
                  <w:r>
                    <w:rPr>
                      <w:rFonts w:hint="eastAsia"/>
                      <w:color w:val="auto"/>
                      <w:sz w:val="21"/>
                      <w:szCs w:val="21"/>
                      <w:highlight w:val="none"/>
                      <w:lang w:val="en-US" w:eastAsia="zh-CN"/>
                    </w:rPr>
                    <w:t>7.5m</w:t>
                  </w:r>
                </w:p>
              </w:tc>
              <w:tc>
                <w:tcPr>
                  <w:tcW w:w="985" w:type="pct"/>
                  <w:noWrap w:val="0"/>
                  <w:vAlign w:val="center"/>
                </w:tcPr>
                <w:p w14:paraId="4AD9BE50">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6.0m</w:t>
                  </w:r>
                </w:p>
              </w:tc>
              <w:tc>
                <w:tcPr>
                  <w:tcW w:w="993" w:type="pct"/>
                  <w:noWrap w:val="0"/>
                  <w:vAlign w:val="center"/>
                </w:tcPr>
                <w:p w14:paraId="148BC8E8">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6.0m</w:t>
                  </w:r>
                </w:p>
              </w:tc>
            </w:tr>
            <w:tr w14:paraId="14FF10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433B85B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26D0FBD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1DC1D09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路面结构</w:t>
                  </w:r>
                </w:p>
              </w:tc>
              <w:tc>
                <w:tcPr>
                  <w:tcW w:w="794" w:type="pct"/>
                  <w:noWrap w:val="0"/>
                  <w:vAlign w:val="center"/>
                </w:tcPr>
                <w:p w14:paraId="2826476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水泥混凝土</w:t>
                  </w:r>
                </w:p>
              </w:tc>
              <w:tc>
                <w:tcPr>
                  <w:tcW w:w="782" w:type="pct"/>
                  <w:noWrap w:val="0"/>
                  <w:vAlign w:val="center"/>
                </w:tcPr>
                <w:p w14:paraId="176C828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水泥混凝土</w:t>
                  </w:r>
                </w:p>
              </w:tc>
              <w:tc>
                <w:tcPr>
                  <w:tcW w:w="985" w:type="pct"/>
                  <w:noWrap w:val="0"/>
                  <w:vAlign w:val="center"/>
                </w:tcPr>
                <w:p w14:paraId="05052396">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sz w:val="21"/>
                      <w:szCs w:val="21"/>
                      <w:lang w:val="en-US" w:eastAsia="zh-CN"/>
                    </w:rPr>
                  </w:pPr>
                  <w:r>
                    <w:rPr>
                      <w:rFonts w:hint="eastAsia"/>
                      <w:color w:val="auto"/>
                      <w:sz w:val="21"/>
                      <w:szCs w:val="21"/>
                      <w:lang w:val="en-US" w:eastAsia="zh-CN"/>
                    </w:rPr>
                    <w:t>水泥混凝土</w:t>
                  </w:r>
                </w:p>
              </w:tc>
              <w:tc>
                <w:tcPr>
                  <w:tcW w:w="993" w:type="pct"/>
                  <w:noWrap w:val="0"/>
                  <w:vAlign w:val="center"/>
                </w:tcPr>
                <w:p w14:paraId="6DD119ED">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sz w:val="21"/>
                      <w:szCs w:val="21"/>
                      <w:lang w:val="en-US" w:eastAsia="zh-CN"/>
                    </w:rPr>
                  </w:pPr>
                  <w:r>
                    <w:rPr>
                      <w:rFonts w:hint="eastAsia"/>
                      <w:color w:val="auto"/>
                      <w:sz w:val="21"/>
                      <w:szCs w:val="21"/>
                      <w:lang w:val="en-US" w:eastAsia="zh-CN"/>
                    </w:rPr>
                    <w:t>水泥混凝土</w:t>
                  </w:r>
                </w:p>
              </w:tc>
            </w:tr>
            <w:tr w14:paraId="5A48FB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5512B329">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06FEB95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5ACD20BA">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lang w:val="en-US" w:eastAsia="zh-CN"/>
                    </w:rPr>
                  </w:pPr>
                  <w:r>
                    <w:rPr>
                      <w:rFonts w:hint="eastAsia"/>
                      <w:color w:val="auto"/>
                      <w:sz w:val="21"/>
                      <w:szCs w:val="21"/>
                      <w:lang w:val="en-US" w:eastAsia="zh-CN"/>
                    </w:rPr>
                    <w:t>设计车速</w:t>
                  </w:r>
                </w:p>
              </w:tc>
              <w:tc>
                <w:tcPr>
                  <w:tcW w:w="794" w:type="pct"/>
                  <w:noWrap w:val="0"/>
                  <w:vAlign w:val="center"/>
                </w:tcPr>
                <w:p w14:paraId="1AD199A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lang w:val="en-US" w:eastAsia="zh-CN"/>
                    </w:rPr>
                  </w:pPr>
                  <w:r>
                    <w:rPr>
                      <w:rFonts w:hint="eastAsia"/>
                      <w:color w:val="auto"/>
                      <w:sz w:val="21"/>
                      <w:szCs w:val="21"/>
                      <w:lang w:val="en-US" w:eastAsia="zh-CN"/>
                    </w:rPr>
                    <w:t>20km/h</w:t>
                  </w:r>
                </w:p>
              </w:tc>
              <w:tc>
                <w:tcPr>
                  <w:tcW w:w="782" w:type="pct"/>
                  <w:noWrap w:val="0"/>
                  <w:vAlign w:val="center"/>
                </w:tcPr>
                <w:p w14:paraId="1948D60D">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sz w:val="21"/>
                      <w:szCs w:val="21"/>
                      <w:lang w:val="en-US" w:eastAsia="zh-CN"/>
                    </w:rPr>
                  </w:pPr>
                  <w:r>
                    <w:rPr>
                      <w:rFonts w:hint="eastAsia"/>
                      <w:color w:val="auto"/>
                      <w:sz w:val="21"/>
                      <w:szCs w:val="21"/>
                      <w:lang w:val="en-US" w:eastAsia="zh-CN"/>
                    </w:rPr>
                    <w:t>30km/h</w:t>
                  </w:r>
                </w:p>
              </w:tc>
              <w:tc>
                <w:tcPr>
                  <w:tcW w:w="985" w:type="pct"/>
                  <w:noWrap w:val="0"/>
                  <w:vAlign w:val="center"/>
                </w:tcPr>
                <w:p w14:paraId="08F8BB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auto"/>
                      <w:sz w:val="21"/>
                      <w:szCs w:val="21"/>
                      <w:lang w:val="en-US" w:eastAsia="zh-CN"/>
                    </w:rPr>
                  </w:pPr>
                  <w:r>
                    <w:rPr>
                      <w:rFonts w:hint="eastAsia"/>
                      <w:color w:val="auto"/>
                      <w:sz w:val="21"/>
                      <w:szCs w:val="21"/>
                      <w:lang w:val="en-US" w:eastAsia="zh-CN"/>
                    </w:rPr>
                    <w:t>20km/h</w:t>
                  </w:r>
                </w:p>
              </w:tc>
              <w:tc>
                <w:tcPr>
                  <w:tcW w:w="993" w:type="pct"/>
                  <w:noWrap w:val="0"/>
                  <w:vAlign w:val="center"/>
                </w:tcPr>
                <w:p w14:paraId="2B87C8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auto"/>
                      <w:sz w:val="21"/>
                      <w:szCs w:val="21"/>
                      <w:lang w:val="en-US" w:eastAsia="zh-CN"/>
                    </w:rPr>
                  </w:pPr>
                  <w:r>
                    <w:rPr>
                      <w:rFonts w:hint="eastAsia"/>
                      <w:color w:val="auto"/>
                      <w:sz w:val="21"/>
                      <w:szCs w:val="21"/>
                      <w:lang w:val="en-US" w:eastAsia="zh-CN"/>
                    </w:rPr>
                    <w:t>20km/h</w:t>
                  </w:r>
                </w:p>
              </w:tc>
            </w:tr>
            <w:tr w14:paraId="0B662D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2CF47A4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02FF0BE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5B93903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排水</w:t>
                  </w:r>
                </w:p>
              </w:tc>
              <w:tc>
                <w:tcPr>
                  <w:tcW w:w="3556" w:type="pct"/>
                  <w:gridSpan w:val="4"/>
                  <w:noWrap w:val="0"/>
                  <w:vAlign w:val="center"/>
                </w:tcPr>
                <w:p w14:paraId="5807BDD1">
                  <w:pPr>
                    <w:pStyle w:val="33"/>
                    <w:spacing w:line="240" w:lineRule="auto"/>
                    <w:jc w:val="both"/>
                    <w:rPr>
                      <w:rFonts w:hint="eastAsia" w:ascii="Times New Roman" w:hAnsi="Times New Roman" w:eastAsia="宋体" w:cs="Times New Roman"/>
                      <w:color w:val="auto"/>
                      <w:lang w:val="en-US" w:eastAsia="zh-CN"/>
                    </w:rPr>
                  </w:pPr>
                  <w:r>
                    <w:rPr>
                      <w:color w:val="auto"/>
                    </w:rPr>
                    <w:t>路基排水：</w:t>
                  </w:r>
                  <w:r>
                    <w:rPr>
                      <w:rFonts w:hint="eastAsia" w:ascii="Times New Roman" w:hAnsi="Times New Roman" w:eastAsia="宋体" w:cs="Times New Roman"/>
                      <w:color w:val="auto"/>
                      <w:lang w:val="en-US" w:eastAsia="zh-CN"/>
                    </w:rPr>
                    <w:t>本次设计一般路段采用土质排水沟，较大的村屯过境段采用预制水泥砼矩形盖板边沟。</w:t>
                  </w:r>
                </w:p>
                <w:p w14:paraId="7FE0B099">
                  <w:pPr>
                    <w:pStyle w:val="33"/>
                    <w:spacing w:line="240" w:lineRule="auto"/>
                    <w:jc w:val="both"/>
                    <w:rPr>
                      <w:rFonts w:hint="eastAsia"/>
                      <w:color w:val="auto"/>
                      <w:lang w:val="en-US" w:eastAsia="zh-CN"/>
                    </w:rPr>
                  </w:pPr>
                  <w:r>
                    <w:rPr>
                      <w:color w:val="auto"/>
                    </w:rPr>
                    <w:t>路面排水：</w:t>
                  </w:r>
                  <w:r>
                    <w:rPr>
                      <w:rFonts w:hint="eastAsia" w:ascii="Times New Roman" w:hAnsi="Times New Roman" w:eastAsia="宋体" w:cs="Times New Roman"/>
                      <w:color w:val="auto"/>
                      <w:lang w:val="en-US" w:eastAsia="zh-CN"/>
                    </w:rPr>
                    <w:t>本项目路面排水采用分散排水的形式（由路面横坡、路肩、边坡防护组成），使雨水漫流排至路基边沟，并排离路基范围以外。</w:t>
                  </w:r>
                </w:p>
              </w:tc>
            </w:tr>
            <w:tr w14:paraId="664388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2228998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5B2B714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09719D47">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sz w:val="21"/>
                      <w:szCs w:val="21"/>
                      <w:lang w:val="en-US" w:eastAsia="zh-CN"/>
                    </w:rPr>
                  </w:pPr>
                  <w:r>
                    <w:rPr>
                      <w:rFonts w:hint="eastAsia"/>
                      <w:color w:val="auto"/>
                      <w:sz w:val="21"/>
                      <w:szCs w:val="21"/>
                      <w:lang w:val="en-US" w:eastAsia="zh-CN"/>
                    </w:rPr>
                    <w:t>路基防护</w:t>
                  </w:r>
                </w:p>
              </w:tc>
              <w:tc>
                <w:tcPr>
                  <w:tcW w:w="3556" w:type="pct"/>
                  <w:gridSpan w:val="4"/>
                  <w:noWrap w:val="0"/>
                  <w:vAlign w:val="center"/>
                </w:tcPr>
                <w:p w14:paraId="624EDF55">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color w:val="auto"/>
                      <w:sz w:val="21"/>
                      <w:szCs w:val="21"/>
                    </w:rPr>
                  </w:pPr>
                  <w:r>
                    <w:rPr>
                      <w:rFonts w:hint="default" w:ascii="Times New Roman" w:hAnsi="Times New Roman" w:eastAsia="宋体" w:cs="Times New Roman"/>
                      <w:color w:val="auto"/>
                      <w:kern w:val="0"/>
                      <w:sz w:val="21"/>
                      <w:szCs w:val="21"/>
                      <w:lang w:val="en-US" w:eastAsia="zh-CN" w:bidi="ar"/>
                    </w:rPr>
                    <w:t>路堤采</w:t>
                  </w:r>
                  <w:r>
                    <w:rPr>
                      <w:rFonts w:hint="default" w:ascii="Times New Roman" w:hAnsi="Times New Roman" w:eastAsia="宋体" w:cs="Times New Roman"/>
                      <w:color w:val="auto"/>
                      <w:kern w:val="0"/>
                      <w:sz w:val="21"/>
                      <w:szCs w:val="21"/>
                      <w:highlight w:val="none"/>
                      <w:lang w:val="en-US" w:eastAsia="zh-CN" w:bidi="ar"/>
                    </w:rPr>
                    <w:t>用</w:t>
                  </w:r>
                  <w:r>
                    <w:rPr>
                      <w:rFonts w:hint="eastAsia" w:cs="Times New Roman"/>
                      <w:color w:val="auto"/>
                      <w:kern w:val="0"/>
                      <w:sz w:val="21"/>
                      <w:szCs w:val="21"/>
                      <w:highlight w:val="none"/>
                      <w:lang w:val="en-US" w:eastAsia="zh-CN" w:bidi="ar"/>
                    </w:rPr>
                    <w:t>植草</w:t>
                  </w:r>
                  <w:r>
                    <w:rPr>
                      <w:rFonts w:hint="default" w:ascii="Times New Roman" w:hAnsi="Times New Roman" w:eastAsia="宋体" w:cs="Times New Roman"/>
                      <w:color w:val="auto"/>
                      <w:kern w:val="0"/>
                      <w:sz w:val="21"/>
                      <w:szCs w:val="21"/>
                      <w:highlight w:val="none"/>
                      <w:lang w:val="en-US" w:eastAsia="zh-CN" w:bidi="ar"/>
                    </w:rPr>
                    <w:t>防护型式</w:t>
                  </w:r>
                  <w:r>
                    <w:rPr>
                      <w:rFonts w:hint="eastAsia" w:eastAsia="宋体" w:cs="Times New Roman"/>
                      <w:color w:val="auto"/>
                      <w:kern w:val="0"/>
                      <w:sz w:val="21"/>
                      <w:szCs w:val="21"/>
                      <w:highlight w:val="none"/>
                      <w:lang w:val="en-US" w:eastAsia="zh-CN" w:bidi="ar"/>
                    </w:rPr>
                    <w:t>。</w:t>
                  </w:r>
                </w:p>
              </w:tc>
            </w:tr>
            <w:tr w14:paraId="2D9F87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6AAC608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restart"/>
                  <w:noWrap w:val="0"/>
                  <w:vAlign w:val="center"/>
                </w:tcPr>
                <w:p w14:paraId="3D38CF1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eastAsia="zh-CN"/>
                    </w:rPr>
                  </w:pPr>
                  <w:r>
                    <w:rPr>
                      <w:rFonts w:hint="eastAsia"/>
                      <w:color w:val="auto"/>
                      <w:lang w:eastAsia="zh-CN"/>
                    </w:rPr>
                    <w:t>桥涵工程</w:t>
                  </w:r>
                </w:p>
              </w:tc>
              <w:tc>
                <w:tcPr>
                  <w:tcW w:w="735" w:type="pct"/>
                  <w:noWrap w:val="0"/>
                  <w:vAlign w:val="center"/>
                </w:tcPr>
                <w:p w14:paraId="694BB123">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lang w:val="en-US" w:eastAsia="zh-CN"/>
                    </w:rPr>
                    <w:t>桥梁</w:t>
                  </w:r>
                </w:p>
              </w:tc>
              <w:tc>
                <w:tcPr>
                  <w:tcW w:w="3556" w:type="pct"/>
                  <w:gridSpan w:val="4"/>
                  <w:noWrap w:val="0"/>
                  <w:vAlign w:val="center"/>
                </w:tcPr>
                <w:p w14:paraId="666EF24B">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color w:val="auto"/>
                      <w:lang w:val="en-US" w:eastAsia="zh-CN"/>
                    </w:rPr>
                  </w:pPr>
                  <w:r>
                    <w:rPr>
                      <w:rFonts w:hint="eastAsia"/>
                      <w:color w:val="auto"/>
                      <w:szCs w:val="21"/>
                      <w:lang w:eastAsia="zh-CN"/>
                    </w:rPr>
                    <w:t>现</w:t>
                  </w:r>
                  <w:r>
                    <w:rPr>
                      <w:rFonts w:hint="eastAsia"/>
                      <w:color w:val="auto"/>
                      <w:szCs w:val="21"/>
                      <w:lang w:val="en-US" w:eastAsia="zh-CN"/>
                    </w:rPr>
                    <w:t>有4座桥梁均满足现有道路通行标准，全部利用，其中K53+756银龙桥</w:t>
                  </w:r>
                  <w:r>
                    <w:rPr>
                      <w:rFonts w:hint="eastAsia"/>
                      <w:color w:val="auto"/>
                      <w:szCs w:val="21"/>
                      <w:lang w:eastAsia="zh-CN"/>
                    </w:rPr>
                    <w:t>现</w:t>
                  </w:r>
                  <w:r>
                    <w:rPr>
                      <w:rFonts w:hint="eastAsia"/>
                      <w:color w:val="auto"/>
                      <w:szCs w:val="21"/>
                      <w:lang w:val="en-US" w:eastAsia="zh-CN"/>
                    </w:rPr>
                    <w:t>有桥梁护栏破损，本次维修护栏后利用。</w:t>
                  </w:r>
                </w:p>
              </w:tc>
            </w:tr>
            <w:tr w14:paraId="1AE9F9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4068DD07">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vMerge w:val="continue"/>
                  <w:noWrap w:val="0"/>
                  <w:vAlign w:val="center"/>
                </w:tcPr>
                <w:p w14:paraId="11996371">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735" w:type="pct"/>
                  <w:noWrap w:val="0"/>
                  <w:vAlign w:val="center"/>
                </w:tcPr>
                <w:p w14:paraId="61EFB0FB">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lang w:val="en-US" w:eastAsia="zh-CN"/>
                    </w:rPr>
                    <w:t>涵洞</w:t>
                  </w:r>
                </w:p>
              </w:tc>
              <w:tc>
                <w:tcPr>
                  <w:tcW w:w="3556" w:type="pct"/>
                  <w:gridSpan w:val="4"/>
                  <w:noWrap w:val="0"/>
                  <w:vAlign w:val="center"/>
                </w:tcPr>
                <w:p w14:paraId="56FE6A9E">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eastAsia="宋体"/>
                      <w:color w:val="auto"/>
                      <w:lang w:val="en-US" w:eastAsia="zh-CN"/>
                    </w:rPr>
                  </w:pPr>
                  <w:r>
                    <w:rPr>
                      <w:rFonts w:hint="eastAsia"/>
                      <w:color w:val="auto"/>
                      <w:szCs w:val="21"/>
                      <w:lang w:eastAsia="zh-CN"/>
                    </w:rPr>
                    <w:t>本项目共设置涵洞</w:t>
                  </w:r>
                  <w:r>
                    <w:rPr>
                      <w:rFonts w:hint="eastAsia"/>
                      <w:color w:val="auto"/>
                      <w:szCs w:val="21"/>
                      <w:lang w:val="en-US" w:eastAsia="zh-CN"/>
                    </w:rPr>
                    <w:t>8道，</w:t>
                  </w:r>
                  <w:r>
                    <w:rPr>
                      <w:rFonts w:hint="eastAsia"/>
                      <w:color w:val="auto"/>
                      <w:lang w:val="en-US" w:eastAsia="zh-CN"/>
                    </w:rPr>
                    <w:t>均为拆除重建，</w:t>
                  </w:r>
                  <w:r>
                    <w:rPr>
                      <w:rFonts w:hint="eastAsia" w:ascii="Times New Roman" w:hAnsi="Times New Roman" w:eastAsia="宋体"/>
                      <w:color w:val="auto"/>
                      <w:sz w:val="21"/>
                      <w:szCs w:val="20"/>
                      <w:lang w:val="en-US" w:eastAsia="zh-CN"/>
                    </w:rPr>
                    <w:t>为</w:t>
                  </w:r>
                  <w:r>
                    <w:rPr>
                      <w:rFonts w:hint="eastAsia" w:ascii="Times New Roman" w:hAnsi="Times New Roman" w:eastAsia="宋体"/>
                      <w:color w:val="auto"/>
                      <w:sz w:val="21"/>
                      <w:szCs w:val="22"/>
                    </w:rPr>
                    <w:t>钢筋混凝土</w:t>
                  </w:r>
                  <w:r>
                    <w:rPr>
                      <w:rFonts w:hint="eastAsia"/>
                      <w:color w:val="auto"/>
                      <w:sz w:val="21"/>
                      <w:szCs w:val="22"/>
                      <w:lang w:eastAsia="zh-CN"/>
                    </w:rPr>
                    <w:t>箱</w:t>
                  </w:r>
                  <w:r>
                    <w:rPr>
                      <w:rFonts w:hint="eastAsia" w:ascii="Times New Roman" w:hAnsi="Times New Roman" w:eastAsia="宋体"/>
                      <w:color w:val="auto"/>
                      <w:sz w:val="21"/>
                      <w:szCs w:val="22"/>
                    </w:rPr>
                    <w:t>涵</w:t>
                  </w:r>
                  <w:r>
                    <w:rPr>
                      <w:rFonts w:hint="eastAsia"/>
                      <w:color w:val="auto"/>
                      <w:lang w:val="en-US" w:eastAsia="zh-CN"/>
                    </w:rPr>
                    <w:t>。</w:t>
                  </w:r>
                </w:p>
              </w:tc>
            </w:tr>
            <w:tr w14:paraId="79EBAA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0E85A62B">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1107" w:type="pct"/>
                  <w:gridSpan w:val="2"/>
                  <w:noWrap w:val="0"/>
                  <w:vAlign w:val="center"/>
                </w:tcPr>
                <w:p w14:paraId="229CCF4D">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auto"/>
                      <w:lang w:val="en-US" w:eastAsia="zh-CN"/>
                    </w:rPr>
                  </w:pPr>
                  <w:r>
                    <w:rPr>
                      <w:rFonts w:hint="eastAsia"/>
                      <w:color w:val="auto"/>
                      <w:lang w:eastAsia="zh-CN"/>
                    </w:rPr>
                    <w:t>交叉工程</w:t>
                  </w:r>
                </w:p>
              </w:tc>
              <w:tc>
                <w:tcPr>
                  <w:tcW w:w="3556" w:type="pct"/>
                  <w:gridSpan w:val="4"/>
                  <w:noWrap w:val="0"/>
                  <w:vAlign w:val="center"/>
                </w:tcPr>
                <w:p w14:paraId="3B85E95E">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color w:val="auto"/>
                      <w:szCs w:val="21"/>
                      <w:lang w:eastAsia="zh-CN"/>
                    </w:rPr>
                  </w:pPr>
                  <w:r>
                    <w:rPr>
                      <w:rFonts w:hint="eastAsia" w:ascii="Times New Roman" w:hAnsi="Times New Roman" w:eastAsia="宋体" w:cs="Times New Roman"/>
                      <w:color w:val="auto"/>
                      <w:lang w:val="en-US" w:eastAsia="zh-CN"/>
                    </w:rPr>
                    <w:t>全线共设置平面交叉167处，其中：与四级、等外公路交叉2处，与四级公路交叉37处，与等外公路交叉128处。</w:t>
                  </w:r>
                </w:p>
              </w:tc>
            </w:tr>
            <w:tr w14:paraId="26425E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79B056A3">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noWrap w:val="0"/>
                  <w:vAlign w:val="center"/>
                </w:tcPr>
                <w:p w14:paraId="2FFF2048">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土石方工程</w:t>
                  </w:r>
                </w:p>
              </w:tc>
              <w:tc>
                <w:tcPr>
                  <w:tcW w:w="4292" w:type="pct"/>
                  <w:gridSpan w:val="5"/>
                  <w:noWrap w:val="0"/>
                  <w:vAlign w:val="center"/>
                </w:tcPr>
                <w:p w14:paraId="19471124">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color w:val="auto"/>
                      <w:sz w:val="21"/>
                      <w:szCs w:val="21"/>
                      <w:highlight w:val="none"/>
                      <w:lang w:eastAsia="zh-CN"/>
                    </w:rPr>
                  </w:pPr>
                  <w:r>
                    <w:rPr>
                      <w:color w:val="auto"/>
                      <w:sz w:val="21"/>
                      <w:szCs w:val="21"/>
                      <w:highlight w:val="none"/>
                    </w:rPr>
                    <w:t>本项目</w:t>
                  </w:r>
                  <w:r>
                    <w:rPr>
                      <w:rFonts w:hint="eastAsia"/>
                      <w:color w:val="auto"/>
                      <w:sz w:val="21"/>
                      <w:szCs w:val="21"/>
                      <w:highlight w:val="none"/>
                    </w:rPr>
                    <w:t>无弃方，</w:t>
                  </w:r>
                  <w:r>
                    <w:rPr>
                      <w:rFonts w:hint="default" w:ascii="Times New Roman" w:hAnsi="Times New Roman" w:cs="Times New Roman"/>
                      <w:color w:val="auto"/>
                      <w:sz w:val="21"/>
                      <w:szCs w:val="21"/>
                      <w:highlight w:val="none"/>
                    </w:rPr>
                    <w:t>本工程挖方总量</w:t>
                  </w:r>
                  <w:r>
                    <w:rPr>
                      <w:rFonts w:hint="eastAsia" w:cs="Times New Roman"/>
                      <w:color w:val="auto"/>
                      <w:sz w:val="21"/>
                      <w:szCs w:val="21"/>
                      <w:highlight w:val="none"/>
                      <w:lang w:val="en-US" w:eastAsia="zh-CN"/>
                    </w:rPr>
                    <w:t>73599</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，填方总量</w:t>
                  </w:r>
                  <w:r>
                    <w:rPr>
                      <w:rFonts w:hint="eastAsia" w:cs="Times New Roman"/>
                      <w:color w:val="auto"/>
                      <w:sz w:val="21"/>
                      <w:szCs w:val="21"/>
                      <w:highlight w:val="none"/>
                      <w:lang w:val="en-US" w:eastAsia="zh-CN"/>
                    </w:rPr>
                    <w:t>138030</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，利用方总量</w:t>
                  </w:r>
                  <w:r>
                    <w:rPr>
                      <w:rFonts w:hint="eastAsia" w:cs="Times New Roman"/>
                      <w:color w:val="auto"/>
                      <w:sz w:val="21"/>
                      <w:szCs w:val="21"/>
                      <w:highlight w:val="none"/>
                      <w:lang w:val="en-US" w:eastAsia="zh-CN"/>
                    </w:rPr>
                    <w:t>73599</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，借方</w:t>
                  </w:r>
                  <w:r>
                    <w:rPr>
                      <w:rFonts w:hint="eastAsia" w:cs="Times New Roman"/>
                      <w:color w:val="auto"/>
                      <w:sz w:val="21"/>
                      <w:szCs w:val="21"/>
                      <w:highlight w:val="none"/>
                      <w:lang w:val="en-US" w:eastAsia="zh-CN"/>
                    </w:rPr>
                    <w:t>64431</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vertAlign w:val="superscript"/>
                    </w:rPr>
                    <w:t>3</w:t>
                  </w:r>
                  <w:r>
                    <w:rPr>
                      <w:rFonts w:hint="eastAsia"/>
                      <w:color w:val="auto"/>
                      <w:sz w:val="21"/>
                      <w:szCs w:val="21"/>
                      <w:highlight w:val="none"/>
                    </w:rPr>
                    <w:t>。</w:t>
                  </w:r>
                </w:p>
              </w:tc>
            </w:tr>
            <w:tr w14:paraId="40F8C7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2FB3A98C">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noWrap w:val="0"/>
                  <w:vAlign w:val="center"/>
                </w:tcPr>
                <w:p w14:paraId="7F911347">
                  <w:pPr>
                    <w:pStyle w:val="33"/>
                    <w:spacing w:line="240" w:lineRule="auto"/>
                    <w:ind w:firstLine="0" w:firstLineChars="0"/>
                    <w:rPr>
                      <w:rFonts w:hint="eastAsia" w:eastAsia="宋体"/>
                      <w:color w:val="auto"/>
                      <w:lang w:eastAsia="zh-CN"/>
                    </w:rPr>
                  </w:pPr>
                  <w:r>
                    <w:rPr>
                      <w:rFonts w:hint="eastAsia"/>
                      <w:color w:val="auto"/>
                      <w:lang w:eastAsia="zh-CN"/>
                    </w:rPr>
                    <w:t>拆迁工程</w:t>
                  </w:r>
                </w:p>
              </w:tc>
              <w:tc>
                <w:tcPr>
                  <w:tcW w:w="4292" w:type="pct"/>
                  <w:gridSpan w:val="5"/>
                  <w:noWrap w:val="0"/>
                  <w:vAlign w:val="center"/>
                </w:tcPr>
                <w:p w14:paraId="3E5CD115">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color w:val="auto"/>
                      <w:lang w:eastAsia="zh-CN"/>
                    </w:rPr>
                  </w:pPr>
                  <w:r>
                    <w:rPr>
                      <w:rFonts w:ascii="Times New Roman" w:hAnsi="Times New Roman" w:eastAsia="宋体" w:cs="Times New Roman"/>
                      <w:color w:val="auto"/>
                      <w:kern w:val="2"/>
                      <w:sz w:val="21"/>
                      <w:szCs w:val="24"/>
                      <w:lang w:val="en-US" w:eastAsia="zh-CN" w:bidi="ar-SA"/>
                    </w:rPr>
                    <w:t>本项目</w:t>
                  </w:r>
                  <w:r>
                    <w:rPr>
                      <w:rFonts w:hint="eastAsia" w:ascii="Times New Roman" w:hAnsi="Times New Roman" w:cs="Times New Roman"/>
                      <w:color w:val="auto"/>
                      <w:kern w:val="2"/>
                      <w:sz w:val="21"/>
                      <w:szCs w:val="24"/>
                      <w:lang w:val="en-US" w:eastAsia="zh-CN" w:bidi="ar-SA"/>
                    </w:rPr>
                    <w:t>不涉及</w:t>
                  </w:r>
                  <w:r>
                    <w:rPr>
                      <w:rFonts w:hint="eastAsia" w:cs="Times New Roman"/>
                      <w:color w:val="auto"/>
                      <w:kern w:val="2"/>
                      <w:sz w:val="21"/>
                      <w:szCs w:val="24"/>
                      <w:lang w:val="en-US" w:eastAsia="zh-CN" w:bidi="ar-SA"/>
                    </w:rPr>
                    <w:t>拆迁工程。</w:t>
                  </w:r>
                </w:p>
              </w:tc>
            </w:tr>
            <w:tr w14:paraId="22FB58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77D759C3">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noWrap w:val="0"/>
                  <w:vAlign w:val="center"/>
                </w:tcPr>
                <w:p w14:paraId="1A1AA0AB">
                  <w:pPr>
                    <w:pStyle w:val="33"/>
                    <w:spacing w:line="240" w:lineRule="auto"/>
                    <w:ind w:firstLine="0" w:firstLineChars="0"/>
                    <w:rPr>
                      <w:rFonts w:hint="eastAsia" w:eastAsia="宋体"/>
                      <w:color w:val="auto"/>
                      <w:highlight w:val="none"/>
                      <w:lang w:eastAsia="zh-CN"/>
                    </w:rPr>
                  </w:pPr>
                  <w:r>
                    <w:rPr>
                      <w:rFonts w:hint="eastAsia" w:eastAsia="宋体"/>
                      <w:color w:val="auto"/>
                      <w:highlight w:val="none"/>
                      <w:lang w:eastAsia="zh-CN"/>
                    </w:rPr>
                    <w:t>帮宽方案</w:t>
                  </w:r>
                </w:p>
              </w:tc>
              <w:tc>
                <w:tcPr>
                  <w:tcW w:w="4292" w:type="pct"/>
                  <w:gridSpan w:val="5"/>
                  <w:noWrap w:val="0"/>
                  <w:vAlign w:val="center"/>
                </w:tcPr>
                <w:p w14:paraId="4C5C8B60">
                  <w:pPr>
                    <w:pStyle w:val="33"/>
                    <w:spacing w:line="240" w:lineRule="auto"/>
                    <w:ind w:firstLine="0" w:firstLineChars="0"/>
                    <w:jc w:val="both"/>
                    <w:rPr>
                      <w:rFonts w:hint="default" w:eastAsia="宋体"/>
                      <w:color w:val="auto"/>
                      <w:highlight w:val="none"/>
                      <w:lang w:val="en-US" w:eastAsia="zh-CN"/>
                    </w:rPr>
                  </w:pPr>
                  <w:r>
                    <w:rPr>
                      <w:rFonts w:eastAsia="宋体"/>
                      <w:color w:val="auto"/>
                      <w:highlight w:val="none"/>
                    </w:rPr>
                    <w:t>本项目在既有旧路路基范围内施工，路基范围保持不变，不进行路基帮宽。</w:t>
                  </w:r>
                </w:p>
              </w:tc>
            </w:tr>
            <w:tr w14:paraId="7FA7A9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45EFC571">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vMerge w:val="restart"/>
                  <w:noWrap w:val="0"/>
                  <w:vAlign w:val="center"/>
                </w:tcPr>
                <w:p w14:paraId="3D52B1B2">
                  <w:pPr>
                    <w:pStyle w:val="33"/>
                    <w:spacing w:line="240" w:lineRule="auto"/>
                    <w:ind w:firstLine="0" w:firstLineChars="0"/>
                    <w:rPr>
                      <w:color w:val="auto"/>
                    </w:rPr>
                  </w:pPr>
                  <w:r>
                    <w:rPr>
                      <w:color w:val="auto"/>
                    </w:rPr>
                    <w:t>征地</w:t>
                  </w:r>
                </w:p>
              </w:tc>
              <w:tc>
                <w:tcPr>
                  <w:tcW w:w="735" w:type="pct"/>
                  <w:noWrap w:val="0"/>
                  <w:vAlign w:val="center"/>
                </w:tcPr>
                <w:p w14:paraId="3E455F0D">
                  <w:pPr>
                    <w:pStyle w:val="33"/>
                    <w:spacing w:line="240" w:lineRule="auto"/>
                    <w:ind w:firstLine="0" w:firstLineChars="0"/>
                    <w:rPr>
                      <w:rFonts w:hint="eastAsia"/>
                      <w:color w:val="auto"/>
                      <w:highlight w:val="none"/>
                      <w:lang w:val="en-US" w:eastAsia="zh-CN"/>
                    </w:rPr>
                  </w:pPr>
                  <w:r>
                    <w:rPr>
                      <w:color w:val="auto"/>
                      <w:highlight w:val="none"/>
                    </w:rPr>
                    <w:t>永久性占地</w:t>
                  </w:r>
                </w:p>
              </w:tc>
              <w:tc>
                <w:tcPr>
                  <w:tcW w:w="3556" w:type="pct"/>
                  <w:gridSpan w:val="4"/>
                  <w:noWrap w:val="0"/>
                  <w:vAlign w:val="center"/>
                </w:tcPr>
                <w:p w14:paraId="5641251D">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color w:val="auto"/>
                      <w:highlight w:val="none"/>
                      <w:lang w:eastAsia="zh-CN"/>
                    </w:rPr>
                  </w:pPr>
                  <w:r>
                    <w:rPr>
                      <w:rFonts w:hint="default"/>
                      <w:color w:val="auto"/>
                      <w:highlight w:val="none"/>
                    </w:rPr>
                    <w:t>本项目永久占地</w:t>
                  </w:r>
                  <w:r>
                    <w:rPr>
                      <w:rFonts w:hint="eastAsia"/>
                      <w:color w:val="auto"/>
                      <w:highlight w:val="none"/>
                      <w:lang w:val="en-US" w:eastAsia="zh-CN"/>
                    </w:rPr>
                    <w:t>53.7944</w:t>
                  </w:r>
                  <w:r>
                    <w:rPr>
                      <w:rFonts w:hint="default"/>
                      <w:color w:val="auto"/>
                      <w:highlight w:val="none"/>
                    </w:rPr>
                    <w:t>hm</w:t>
                  </w:r>
                  <w:r>
                    <w:rPr>
                      <w:rFonts w:hint="default"/>
                      <w:color w:val="auto"/>
                      <w:highlight w:val="none"/>
                      <w:vertAlign w:val="superscript"/>
                    </w:rPr>
                    <w:t>2</w:t>
                  </w:r>
                  <w:r>
                    <w:rPr>
                      <w:rFonts w:hint="default"/>
                      <w:color w:val="auto"/>
                      <w:highlight w:val="none"/>
                    </w:rPr>
                    <w:t>，全部为旧路，不新增永久占地。</w:t>
                  </w:r>
                </w:p>
              </w:tc>
            </w:tr>
            <w:tr w14:paraId="1248ED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41AED5BA">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vMerge w:val="continue"/>
                  <w:noWrap w:val="0"/>
                  <w:vAlign w:val="center"/>
                </w:tcPr>
                <w:p w14:paraId="267CA275">
                  <w:pPr>
                    <w:pStyle w:val="33"/>
                    <w:spacing w:line="240" w:lineRule="auto"/>
                    <w:ind w:firstLine="0" w:firstLineChars="0"/>
                    <w:rPr>
                      <w:color w:val="auto"/>
                    </w:rPr>
                  </w:pPr>
                </w:p>
              </w:tc>
              <w:tc>
                <w:tcPr>
                  <w:tcW w:w="735" w:type="pct"/>
                  <w:noWrap w:val="0"/>
                  <w:vAlign w:val="center"/>
                </w:tcPr>
                <w:p w14:paraId="6EFC9B87">
                  <w:pPr>
                    <w:pStyle w:val="33"/>
                    <w:spacing w:line="240" w:lineRule="auto"/>
                    <w:ind w:firstLine="0" w:firstLineChars="0"/>
                    <w:jc w:val="center"/>
                    <w:rPr>
                      <w:rFonts w:hint="eastAsia"/>
                      <w:color w:val="auto"/>
                      <w:lang w:val="en-US" w:eastAsia="zh-CN"/>
                    </w:rPr>
                  </w:pPr>
                  <w:r>
                    <w:rPr>
                      <w:color w:val="auto"/>
                    </w:rPr>
                    <w:t>临时占地</w:t>
                  </w:r>
                </w:p>
              </w:tc>
              <w:tc>
                <w:tcPr>
                  <w:tcW w:w="3556" w:type="pct"/>
                  <w:gridSpan w:val="4"/>
                  <w:noWrap w:val="0"/>
                  <w:vAlign w:val="center"/>
                </w:tcPr>
                <w:p w14:paraId="41E2C9B8">
                  <w:pPr>
                    <w:pStyle w:val="33"/>
                    <w:spacing w:line="240" w:lineRule="auto"/>
                    <w:ind w:firstLine="0" w:firstLineChars="0"/>
                    <w:jc w:val="both"/>
                    <w:rPr>
                      <w:rFonts w:hint="eastAsia"/>
                      <w:color w:val="auto"/>
                      <w:szCs w:val="21"/>
                      <w:highlight w:val="none"/>
                    </w:rPr>
                  </w:pPr>
                  <w:r>
                    <w:rPr>
                      <w:color w:val="auto"/>
                    </w:rPr>
                    <w:t>本项目</w:t>
                  </w:r>
                  <w:r>
                    <w:rPr>
                      <w:rFonts w:hint="eastAsia"/>
                      <w:color w:val="auto"/>
                    </w:rPr>
                    <w:t>无弃方，</w:t>
                  </w:r>
                  <w:r>
                    <w:rPr>
                      <w:rFonts w:hint="eastAsia"/>
                      <w:color w:val="auto"/>
                      <w:szCs w:val="21"/>
                      <w:highlight w:val="none"/>
                    </w:rPr>
                    <w:t>土方采用外购方式，不设置取</w:t>
                  </w:r>
                  <w:r>
                    <w:rPr>
                      <w:rFonts w:hint="eastAsia"/>
                      <w:color w:val="auto"/>
                      <w:szCs w:val="21"/>
                      <w:highlight w:val="none"/>
                      <w:lang w:eastAsia="zh-CN"/>
                    </w:rPr>
                    <w:t>、弃</w:t>
                  </w:r>
                  <w:r>
                    <w:rPr>
                      <w:rFonts w:hint="eastAsia"/>
                      <w:color w:val="auto"/>
                      <w:szCs w:val="21"/>
                      <w:highlight w:val="none"/>
                    </w:rPr>
                    <w:t>土场；本项目</w:t>
                  </w:r>
                  <w:r>
                    <w:rPr>
                      <w:rFonts w:hint="eastAsia"/>
                      <w:color w:val="auto"/>
                      <w:szCs w:val="21"/>
                      <w:highlight w:val="none"/>
                      <w:lang w:eastAsia="zh-CN"/>
                    </w:rPr>
                    <w:t>堆料场</w:t>
                  </w:r>
                  <w:r>
                    <w:rPr>
                      <w:rFonts w:hint="eastAsia"/>
                      <w:color w:val="auto"/>
                      <w:szCs w:val="21"/>
                      <w:highlight w:val="none"/>
                    </w:rPr>
                    <w:t>设置在永久占地范围内</w:t>
                  </w:r>
                  <w:r>
                    <w:rPr>
                      <w:rFonts w:hint="eastAsia"/>
                      <w:color w:val="auto"/>
                      <w:sz w:val="21"/>
                      <w:szCs w:val="21"/>
                      <w:highlight w:val="none"/>
                    </w:rPr>
                    <w:t>；</w:t>
                  </w:r>
                  <w:r>
                    <w:rPr>
                      <w:rFonts w:hint="eastAsia"/>
                      <w:color w:val="auto"/>
                      <w:sz w:val="21"/>
                      <w:szCs w:val="21"/>
                      <w:highlight w:val="none"/>
                      <w:lang w:eastAsia="zh-CN"/>
                    </w:rPr>
                    <w:t>本项目</w:t>
                  </w:r>
                  <w:r>
                    <w:rPr>
                      <w:rFonts w:hint="eastAsia" w:cs="Times New Roman"/>
                      <w:color w:val="auto"/>
                      <w:sz w:val="21"/>
                      <w:szCs w:val="21"/>
                      <w:highlight w:val="none"/>
                      <w:vertAlign w:val="baseline"/>
                      <w:lang w:eastAsia="zh-CN"/>
                    </w:rPr>
                    <w:t>施</w:t>
                  </w:r>
                  <w:r>
                    <w:rPr>
                      <w:rFonts w:hint="eastAsia"/>
                      <w:color w:val="auto"/>
                      <w:sz w:val="21"/>
                      <w:szCs w:val="21"/>
                      <w:highlight w:val="none"/>
                    </w:rPr>
                    <w:t>工便道占地面积</w:t>
                  </w:r>
                  <w:r>
                    <w:rPr>
                      <w:rFonts w:hint="eastAsia" w:cs="Times New Roman"/>
                      <w:color w:val="auto"/>
                      <w:sz w:val="21"/>
                      <w:szCs w:val="21"/>
                      <w:highlight w:val="none"/>
                      <w:lang w:val="en-US" w:eastAsia="zh-CN"/>
                    </w:rPr>
                    <w:t>1800m</w:t>
                  </w:r>
                  <w:r>
                    <w:rPr>
                      <w:rFonts w:hint="eastAsia" w:ascii="Times New Roman" w:hAnsi="Times New Roman" w:eastAsia="宋体" w:cs="Times New Roman"/>
                      <w:color w:val="auto"/>
                      <w:sz w:val="21"/>
                      <w:szCs w:val="21"/>
                      <w:highlight w:val="none"/>
                      <w:vertAlign w:val="superscript"/>
                    </w:rPr>
                    <w:t>2</w:t>
                  </w:r>
                  <w:r>
                    <w:rPr>
                      <w:rFonts w:hint="eastAsia" w:cs="Times New Roman"/>
                      <w:color w:val="auto"/>
                      <w:sz w:val="21"/>
                      <w:szCs w:val="21"/>
                      <w:highlight w:val="none"/>
                      <w:vertAlign w:val="baseline"/>
                      <w:lang w:val="en-US" w:eastAsia="zh-CN"/>
                    </w:rPr>
                    <w:t>（</w:t>
                  </w:r>
                  <w:r>
                    <w:rPr>
                      <w:rFonts w:hint="eastAsia"/>
                      <w:color w:val="auto"/>
                      <w:sz w:val="21"/>
                      <w:szCs w:val="21"/>
                      <w:highlight w:val="none"/>
                      <w:lang w:eastAsia="zh-CN"/>
                    </w:rPr>
                    <w:t>便道</w:t>
                  </w:r>
                  <w:r>
                    <w:rPr>
                      <w:rFonts w:hint="eastAsia"/>
                      <w:color w:val="auto"/>
                      <w:sz w:val="21"/>
                      <w:szCs w:val="21"/>
                      <w:highlight w:val="none"/>
                    </w:rPr>
                    <w:t>总长</w:t>
                  </w:r>
                  <w:r>
                    <w:rPr>
                      <w:rFonts w:hint="eastAsia"/>
                      <w:color w:val="auto"/>
                      <w:sz w:val="21"/>
                      <w:szCs w:val="21"/>
                      <w:highlight w:val="none"/>
                      <w:lang w:val="en-US" w:eastAsia="zh-CN"/>
                    </w:rPr>
                    <w:t>400m</w:t>
                  </w:r>
                  <w:r>
                    <w:rPr>
                      <w:rFonts w:hint="eastAsia"/>
                      <w:color w:val="auto"/>
                      <w:sz w:val="21"/>
                      <w:szCs w:val="21"/>
                      <w:highlight w:val="none"/>
                    </w:rPr>
                    <w:t>，宽度为</w:t>
                  </w:r>
                  <w:r>
                    <w:rPr>
                      <w:rFonts w:hint="eastAsia"/>
                      <w:color w:val="auto"/>
                      <w:sz w:val="21"/>
                      <w:szCs w:val="21"/>
                      <w:highlight w:val="none"/>
                      <w:lang w:val="en-US" w:eastAsia="zh-CN"/>
                    </w:rPr>
                    <w:t>4.5</w:t>
                  </w:r>
                  <w:r>
                    <w:rPr>
                      <w:rFonts w:hint="eastAsia"/>
                      <w:color w:val="auto"/>
                      <w:sz w:val="21"/>
                      <w:szCs w:val="21"/>
                      <w:highlight w:val="none"/>
                    </w:rPr>
                    <w:t>m</w:t>
                  </w:r>
                  <w:r>
                    <w:rPr>
                      <w:rFonts w:hint="eastAsia" w:cs="Times New Roman"/>
                      <w:color w:val="auto"/>
                      <w:sz w:val="21"/>
                      <w:szCs w:val="21"/>
                      <w:highlight w:val="none"/>
                      <w:vertAlign w:val="baseline"/>
                      <w:lang w:val="en-US" w:eastAsia="zh-CN"/>
                    </w:rPr>
                    <w:t>），</w:t>
                  </w:r>
                  <w:r>
                    <w:rPr>
                      <w:rFonts w:hint="eastAsia" w:cs="Times New Roman"/>
                      <w:color w:val="auto"/>
                      <w:sz w:val="21"/>
                      <w:szCs w:val="21"/>
                      <w:highlight w:val="none"/>
                      <w:vertAlign w:val="baseline"/>
                      <w:lang w:eastAsia="zh-CN"/>
                    </w:rPr>
                    <w:t>占地类型为</w:t>
                  </w:r>
                  <w:r>
                    <w:rPr>
                      <w:rFonts w:hint="eastAsia" w:cs="Times New Roman"/>
                      <w:bCs/>
                      <w:color w:val="auto"/>
                      <w:kern w:val="2"/>
                      <w:sz w:val="21"/>
                      <w:szCs w:val="21"/>
                      <w:highlight w:val="none"/>
                      <w:lang w:val="en-US" w:eastAsia="zh-CN" w:bidi="ar-SA"/>
                    </w:rPr>
                    <w:t>公路用地，位于永久占地范围内；</w:t>
                  </w:r>
                  <w:r>
                    <w:rPr>
                      <w:rFonts w:hint="eastAsia"/>
                      <w:color w:val="auto"/>
                      <w:sz w:val="21"/>
                      <w:szCs w:val="21"/>
                      <w:highlight w:val="none"/>
                    </w:rPr>
                    <w:t>本工程不设置施工驻地，施工人员食宿租赁附近民宅。</w:t>
                  </w:r>
                </w:p>
                <w:p w14:paraId="6E39D3DB">
                  <w:pPr>
                    <w:pStyle w:val="33"/>
                    <w:spacing w:line="240" w:lineRule="auto"/>
                    <w:ind w:firstLine="0" w:firstLineChars="0"/>
                    <w:jc w:val="both"/>
                    <w:rPr>
                      <w:rFonts w:hint="eastAsia" w:ascii="Times New Roman" w:hAnsi="Times New Roman" w:eastAsia="宋体" w:cs="Times New Roman"/>
                      <w:color w:val="auto"/>
                      <w:highlight w:val="yellow"/>
                      <w:lang w:eastAsia="zh-CN"/>
                    </w:rPr>
                  </w:pPr>
                  <w:r>
                    <w:rPr>
                      <w:rFonts w:hint="eastAsia"/>
                      <w:color w:val="auto"/>
                      <w:highlight w:val="none"/>
                    </w:rPr>
                    <w:t>项目</w:t>
                  </w:r>
                  <w:r>
                    <w:rPr>
                      <w:rFonts w:hint="eastAsia"/>
                      <w:color w:val="auto"/>
                      <w:highlight w:val="none"/>
                      <w:lang w:eastAsia="zh-CN"/>
                    </w:rPr>
                    <w:t>临时占地包括</w:t>
                  </w:r>
                  <w:r>
                    <w:rPr>
                      <w:rFonts w:hint="eastAsia"/>
                      <w:color w:val="auto"/>
                      <w:highlight w:val="none"/>
                      <w:lang w:val="en-US" w:eastAsia="zh-CN"/>
                    </w:rPr>
                    <w:t>1处施工场地，占地面积4022</w:t>
                  </w:r>
                  <w:r>
                    <w:rPr>
                      <w:rFonts w:hint="eastAsia" w:ascii="Times New Roman" w:hAnsi="Times New Roman" w:eastAsia="宋体" w:cs="Times New Roman"/>
                      <w:color w:val="auto"/>
                      <w:highlight w:val="none"/>
                    </w:rPr>
                    <w:t>m</w:t>
                  </w:r>
                  <w:r>
                    <w:rPr>
                      <w:rFonts w:hint="eastAsia" w:ascii="Times New Roman" w:hAnsi="Times New Roman" w:eastAsia="宋体" w:cs="Times New Roman"/>
                      <w:color w:val="auto"/>
                      <w:highlight w:val="none"/>
                      <w:vertAlign w:val="superscript"/>
                    </w:rPr>
                    <w:t>2</w:t>
                  </w:r>
                  <w:r>
                    <w:rPr>
                      <w:rFonts w:hint="eastAsia"/>
                      <w:color w:val="auto"/>
                      <w:highlight w:val="none"/>
                      <w:lang w:eastAsia="zh-CN"/>
                    </w:rPr>
                    <w:t>。</w:t>
                  </w:r>
                </w:p>
              </w:tc>
            </w:tr>
            <w:tr w14:paraId="49D401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restart"/>
                  <w:noWrap w:val="0"/>
                  <w:vAlign w:val="center"/>
                </w:tcPr>
                <w:p w14:paraId="18DFBEA3">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rPr>
                  </w:pPr>
                  <w:r>
                    <w:rPr>
                      <w:rFonts w:hint="default"/>
                      <w:color w:val="auto"/>
                    </w:rPr>
                    <w:t>临时工程</w:t>
                  </w:r>
                </w:p>
              </w:tc>
              <w:tc>
                <w:tcPr>
                  <w:tcW w:w="1107" w:type="pct"/>
                  <w:gridSpan w:val="2"/>
                  <w:shd w:val="clear" w:color="auto" w:fill="auto"/>
                  <w:noWrap w:val="0"/>
                  <w:vAlign w:val="center"/>
                </w:tcPr>
                <w:p w14:paraId="28F51788">
                  <w:pPr>
                    <w:pStyle w:val="29"/>
                    <w:adjustRightInd w:val="0"/>
                    <w:snapToGrid w:val="0"/>
                    <w:ind w:firstLine="0" w:firstLineChars="0"/>
                    <w:rPr>
                      <w:rFonts w:hint="default" w:ascii="Times New Roman" w:hAnsi="Times New Roman" w:eastAsia="宋体" w:cs="Times New Roman"/>
                      <w:color w:val="auto"/>
                      <w:kern w:val="2"/>
                      <w:sz w:val="21"/>
                      <w:szCs w:val="21"/>
                      <w:lang w:val="en-US" w:eastAsia="zh-CN" w:bidi="ar-SA"/>
                    </w:rPr>
                  </w:pPr>
                  <w:r>
                    <w:rPr>
                      <w:rFonts w:hint="default"/>
                      <w:color w:val="auto"/>
                    </w:rPr>
                    <w:t>取、弃土场</w:t>
                  </w:r>
                </w:p>
              </w:tc>
              <w:tc>
                <w:tcPr>
                  <w:tcW w:w="3556" w:type="pct"/>
                  <w:gridSpan w:val="4"/>
                  <w:noWrap w:val="0"/>
                  <w:vAlign w:val="center"/>
                </w:tcPr>
                <w:p w14:paraId="3CC723F3">
                  <w:pPr>
                    <w:pStyle w:val="33"/>
                    <w:spacing w:line="240" w:lineRule="auto"/>
                    <w:ind w:firstLine="0" w:firstLineChars="0"/>
                    <w:jc w:val="both"/>
                    <w:rPr>
                      <w:rFonts w:hint="eastAsia"/>
                      <w:color w:val="auto"/>
                      <w:highlight w:val="none"/>
                    </w:rPr>
                  </w:pPr>
                  <w:r>
                    <w:rPr>
                      <w:color w:val="auto"/>
                    </w:rPr>
                    <w:t>本项目</w:t>
                  </w:r>
                  <w:r>
                    <w:rPr>
                      <w:rFonts w:hint="eastAsia"/>
                      <w:color w:val="auto"/>
                    </w:rPr>
                    <w:t>无弃方，</w:t>
                  </w:r>
                  <w:r>
                    <w:rPr>
                      <w:rFonts w:hint="eastAsia"/>
                      <w:color w:val="auto"/>
                      <w:szCs w:val="21"/>
                      <w:highlight w:val="none"/>
                    </w:rPr>
                    <w:t>土方采用外购方式，</w:t>
                  </w:r>
                  <w:r>
                    <w:rPr>
                      <w:rFonts w:hint="default"/>
                      <w:color w:val="auto"/>
                    </w:rPr>
                    <w:t>不设置取、弃土场。</w:t>
                  </w:r>
                </w:p>
              </w:tc>
            </w:tr>
            <w:tr w14:paraId="530D01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280CD3A8">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olor w:val="auto"/>
                    </w:rPr>
                  </w:pPr>
                </w:p>
              </w:tc>
              <w:tc>
                <w:tcPr>
                  <w:tcW w:w="1107" w:type="pct"/>
                  <w:gridSpan w:val="2"/>
                  <w:noWrap w:val="0"/>
                  <w:vAlign w:val="center"/>
                </w:tcPr>
                <w:p w14:paraId="45F10A3E">
                  <w:pPr>
                    <w:pStyle w:val="33"/>
                    <w:spacing w:line="240" w:lineRule="auto"/>
                    <w:ind w:firstLine="0" w:firstLineChars="0"/>
                    <w:jc w:val="center"/>
                    <w:rPr>
                      <w:color w:val="auto"/>
                    </w:rPr>
                  </w:pPr>
                  <w:r>
                    <w:rPr>
                      <w:rFonts w:hint="eastAsia"/>
                      <w:color w:val="auto"/>
                      <w:szCs w:val="21"/>
                      <w:highlight w:val="none"/>
                      <w:lang w:eastAsia="zh-CN"/>
                    </w:rPr>
                    <w:t>堆料场</w:t>
                  </w:r>
                </w:p>
              </w:tc>
              <w:tc>
                <w:tcPr>
                  <w:tcW w:w="3556" w:type="pct"/>
                  <w:gridSpan w:val="4"/>
                  <w:noWrap w:val="0"/>
                  <w:vAlign w:val="center"/>
                </w:tcPr>
                <w:p w14:paraId="3206FD63">
                  <w:pPr>
                    <w:pStyle w:val="33"/>
                    <w:spacing w:line="240" w:lineRule="auto"/>
                    <w:ind w:firstLine="0" w:firstLineChars="0"/>
                    <w:jc w:val="both"/>
                    <w:rPr>
                      <w:rFonts w:hint="eastAsia" w:eastAsia="宋体"/>
                      <w:color w:val="auto"/>
                      <w:highlight w:val="none"/>
                      <w:lang w:eastAsia="zh-CN"/>
                    </w:rPr>
                  </w:pPr>
                  <w:r>
                    <w:rPr>
                      <w:rFonts w:hint="eastAsia"/>
                      <w:color w:val="auto"/>
                      <w:szCs w:val="21"/>
                      <w:highlight w:val="none"/>
                    </w:rPr>
                    <w:t>本项目</w:t>
                  </w:r>
                  <w:r>
                    <w:rPr>
                      <w:rFonts w:hint="eastAsia"/>
                      <w:color w:val="auto"/>
                      <w:szCs w:val="21"/>
                      <w:highlight w:val="none"/>
                      <w:lang w:eastAsia="zh-CN"/>
                    </w:rPr>
                    <w:t>堆料场</w:t>
                  </w:r>
                  <w:r>
                    <w:rPr>
                      <w:rFonts w:hint="eastAsia"/>
                      <w:color w:val="auto"/>
                      <w:szCs w:val="21"/>
                      <w:highlight w:val="none"/>
                    </w:rPr>
                    <w:t>设置在永久占地范围内</w:t>
                  </w:r>
                  <w:r>
                    <w:rPr>
                      <w:rFonts w:hint="eastAsia"/>
                      <w:color w:val="auto"/>
                      <w:szCs w:val="21"/>
                      <w:highlight w:val="none"/>
                      <w:lang w:eastAsia="zh-CN"/>
                    </w:rPr>
                    <w:t>。</w:t>
                  </w:r>
                </w:p>
              </w:tc>
            </w:tr>
            <w:tr w14:paraId="739A4B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6070961F">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olor w:val="auto"/>
                    </w:rPr>
                  </w:pPr>
                </w:p>
              </w:tc>
              <w:tc>
                <w:tcPr>
                  <w:tcW w:w="1107" w:type="pct"/>
                  <w:gridSpan w:val="2"/>
                  <w:noWrap w:val="0"/>
                  <w:vAlign w:val="center"/>
                </w:tcPr>
                <w:p w14:paraId="33254125">
                  <w:pPr>
                    <w:pStyle w:val="33"/>
                    <w:spacing w:line="240" w:lineRule="auto"/>
                    <w:ind w:firstLine="0" w:firstLineChars="0"/>
                    <w:jc w:val="center"/>
                    <w:rPr>
                      <w:color w:val="auto"/>
                    </w:rPr>
                  </w:pPr>
                  <w:r>
                    <w:rPr>
                      <w:rFonts w:hint="default"/>
                      <w:color w:val="auto"/>
                    </w:rPr>
                    <w:t>施工驻地</w:t>
                  </w:r>
                </w:p>
              </w:tc>
              <w:tc>
                <w:tcPr>
                  <w:tcW w:w="3556" w:type="pct"/>
                  <w:gridSpan w:val="4"/>
                  <w:noWrap w:val="0"/>
                  <w:vAlign w:val="center"/>
                </w:tcPr>
                <w:p w14:paraId="672B751C">
                  <w:pPr>
                    <w:pStyle w:val="33"/>
                    <w:spacing w:line="240" w:lineRule="auto"/>
                    <w:ind w:firstLine="0" w:firstLineChars="0"/>
                    <w:jc w:val="both"/>
                    <w:rPr>
                      <w:rFonts w:hint="eastAsia" w:eastAsia="宋体"/>
                      <w:color w:val="auto"/>
                      <w:highlight w:val="none"/>
                      <w:lang w:val="en-US" w:eastAsia="zh-CN"/>
                    </w:rPr>
                  </w:pPr>
                  <w:r>
                    <w:rPr>
                      <w:rFonts w:hint="eastAsia"/>
                      <w:color w:val="auto"/>
                      <w:szCs w:val="21"/>
                      <w:highlight w:val="none"/>
                    </w:rPr>
                    <w:t>本工程不设置施工驻地，施工人员食宿租赁附近民宅</w:t>
                  </w:r>
                  <w:r>
                    <w:rPr>
                      <w:rFonts w:hint="eastAsia"/>
                      <w:color w:val="auto"/>
                      <w:szCs w:val="21"/>
                      <w:highlight w:val="none"/>
                      <w:lang w:val="en-US" w:eastAsia="zh-CN"/>
                    </w:rPr>
                    <w:t>。</w:t>
                  </w:r>
                </w:p>
              </w:tc>
            </w:tr>
            <w:tr w14:paraId="25F154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0D6298AB">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olor w:val="auto"/>
                    </w:rPr>
                  </w:pPr>
                </w:p>
              </w:tc>
              <w:tc>
                <w:tcPr>
                  <w:tcW w:w="1107" w:type="pct"/>
                  <w:gridSpan w:val="2"/>
                  <w:noWrap w:val="0"/>
                  <w:vAlign w:val="center"/>
                </w:tcPr>
                <w:p w14:paraId="19DC21D3">
                  <w:pPr>
                    <w:pStyle w:val="33"/>
                    <w:spacing w:line="240" w:lineRule="auto"/>
                    <w:ind w:firstLine="0" w:firstLineChars="0"/>
                    <w:jc w:val="center"/>
                    <w:rPr>
                      <w:rFonts w:hint="eastAsia" w:eastAsia="宋体"/>
                      <w:color w:val="auto"/>
                      <w:lang w:eastAsia="zh-CN"/>
                    </w:rPr>
                  </w:pPr>
                  <w:r>
                    <w:rPr>
                      <w:rFonts w:hint="eastAsia"/>
                      <w:color w:val="auto"/>
                      <w:lang w:eastAsia="zh-CN"/>
                    </w:rPr>
                    <w:t>施工场地</w:t>
                  </w:r>
                </w:p>
              </w:tc>
              <w:tc>
                <w:tcPr>
                  <w:tcW w:w="3556" w:type="pct"/>
                  <w:gridSpan w:val="4"/>
                  <w:noWrap w:val="0"/>
                  <w:vAlign w:val="center"/>
                </w:tcPr>
                <w:p w14:paraId="5C7E8B29">
                  <w:pPr>
                    <w:pStyle w:val="33"/>
                    <w:spacing w:line="240" w:lineRule="auto"/>
                    <w:ind w:firstLine="0" w:firstLineChars="0"/>
                    <w:jc w:val="both"/>
                    <w:rPr>
                      <w:rFonts w:hint="eastAsia"/>
                      <w:color w:val="auto"/>
                      <w:szCs w:val="21"/>
                      <w:highlight w:val="none"/>
                    </w:rPr>
                  </w:pPr>
                  <w:r>
                    <w:rPr>
                      <w:rFonts w:hint="default"/>
                      <w:color w:val="auto"/>
                    </w:rPr>
                    <w:t>本项目设置施工场地1处，</w:t>
                  </w:r>
                  <w:r>
                    <w:rPr>
                      <w:rFonts w:hint="eastAsia"/>
                      <w:color w:val="auto"/>
                      <w:lang w:eastAsia="zh-CN"/>
                    </w:rPr>
                    <w:t>设置基层、面层拌和站，</w:t>
                  </w:r>
                  <w:r>
                    <w:rPr>
                      <w:rFonts w:hint="default"/>
                      <w:color w:val="auto"/>
                    </w:rPr>
                    <w:t>占地面积</w:t>
                  </w:r>
                  <w:r>
                    <w:rPr>
                      <w:rFonts w:hint="eastAsia"/>
                      <w:color w:val="auto"/>
                      <w:lang w:val="en-US" w:eastAsia="zh-CN"/>
                    </w:rPr>
                    <w:t>4022</w:t>
                  </w:r>
                  <w:r>
                    <w:rPr>
                      <w:rFonts w:hint="default"/>
                      <w:color w:val="auto"/>
                    </w:rPr>
                    <w:t>m</w:t>
                  </w:r>
                  <w:r>
                    <w:rPr>
                      <w:rFonts w:hint="default"/>
                      <w:color w:val="auto"/>
                      <w:vertAlign w:val="superscript"/>
                    </w:rPr>
                    <w:t>2</w:t>
                  </w:r>
                  <w:r>
                    <w:rPr>
                      <w:rFonts w:hint="default"/>
                      <w:color w:val="auto"/>
                    </w:rPr>
                    <w:t>，位于</w:t>
                  </w:r>
                  <w:r>
                    <w:rPr>
                      <w:rFonts w:hint="eastAsia"/>
                      <w:color w:val="auto"/>
                      <w:lang w:val="en-US" w:eastAsia="zh-CN"/>
                    </w:rPr>
                    <w:t>K34+900东侧1</w:t>
                  </w:r>
                  <w:r>
                    <w:rPr>
                      <w:rFonts w:hint="default"/>
                      <w:color w:val="auto"/>
                    </w:rPr>
                    <w:t>0m处，占地类型为</w:t>
                  </w:r>
                  <w:r>
                    <w:rPr>
                      <w:rFonts w:hint="eastAsia"/>
                      <w:color w:val="auto"/>
                      <w:lang w:eastAsia="zh-CN"/>
                    </w:rPr>
                    <w:t>设施农用地和裸土地</w:t>
                  </w:r>
                  <w:r>
                    <w:rPr>
                      <w:rFonts w:hint="default"/>
                      <w:color w:val="auto"/>
                    </w:rPr>
                    <w:t>。</w:t>
                  </w:r>
                </w:p>
              </w:tc>
            </w:tr>
            <w:tr w14:paraId="2441F3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384C8C30">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olor w:val="auto"/>
                    </w:rPr>
                  </w:pPr>
                </w:p>
              </w:tc>
              <w:tc>
                <w:tcPr>
                  <w:tcW w:w="1107" w:type="pct"/>
                  <w:gridSpan w:val="2"/>
                  <w:noWrap w:val="0"/>
                  <w:vAlign w:val="center"/>
                </w:tcPr>
                <w:p w14:paraId="19520467">
                  <w:pPr>
                    <w:pStyle w:val="33"/>
                    <w:spacing w:line="240" w:lineRule="auto"/>
                    <w:ind w:firstLine="0" w:firstLineChars="0"/>
                    <w:jc w:val="center"/>
                    <w:rPr>
                      <w:color w:val="auto"/>
                    </w:rPr>
                  </w:pPr>
                  <w:r>
                    <w:rPr>
                      <w:rFonts w:hint="eastAsia"/>
                      <w:color w:val="auto"/>
                      <w:highlight w:val="none"/>
                    </w:rPr>
                    <w:t>施工</w:t>
                  </w:r>
                  <w:r>
                    <w:rPr>
                      <w:rFonts w:hint="eastAsia"/>
                      <w:color w:val="auto"/>
                      <w:highlight w:val="none"/>
                      <w:lang w:eastAsia="zh-CN"/>
                    </w:rPr>
                    <w:t>便道</w:t>
                  </w:r>
                </w:p>
              </w:tc>
              <w:tc>
                <w:tcPr>
                  <w:tcW w:w="3556" w:type="pct"/>
                  <w:gridSpan w:val="4"/>
                  <w:noWrap w:val="0"/>
                  <w:vAlign w:val="center"/>
                </w:tcPr>
                <w:p w14:paraId="589F1278">
                  <w:pPr>
                    <w:pStyle w:val="33"/>
                    <w:spacing w:line="240" w:lineRule="auto"/>
                    <w:ind w:firstLine="0" w:firstLineChars="0"/>
                    <w:jc w:val="both"/>
                    <w:rPr>
                      <w:rFonts w:hint="eastAsia"/>
                      <w:color w:val="auto"/>
                      <w:highlight w:val="none"/>
                    </w:rPr>
                  </w:pPr>
                  <w:r>
                    <w:rPr>
                      <w:rFonts w:hint="eastAsia"/>
                      <w:color w:val="auto"/>
                      <w:highlight w:val="none"/>
                      <w:lang w:eastAsia="zh-CN"/>
                    </w:rPr>
                    <w:t>本项目</w:t>
                  </w:r>
                  <w:r>
                    <w:rPr>
                      <w:rFonts w:hint="eastAsia"/>
                      <w:color w:val="auto"/>
                      <w:highlight w:val="none"/>
                      <w:lang w:val="en-US" w:eastAsia="zh-CN"/>
                    </w:rPr>
                    <w:t>8处涵洞设置施工便道，</w:t>
                  </w:r>
                  <w:r>
                    <w:rPr>
                      <w:rFonts w:hint="eastAsia"/>
                      <w:color w:val="auto"/>
                      <w:highlight w:val="none"/>
                    </w:rPr>
                    <w:t>总长</w:t>
                  </w:r>
                  <w:r>
                    <w:rPr>
                      <w:rFonts w:hint="eastAsia"/>
                      <w:color w:val="auto"/>
                      <w:highlight w:val="none"/>
                      <w:lang w:val="en-US" w:eastAsia="zh-CN"/>
                    </w:rPr>
                    <w:t>400m</w:t>
                  </w:r>
                  <w:r>
                    <w:rPr>
                      <w:rFonts w:hint="eastAsia"/>
                      <w:color w:val="auto"/>
                      <w:highlight w:val="none"/>
                    </w:rPr>
                    <w:t>，宽度为</w:t>
                  </w:r>
                  <w:r>
                    <w:rPr>
                      <w:rFonts w:hint="eastAsia"/>
                      <w:color w:val="auto"/>
                      <w:highlight w:val="none"/>
                      <w:lang w:val="en-US" w:eastAsia="zh-CN"/>
                    </w:rPr>
                    <w:t>4.5</w:t>
                  </w:r>
                  <w:r>
                    <w:rPr>
                      <w:rFonts w:hint="eastAsia"/>
                      <w:color w:val="auto"/>
                      <w:highlight w:val="none"/>
                    </w:rPr>
                    <w:t>m，施工便道占地面积</w:t>
                  </w:r>
                  <w:r>
                    <w:rPr>
                      <w:rFonts w:hint="eastAsia" w:cs="Times New Roman"/>
                      <w:color w:val="auto"/>
                      <w:highlight w:val="none"/>
                      <w:lang w:val="en-US" w:eastAsia="zh-CN"/>
                    </w:rPr>
                    <w:t>1800m</w:t>
                  </w:r>
                  <w:r>
                    <w:rPr>
                      <w:rFonts w:hint="eastAsia" w:ascii="Times New Roman" w:hAnsi="Times New Roman" w:eastAsia="宋体" w:cs="Times New Roman"/>
                      <w:color w:val="auto"/>
                      <w:highlight w:val="none"/>
                      <w:vertAlign w:val="superscript"/>
                    </w:rPr>
                    <w:t>2</w:t>
                  </w:r>
                  <w:r>
                    <w:rPr>
                      <w:rFonts w:hint="default"/>
                      <w:color w:val="auto"/>
                    </w:rPr>
                    <w:t>，占地类型为</w:t>
                  </w:r>
                  <w:r>
                    <w:rPr>
                      <w:rFonts w:hint="eastAsia"/>
                      <w:color w:val="auto"/>
                      <w:lang w:eastAsia="zh-CN"/>
                    </w:rPr>
                    <w:t>公路用地，</w:t>
                  </w:r>
                  <w:r>
                    <w:rPr>
                      <w:rFonts w:hint="eastAsia"/>
                      <w:color w:val="auto"/>
                      <w:szCs w:val="21"/>
                      <w:highlight w:val="none"/>
                    </w:rPr>
                    <w:t>设置在永久占地范围内</w:t>
                  </w:r>
                  <w:r>
                    <w:rPr>
                      <w:rFonts w:hint="eastAsia"/>
                      <w:color w:val="auto"/>
                      <w:highlight w:val="none"/>
                    </w:rPr>
                    <w:t>。</w:t>
                  </w:r>
                </w:p>
              </w:tc>
            </w:tr>
            <w:tr w14:paraId="18DAA0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restart"/>
                  <w:noWrap w:val="0"/>
                  <w:vAlign w:val="center"/>
                </w:tcPr>
                <w:p w14:paraId="0A8D373B">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color w:val="auto"/>
                      <w:lang w:eastAsia="zh-CN"/>
                    </w:rPr>
                  </w:pPr>
                  <w:r>
                    <w:rPr>
                      <w:rFonts w:hint="eastAsia"/>
                      <w:color w:val="auto"/>
                      <w:lang w:eastAsia="zh-CN"/>
                    </w:rPr>
                    <w:t>公用工程</w:t>
                  </w:r>
                </w:p>
              </w:tc>
              <w:tc>
                <w:tcPr>
                  <w:tcW w:w="371" w:type="pct"/>
                  <w:vMerge w:val="restart"/>
                  <w:noWrap w:val="0"/>
                  <w:vAlign w:val="center"/>
                </w:tcPr>
                <w:p w14:paraId="7F08A137">
                  <w:pPr>
                    <w:pStyle w:val="33"/>
                    <w:spacing w:line="240" w:lineRule="auto"/>
                    <w:ind w:firstLine="0" w:firstLineChars="0"/>
                    <w:rPr>
                      <w:color w:val="auto"/>
                    </w:rPr>
                  </w:pPr>
                  <w:r>
                    <w:rPr>
                      <w:color w:val="auto"/>
                    </w:rPr>
                    <w:t>施工期</w:t>
                  </w:r>
                </w:p>
              </w:tc>
              <w:tc>
                <w:tcPr>
                  <w:tcW w:w="735" w:type="pct"/>
                  <w:noWrap w:val="0"/>
                  <w:vAlign w:val="center"/>
                </w:tcPr>
                <w:p w14:paraId="076FCEC8">
                  <w:pPr>
                    <w:pStyle w:val="33"/>
                    <w:spacing w:line="240" w:lineRule="auto"/>
                    <w:ind w:firstLine="0" w:firstLineChars="0"/>
                    <w:rPr>
                      <w:rFonts w:hint="eastAsia" w:eastAsia="宋体"/>
                      <w:color w:val="auto"/>
                      <w:lang w:eastAsia="zh-CN"/>
                    </w:rPr>
                  </w:pPr>
                  <w:r>
                    <w:rPr>
                      <w:rFonts w:hint="eastAsia"/>
                      <w:color w:val="auto"/>
                      <w:lang w:eastAsia="zh-CN"/>
                    </w:rPr>
                    <w:t>用水</w:t>
                  </w:r>
                </w:p>
              </w:tc>
              <w:tc>
                <w:tcPr>
                  <w:tcW w:w="3556" w:type="pct"/>
                  <w:gridSpan w:val="4"/>
                  <w:noWrap w:val="0"/>
                  <w:vAlign w:val="center"/>
                </w:tcPr>
                <w:p w14:paraId="64F81EC9">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color w:val="auto"/>
                    </w:rPr>
                  </w:pPr>
                  <w:r>
                    <w:rPr>
                      <w:rFonts w:hint="eastAsia"/>
                      <w:color w:val="auto"/>
                      <w:lang w:eastAsia="zh-CN"/>
                    </w:rPr>
                    <w:t>施工人员生活用水依托村屯现有供水设施。</w:t>
                  </w:r>
                </w:p>
              </w:tc>
            </w:tr>
            <w:tr w14:paraId="55AD4A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12EAC62E">
                  <w:pPr>
                    <w:pStyle w:val="33"/>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p>
              </w:tc>
              <w:tc>
                <w:tcPr>
                  <w:tcW w:w="371" w:type="pct"/>
                  <w:vMerge w:val="continue"/>
                  <w:noWrap w:val="0"/>
                  <w:vAlign w:val="center"/>
                </w:tcPr>
                <w:p w14:paraId="7690BF9E">
                  <w:pPr>
                    <w:pStyle w:val="33"/>
                    <w:spacing w:line="240" w:lineRule="auto"/>
                    <w:ind w:firstLine="0" w:firstLineChars="0"/>
                    <w:rPr>
                      <w:color w:val="auto"/>
                    </w:rPr>
                  </w:pPr>
                </w:p>
              </w:tc>
              <w:tc>
                <w:tcPr>
                  <w:tcW w:w="735" w:type="pct"/>
                  <w:noWrap w:val="0"/>
                  <w:vAlign w:val="center"/>
                </w:tcPr>
                <w:p w14:paraId="0F4D8C9E">
                  <w:pPr>
                    <w:pStyle w:val="33"/>
                    <w:spacing w:line="240" w:lineRule="auto"/>
                    <w:ind w:firstLine="0" w:firstLineChars="0"/>
                    <w:rPr>
                      <w:rFonts w:hint="eastAsia" w:eastAsia="宋体"/>
                      <w:color w:val="auto"/>
                      <w:lang w:eastAsia="zh-CN"/>
                    </w:rPr>
                  </w:pPr>
                  <w:r>
                    <w:rPr>
                      <w:rFonts w:hint="eastAsia"/>
                      <w:color w:val="auto"/>
                      <w:lang w:eastAsia="zh-CN"/>
                    </w:rPr>
                    <w:t>排水</w:t>
                  </w:r>
                </w:p>
              </w:tc>
              <w:tc>
                <w:tcPr>
                  <w:tcW w:w="3556" w:type="pct"/>
                  <w:gridSpan w:val="4"/>
                  <w:noWrap w:val="0"/>
                  <w:vAlign w:val="center"/>
                </w:tcPr>
                <w:p w14:paraId="4DA04407">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color w:val="auto"/>
                    </w:rPr>
                  </w:pPr>
                  <w:r>
                    <w:rPr>
                      <w:rFonts w:hint="eastAsia"/>
                      <w:color w:val="auto"/>
                      <w:lang w:eastAsia="zh-CN"/>
                    </w:rPr>
                    <w:t>施工人员</w:t>
                  </w:r>
                  <w:r>
                    <w:rPr>
                      <w:rFonts w:hint="eastAsia"/>
                      <w:color w:val="auto"/>
                      <w:sz w:val="21"/>
                      <w:szCs w:val="21"/>
                      <w:lang w:eastAsia="zh-CN"/>
                    </w:rPr>
                    <w:t>生活污水依托当地处置设施。</w:t>
                  </w:r>
                </w:p>
              </w:tc>
            </w:tr>
            <w:tr w14:paraId="543CCC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restart"/>
                  <w:noWrap w:val="0"/>
                  <w:vAlign w:val="center"/>
                </w:tcPr>
                <w:p w14:paraId="785C8FA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环保工程</w:t>
                  </w:r>
                </w:p>
              </w:tc>
              <w:tc>
                <w:tcPr>
                  <w:tcW w:w="371" w:type="pct"/>
                  <w:vMerge w:val="restart"/>
                  <w:noWrap w:val="0"/>
                  <w:vAlign w:val="center"/>
                </w:tcPr>
                <w:p w14:paraId="24A6CE8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施工期</w:t>
                  </w:r>
                </w:p>
              </w:tc>
              <w:tc>
                <w:tcPr>
                  <w:tcW w:w="735" w:type="pct"/>
                  <w:noWrap w:val="0"/>
                  <w:vAlign w:val="center"/>
                </w:tcPr>
                <w:p w14:paraId="4395D88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废水</w:t>
                  </w:r>
                </w:p>
              </w:tc>
              <w:tc>
                <w:tcPr>
                  <w:tcW w:w="3556" w:type="pct"/>
                  <w:gridSpan w:val="4"/>
                  <w:noWrap w:val="0"/>
                  <w:vAlign w:val="center"/>
                </w:tcPr>
                <w:p w14:paraId="3224CF31">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color w:val="auto"/>
                    </w:rPr>
                  </w:pPr>
                  <w:r>
                    <w:rPr>
                      <w:rFonts w:hint="eastAsia"/>
                      <w:color w:val="auto"/>
                      <w:sz w:val="21"/>
                      <w:szCs w:val="18"/>
                    </w:rPr>
                    <w:t>本工程不设置施工驻地，施工人员食宿租赁附近民宅</w:t>
                  </w:r>
                  <w:r>
                    <w:rPr>
                      <w:rFonts w:hint="eastAsia"/>
                      <w:color w:val="auto"/>
                      <w:sz w:val="21"/>
                      <w:szCs w:val="18"/>
                      <w:lang w:eastAsia="zh-CN"/>
                    </w:rPr>
                    <w:t>，生活污水依托当地处置设施。</w:t>
                  </w:r>
                  <w:r>
                    <w:rPr>
                      <w:color w:val="auto"/>
                      <w:sz w:val="21"/>
                      <w:szCs w:val="21"/>
                    </w:rPr>
                    <w:t>混凝土养护和拌和等产生的施工废水经设置的临时沉淀池沉淀处理后，回用于生产或用于施工场地洒水降尘，不外排。施工场地施工机械和车辆清洗废水经施工场地内设置的临时隔油沉淀池集中处理后，回用于生产或用于施工场地洒水降尘，不外排。</w:t>
                  </w:r>
                </w:p>
              </w:tc>
            </w:tr>
            <w:tr w14:paraId="65CB24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302D843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5DAC3C9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4267AA6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rPr>
                  </w:pPr>
                  <w:r>
                    <w:rPr>
                      <w:color w:val="auto"/>
                      <w:sz w:val="21"/>
                      <w:szCs w:val="21"/>
                    </w:rPr>
                    <w:t>废气</w:t>
                  </w:r>
                </w:p>
              </w:tc>
              <w:tc>
                <w:tcPr>
                  <w:tcW w:w="3556" w:type="pct"/>
                  <w:gridSpan w:val="4"/>
                  <w:noWrap w:val="0"/>
                  <w:vAlign w:val="center"/>
                </w:tcPr>
                <w:p w14:paraId="0B951977">
                  <w:pPr>
                    <w:adjustRightInd w:val="0"/>
                    <w:snapToGrid w:val="0"/>
                    <w:spacing w:line="240" w:lineRule="auto"/>
                    <w:ind w:firstLine="0" w:firstLineChars="0"/>
                    <w:rPr>
                      <w:color w:val="auto"/>
                      <w:sz w:val="21"/>
                      <w:szCs w:val="21"/>
                    </w:rPr>
                  </w:pPr>
                  <w:r>
                    <w:rPr>
                      <w:rFonts w:hint="eastAsia"/>
                      <w:color w:val="auto"/>
                      <w:sz w:val="21"/>
                      <w:szCs w:val="21"/>
                      <w:lang w:eastAsia="zh-CN"/>
                    </w:rPr>
                    <w:t>拌和站</w:t>
                  </w:r>
                  <w:r>
                    <w:rPr>
                      <w:color w:val="auto"/>
                      <w:sz w:val="21"/>
                      <w:szCs w:val="21"/>
                    </w:rPr>
                    <w:t>距居民区距离大于300m，采用先进混凝土搅和设备</w:t>
                  </w:r>
                  <w:r>
                    <w:rPr>
                      <w:rFonts w:hint="eastAsia"/>
                      <w:color w:val="auto"/>
                      <w:sz w:val="21"/>
                      <w:szCs w:val="21"/>
                    </w:rPr>
                    <w:t>，</w:t>
                  </w:r>
                  <w:r>
                    <w:rPr>
                      <w:color w:val="auto"/>
                      <w:sz w:val="21"/>
                      <w:szCs w:val="21"/>
                    </w:rPr>
                    <w:t>筒仓呼吸口和搅拌楼投料口粉尘均经布袋除尘器处理后在仓顶无组织排放。</w:t>
                  </w:r>
                </w:p>
                <w:p w14:paraId="5950564B">
                  <w:pPr>
                    <w:keepNext w:val="0"/>
                    <w:keepLines w:val="0"/>
                    <w:pageBreakBefore w:val="0"/>
                    <w:widowControl w:val="0"/>
                    <w:kinsoku/>
                    <w:wordWrap w:val="0"/>
                    <w:overflowPunct/>
                    <w:topLinePunct w:val="0"/>
                    <w:autoSpaceDE/>
                    <w:autoSpaceDN/>
                    <w:bidi w:val="0"/>
                    <w:spacing w:line="240" w:lineRule="auto"/>
                    <w:ind w:firstLine="0" w:firstLineChars="0"/>
                    <w:textAlignment w:val="auto"/>
                    <w:rPr>
                      <w:color w:val="auto"/>
                      <w:sz w:val="21"/>
                      <w:szCs w:val="21"/>
                    </w:rPr>
                  </w:pPr>
                  <w:r>
                    <w:rPr>
                      <w:color w:val="auto"/>
                      <w:sz w:val="21"/>
                      <w:szCs w:val="21"/>
                    </w:rPr>
                    <w:t>途经敏感点路段设置隔尘挡板，挡板高度不低于3</w:t>
                  </w:r>
                  <w:r>
                    <w:rPr>
                      <w:rFonts w:hint="eastAsia"/>
                      <w:color w:val="auto"/>
                      <w:sz w:val="21"/>
                      <w:szCs w:val="21"/>
                      <w:lang w:val="en-US" w:eastAsia="zh-CN"/>
                    </w:rPr>
                    <w:t>.5</w:t>
                  </w:r>
                  <w:r>
                    <w:rPr>
                      <w:color w:val="auto"/>
                      <w:sz w:val="21"/>
                      <w:szCs w:val="21"/>
                    </w:rPr>
                    <w:t>m。易起尘物料置于棚内或苫布苫盖。运输车辆加盖苫布。</w:t>
                  </w:r>
                  <w:r>
                    <w:rPr>
                      <w:rFonts w:hint="eastAsia"/>
                      <w:color w:val="auto"/>
                      <w:sz w:val="21"/>
                      <w:szCs w:val="21"/>
                      <w:lang w:eastAsia="zh-CN"/>
                    </w:rPr>
                    <w:t>施工现场</w:t>
                  </w:r>
                  <w:r>
                    <w:rPr>
                      <w:color w:val="auto"/>
                      <w:sz w:val="21"/>
                      <w:szCs w:val="21"/>
                    </w:rPr>
                    <w:t>定期清理、定期洒水。</w:t>
                  </w:r>
                  <w:r>
                    <w:rPr>
                      <w:rFonts w:hint="eastAsia" w:ascii="Times New Roman" w:hAnsi="Times New Roman" w:eastAsia="宋体" w:cs="宋体"/>
                      <w:bCs/>
                      <w:color w:val="auto"/>
                      <w:sz w:val="21"/>
                      <w:szCs w:val="21"/>
                    </w:rPr>
                    <w:t>施工避开大风季节，施工单位对施工材料存放应做好防护工作，通过洒水、篷布遮挡等措施防止扬尘产生。</w:t>
                  </w:r>
                  <w:r>
                    <w:rPr>
                      <w:rFonts w:hint="eastAsia" w:ascii="Times New Roman" w:hAnsi="Times New Roman" w:eastAsia="宋体"/>
                      <w:color w:val="auto"/>
                      <w:sz w:val="21"/>
                      <w:szCs w:val="21"/>
                    </w:rPr>
                    <w:t>加强施工期环境管理，强化施工人员的环保意识。开展施工期扬尘监测</w:t>
                  </w:r>
                  <w:r>
                    <w:rPr>
                      <w:rFonts w:hint="eastAsia" w:ascii="Times New Roman" w:hAnsi="Times New Roman" w:eastAsia="宋体" w:cs="宋体"/>
                      <w:bCs/>
                      <w:color w:val="auto"/>
                      <w:sz w:val="21"/>
                      <w:szCs w:val="21"/>
                    </w:rPr>
                    <w:t>。</w:t>
                  </w:r>
                </w:p>
              </w:tc>
            </w:tr>
            <w:tr w14:paraId="127739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09E2044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7DA252B6">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4E221A5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噪声</w:t>
                  </w:r>
                </w:p>
              </w:tc>
              <w:tc>
                <w:tcPr>
                  <w:tcW w:w="3556" w:type="pct"/>
                  <w:gridSpan w:val="4"/>
                  <w:noWrap w:val="0"/>
                  <w:vAlign w:val="center"/>
                </w:tcPr>
                <w:p w14:paraId="7556AA86">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color w:val="auto"/>
                    </w:rPr>
                  </w:pPr>
                  <w:r>
                    <w:rPr>
                      <w:color w:val="auto"/>
                    </w:rPr>
                    <w:t>选用低噪声设备，加强设备</w:t>
                  </w:r>
                  <w:r>
                    <w:rPr>
                      <w:rFonts w:cs="宋体"/>
                      <w:bCs/>
                      <w:color w:val="auto"/>
                    </w:rPr>
                    <w:t>维护保养</w:t>
                  </w:r>
                  <w:r>
                    <w:rPr>
                      <w:color w:val="auto"/>
                    </w:rPr>
                    <w:t>；施工机械安装隔声、减振设备；临近敏感点路段设置隔声挡板，隔声挡板高度不低于</w:t>
                  </w:r>
                  <w:r>
                    <w:rPr>
                      <w:rFonts w:hint="eastAsia"/>
                      <w:color w:val="auto"/>
                      <w:lang w:val="en-US" w:eastAsia="zh-CN"/>
                    </w:rPr>
                    <w:t>3.5</w:t>
                  </w:r>
                  <w:r>
                    <w:rPr>
                      <w:color w:val="auto"/>
                    </w:rPr>
                    <w:t>m，禁止夜间（22:00至次日6:00）施工作业；物料运输途经环境敏感点时减速慢行、禁止鸣笛及夜间禁止运输；避免在临近沿线敏感建筑处多台高噪声设备同时施工。</w:t>
                  </w:r>
                </w:p>
              </w:tc>
            </w:tr>
            <w:tr w14:paraId="1DABE2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4001A5B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6EB39BF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36E72AC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固体废物</w:t>
                  </w:r>
                </w:p>
              </w:tc>
              <w:tc>
                <w:tcPr>
                  <w:tcW w:w="3556" w:type="pct"/>
                  <w:gridSpan w:val="4"/>
                  <w:noWrap w:val="0"/>
                  <w:vAlign w:val="center"/>
                </w:tcPr>
                <w:p w14:paraId="59101A7C">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eastAsia="宋体"/>
                      <w:color w:val="auto"/>
                      <w:lang w:eastAsia="zh-CN"/>
                    </w:rPr>
                  </w:pPr>
                  <w:r>
                    <w:rPr>
                      <w:rFonts w:hint="eastAsia"/>
                      <w:color w:val="auto"/>
                      <w:sz w:val="21"/>
                      <w:szCs w:val="18"/>
                    </w:rPr>
                    <w:t>本工程不设置施工驻地，施工人员食宿租赁附近民宅</w:t>
                  </w:r>
                  <w:r>
                    <w:rPr>
                      <w:rFonts w:hint="eastAsia"/>
                      <w:color w:val="auto"/>
                      <w:sz w:val="21"/>
                      <w:szCs w:val="18"/>
                      <w:lang w:eastAsia="zh-CN"/>
                    </w:rPr>
                    <w:t>，生活垃圾依托当地收集和转运设施。本项目全线挖方全部纵向利用于路基填筑，全线无弃土。</w:t>
                  </w:r>
                </w:p>
              </w:tc>
            </w:tr>
            <w:tr w14:paraId="3FBC83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52" w:hRule="atLeast"/>
                <w:jc w:val="center"/>
              </w:trPr>
              <w:tc>
                <w:tcPr>
                  <w:tcW w:w="336" w:type="pct"/>
                  <w:vMerge w:val="continue"/>
                  <w:noWrap w:val="0"/>
                  <w:vAlign w:val="center"/>
                </w:tcPr>
                <w:p w14:paraId="4B2286D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40F198C9">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06A9CC3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生态</w:t>
                  </w:r>
                </w:p>
              </w:tc>
              <w:tc>
                <w:tcPr>
                  <w:tcW w:w="3556" w:type="pct"/>
                  <w:gridSpan w:val="4"/>
                  <w:noWrap w:val="0"/>
                  <w:vAlign w:val="center"/>
                </w:tcPr>
                <w:p w14:paraId="5CF91E07">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color w:val="auto"/>
                    </w:rPr>
                  </w:pPr>
                  <w:r>
                    <w:rPr>
                      <w:rFonts w:hint="eastAsia" w:ascii="Times New Roman" w:hAnsi="Times New Roman" w:eastAsia="宋体" w:cs="Times New Roman"/>
                      <w:color w:val="auto"/>
                      <w:sz w:val="21"/>
                      <w:highlight w:val="none"/>
                      <w:lang w:val="en-US" w:eastAsia="zh-CN"/>
                    </w:rPr>
                    <w:t>严格按照设计文件确定施工范围；优化施工方案。工程完工后对临时占地进行平整</w:t>
                  </w:r>
                  <w:r>
                    <w:rPr>
                      <w:rFonts w:hint="eastAsia" w:cs="Times New Roman"/>
                      <w:color w:val="auto"/>
                      <w:sz w:val="21"/>
                      <w:highlight w:val="none"/>
                      <w:lang w:val="en-US" w:eastAsia="zh-CN"/>
                    </w:rPr>
                    <w:t>，恢复原有地貌</w:t>
                  </w:r>
                  <w:r>
                    <w:rPr>
                      <w:rFonts w:hint="eastAsia" w:ascii="Times New Roman" w:hAnsi="Times New Roman" w:eastAsia="宋体" w:cs="Times New Roman"/>
                      <w:color w:val="auto"/>
                      <w:sz w:val="21"/>
                      <w:highlight w:val="none"/>
                      <w:lang w:val="en-US" w:eastAsia="zh-CN"/>
                    </w:rPr>
                    <w:t>；保护野生动物生境多样性；严禁非法捕猎；减少人为干扰及污染；合理安排施工时间</w:t>
                  </w:r>
                  <w:r>
                    <w:rPr>
                      <w:rFonts w:hint="eastAsia" w:cs="Times New Roman"/>
                      <w:color w:val="auto"/>
                      <w:sz w:val="21"/>
                      <w:highlight w:val="none"/>
                      <w:lang w:val="en-US" w:eastAsia="zh-CN"/>
                    </w:rPr>
                    <w:t>，</w:t>
                  </w:r>
                  <w:r>
                    <w:rPr>
                      <w:rFonts w:hint="eastAsia" w:ascii="Times New Roman" w:hAnsi="Times New Roman" w:eastAsia="宋体"/>
                      <w:snapToGrid w:val="0"/>
                      <w:color w:val="auto"/>
                      <w:kern w:val="0"/>
                      <w:sz w:val="21"/>
                      <w:szCs w:val="21"/>
                      <w:highlight w:val="none"/>
                    </w:rPr>
                    <w:t>禁止雨天施工。</w:t>
                  </w:r>
                </w:p>
              </w:tc>
            </w:tr>
            <w:tr w14:paraId="695299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16255CA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689A4416">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5361985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环境风险</w:t>
                  </w:r>
                </w:p>
              </w:tc>
              <w:tc>
                <w:tcPr>
                  <w:tcW w:w="3556" w:type="pct"/>
                  <w:gridSpan w:val="4"/>
                  <w:noWrap w:val="0"/>
                  <w:vAlign w:val="center"/>
                </w:tcPr>
                <w:p w14:paraId="2926C933">
                  <w:pPr>
                    <w:pStyle w:val="33"/>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eastAsia="宋体"/>
                      <w:color w:val="auto"/>
                      <w:lang w:eastAsia="zh-CN"/>
                    </w:rPr>
                  </w:pPr>
                  <w:r>
                    <w:rPr>
                      <w:rFonts w:hint="eastAsia"/>
                      <w:color w:val="auto"/>
                      <w:szCs w:val="21"/>
                    </w:rPr>
                    <w:t>在施工区内建立防火及火灾警报系统，严格执行野外用火；对施工人员进行防火宣传教育，并严格规范和限制施工人员的野外活动，严禁施工人员私自野外用火，做好吸烟和生活用火等火源管理，严格控制易燃易爆器材的使用；合理安排施工时间，尽量缩短涉水工程施工时限；应制定风险事故应急预案。</w:t>
                  </w:r>
                </w:p>
              </w:tc>
            </w:tr>
            <w:tr w14:paraId="500F9F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336" w:type="pct"/>
                  <w:vMerge w:val="continue"/>
                  <w:noWrap w:val="0"/>
                  <w:vAlign w:val="center"/>
                </w:tcPr>
                <w:p w14:paraId="2B185389">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restart"/>
                  <w:noWrap w:val="0"/>
                  <w:vAlign w:val="center"/>
                </w:tcPr>
                <w:p w14:paraId="138A6C7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lang w:eastAsia="zh-CN"/>
                    </w:rPr>
                  </w:pPr>
                  <w:r>
                    <w:rPr>
                      <w:rFonts w:hint="eastAsia"/>
                      <w:color w:val="auto"/>
                      <w:lang w:eastAsia="zh-CN"/>
                    </w:rPr>
                    <w:t>运营期</w:t>
                  </w:r>
                </w:p>
              </w:tc>
              <w:tc>
                <w:tcPr>
                  <w:tcW w:w="735" w:type="pct"/>
                  <w:noWrap w:val="0"/>
                  <w:vAlign w:val="center"/>
                </w:tcPr>
                <w:p w14:paraId="680A5286">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噪声</w:t>
                  </w:r>
                </w:p>
              </w:tc>
              <w:tc>
                <w:tcPr>
                  <w:tcW w:w="3556" w:type="pct"/>
                  <w:gridSpan w:val="4"/>
                  <w:noWrap w:val="0"/>
                  <w:vAlign w:val="center"/>
                </w:tcPr>
                <w:p w14:paraId="050A0771">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Times New Roman" w:hAnsi="Times New Roman" w:eastAsia="宋体" w:cs="Times New Roman"/>
                      <w:color w:val="auto"/>
                      <w:highlight w:val="none"/>
                      <w:lang w:eastAsia="zh-CN"/>
                    </w:rPr>
                  </w:pPr>
                  <w:r>
                    <w:rPr>
                      <w:rFonts w:hint="default" w:ascii="Times New Roman" w:hAnsi="Times New Roman" w:eastAsia="宋体" w:cs="Times New Roman"/>
                      <w:color w:val="auto"/>
                      <w:kern w:val="0"/>
                      <w:highlight w:val="none"/>
                      <w:lang w:val="en-US" w:eastAsia="zh-CN"/>
                    </w:rPr>
                    <w:t>设计阶段在K30+150至K30+350、K41+800至K43+020两段</w:t>
                  </w:r>
                  <w:r>
                    <w:rPr>
                      <w:rFonts w:hint="default" w:ascii="Times New Roman" w:hAnsi="Times New Roman" w:eastAsia="宋体" w:cs="Times New Roman"/>
                      <w:color w:val="auto"/>
                      <w:kern w:val="0"/>
                      <w:highlight w:val="none"/>
                    </w:rPr>
                    <w:t>采取限速</w:t>
                  </w:r>
                  <w:r>
                    <w:rPr>
                      <w:rFonts w:hint="default" w:ascii="Times New Roman" w:hAnsi="Times New Roman" w:eastAsia="宋体" w:cs="Times New Roman"/>
                      <w:color w:val="auto"/>
                      <w:kern w:val="0"/>
                      <w:highlight w:val="none"/>
                      <w:lang w:val="en-US" w:eastAsia="zh-CN"/>
                    </w:rPr>
                    <w:t>2</w:t>
                  </w:r>
                  <w:r>
                    <w:rPr>
                      <w:rFonts w:hint="default" w:ascii="Times New Roman" w:hAnsi="Times New Roman" w:eastAsia="宋体" w:cs="Times New Roman"/>
                      <w:color w:val="auto"/>
                      <w:kern w:val="0"/>
                      <w:highlight w:val="none"/>
                    </w:rPr>
                    <w:t>0km/h措施</w:t>
                  </w:r>
                  <w:r>
                    <w:rPr>
                      <w:rFonts w:hint="eastAsia" w:ascii="Times New Roman" w:hAnsi="Times New Roman" w:eastAsia="宋体" w:cs="Times New Roman"/>
                      <w:color w:val="auto"/>
                      <w:kern w:val="0"/>
                      <w:highlight w:val="none"/>
                      <w:lang w:eastAsia="zh-CN"/>
                    </w:rPr>
                    <w:t>；</w:t>
                  </w:r>
                  <w:r>
                    <w:rPr>
                      <w:rFonts w:hint="default" w:ascii="Times New Roman" w:hAnsi="Times New Roman" w:cs="Times New Roman"/>
                      <w:color w:val="auto"/>
                      <w:kern w:val="0"/>
                      <w:highlight w:val="none"/>
                      <w:lang w:eastAsia="zh-CN"/>
                    </w:rPr>
                    <w:t>在</w:t>
                  </w:r>
                  <w:r>
                    <w:rPr>
                      <w:rFonts w:hint="default" w:ascii="Times New Roman" w:hAnsi="Times New Roman" w:cs="Times New Roman"/>
                      <w:color w:val="auto"/>
                      <w:kern w:val="0"/>
                      <w:highlight w:val="none"/>
                    </w:rPr>
                    <w:t>敏感目标</w:t>
                  </w:r>
                  <w:r>
                    <w:rPr>
                      <w:rFonts w:hint="default" w:ascii="Times New Roman" w:hAnsi="Times New Roman" w:cs="Times New Roman"/>
                      <w:color w:val="auto"/>
                      <w:kern w:val="0"/>
                      <w:highlight w:val="none"/>
                      <w:lang w:eastAsia="zh-CN"/>
                    </w:rPr>
                    <w:t>处</w:t>
                  </w:r>
                  <w:r>
                    <w:rPr>
                      <w:rFonts w:hint="default" w:ascii="Times New Roman" w:hAnsi="Times New Roman" w:cs="Times New Roman"/>
                      <w:color w:val="auto"/>
                      <w:kern w:val="0"/>
                      <w:highlight w:val="none"/>
                    </w:rPr>
                    <w:t>设置减速慢行、禁止鸣笛标志</w:t>
                  </w:r>
                  <w:r>
                    <w:rPr>
                      <w:rFonts w:hint="eastAsia" w:ascii="Times New Roman" w:hAnsi="Times New Roman" w:cs="Times New Roman"/>
                      <w:color w:val="auto"/>
                      <w:kern w:val="0"/>
                      <w:highlight w:val="none"/>
                      <w:lang w:eastAsia="zh-CN"/>
                    </w:rPr>
                    <w:t>。</w:t>
                  </w:r>
                </w:p>
              </w:tc>
            </w:tr>
            <w:tr w14:paraId="503A95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4D2B750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54DF5C4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1EFAFA90">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rPr>
                  </w:pPr>
                  <w:r>
                    <w:rPr>
                      <w:color w:val="auto"/>
                      <w:highlight w:val="none"/>
                    </w:rPr>
                    <w:t>环境风险</w:t>
                  </w:r>
                </w:p>
              </w:tc>
              <w:tc>
                <w:tcPr>
                  <w:tcW w:w="3556" w:type="pct"/>
                  <w:gridSpan w:val="4"/>
                  <w:noWrap w:val="0"/>
                  <w:vAlign w:val="center"/>
                </w:tcPr>
                <w:p w14:paraId="1E0CB4A9">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color w:val="auto"/>
                    </w:rPr>
                  </w:pPr>
                  <w:r>
                    <w:rPr>
                      <w:rFonts w:hint="eastAsia"/>
                      <w:color w:val="auto"/>
                      <w:highlight w:val="none"/>
                      <w:lang w:eastAsia="zh-CN"/>
                    </w:rPr>
                    <w:t>制定环境风险应急预案。</w:t>
                  </w:r>
                </w:p>
              </w:tc>
            </w:tr>
            <w:tr w14:paraId="5B6E5E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36" w:type="pct"/>
                  <w:vMerge w:val="continue"/>
                  <w:noWrap w:val="0"/>
                  <w:vAlign w:val="center"/>
                </w:tcPr>
                <w:p w14:paraId="1945C09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371" w:type="pct"/>
                  <w:vMerge w:val="continue"/>
                  <w:noWrap w:val="0"/>
                  <w:vAlign w:val="center"/>
                </w:tcPr>
                <w:p w14:paraId="249EB29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p>
              </w:tc>
              <w:tc>
                <w:tcPr>
                  <w:tcW w:w="735" w:type="pct"/>
                  <w:noWrap w:val="0"/>
                  <w:vAlign w:val="center"/>
                </w:tcPr>
                <w:p w14:paraId="6E0D8D90">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rPr>
                  </w:pPr>
                  <w:r>
                    <w:rPr>
                      <w:color w:val="auto"/>
                      <w:highlight w:val="none"/>
                    </w:rPr>
                    <w:t>生态环境</w:t>
                  </w:r>
                </w:p>
              </w:tc>
              <w:tc>
                <w:tcPr>
                  <w:tcW w:w="3556" w:type="pct"/>
                  <w:gridSpan w:val="4"/>
                  <w:noWrap w:val="0"/>
                  <w:vAlign w:val="center"/>
                </w:tcPr>
                <w:p w14:paraId="65AA6B41">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eastAsia="宋体"/>
                      <w:color w:val="auto"/>
                      <w:highlight w:val="none"/>
                      <w:lang w:eastAsia="zh-CN"/>
                    </w:rPr>
                  </w:pPr>
                  <w:r>
                    <w:rPr>
                      <w:rFonts w:hint="eastAsia"/>
                      <w:color w:val="auto"/>
                      <w:highlight w:val="none"/>
                      <w:lang w:eastAsia="zh-CN"/>
                    </w:rPr>
                    <w:t>公路</w:t>
                  </w:r>
                  <w:r>
                    <w:rPr>
                      <w:color w:val="auto"/>
                      <w:highlight w:val="none"/>
                    </w:rPr>
                    <w:t>两侧植被绿化</w:t>
                  </w:r>
                  <w:r>
                    <w:rPr>
                      <w:rFonts w:hint="eastAsia"/>
                      <w:color w:val="auto"/>
                      <w:highlight w:val="none"/>
                      <w:lang w:eastAsia="zh-CN"/>
                    </w:rPr>
                    <w:t>；</w:t>
                  </w:r>
                  <w:r>
                    <w:rPr>
                      <w:rFonts w:hint="eastAsia"/>
                      <w:color w:val="auto"/>
                      <w:sz w:val="21"/>
                      <w:highlight w:val="none"/>
                      <w:lang w:val="en-US" w:eastAsia="zh-CN"/>
                    </w:rPr>
                    <w:t>加强公路及桥梁、涵洞的安全运营管理；</w:t>
                  </w:r>
                  <w:r>
                    <w:rPr>
                      <w:rFonts w:hint="eastAsia"/>
                      <w:color w:val="auto"/>
                      <w:highlight w:val="none"/>
                      <w:lang w:eastAsia="zh-CN"/>
                    </w:rPr>
                    <w:t>在生态敏感区路段</w:t>
                  </w:r>
                  <w:r>
                    <w:rPr>
                      <w:color w:val="auto"/>
                      <w:highlight w:val="none"/>
                    </w:rPr>
                    <w:t>安装</w:t>
                  </w:r>
                  <w:r>
                    <w:rPr>
                      <w:rFonts w:hint="eastAsia"/>
                      <w:color w:val="auto"/>
                      <w:highlight w:val="none"/>
                    </w:rPr>
                    <w:t>生态保护警示牌</w:t>
                  </w:r>
                  <w:r>
                    <w:rPr>
                      <w:rFonts w:hint="eastAsia"/>
                      <w:color w:val="auto"/>
                      <w:highlight w:val="none"/>
                      <w:lang w:eastAsia="zh-CN"/>
                    </w:rPr>
                    <w:t>。</w:t>
                  </w:r>
                </w:p>
              </w:tc>
            </w:tr>
          </w:tbl>
          <w:p w14:paraId="51F97829">
            <w:pPr>
              <w:pStyle w:val="34"/>
              <w:ind w:firstLine="480"/>
              <w:rPr>
                <w:color w:val="auto"/>
              </w:rPr>
            </w:pPr>
            <w:r>
              <w:rPr>
                <w:rFonts w:hint="eastAsia"/>
                <w:color w:val="auto"/>
                <w:lang w:val="en-US" w:eastAsia="zh-CN"/>
              </w:rPr>
              <w:t>2、</w:t>
            </w:r>
            <w:r>
              <w:rPr>
                <w:color w:val="auto"/>
              </w:rPr>
              <w:t>建设规模及主要工程参数</w:t>
            </w:r>
          </w:p>
          <w:p w14:paraId="152FB24D">
            <w:pPr>
              <w:pStyle w:val="34"/>
              <w:ind w:firstLine="480"/>
              <w:rPr>
                <w:color w:val="auto"/>
              </w:rPr>
            </w:pPr>
            <w:r>
              <w:rPr>
                <w:rFonts w:hint="eastAsia"/>
                <w:color w:val="auto"/>
                <w:lang w:eastAsia="zh-CN"/>
              </w:rPr>
              <w:t>（</w:t>
            </w:r>
            <w:r>
              <w:rPr>
                <w:rFonts w:hint="eastAsia"/>
                <w:color w:val="auto"/>
                <w:lang w:val="en-US" w:eastAsia="zh-CN"/>
              </w:rPr>
              <w:t>1</w:t>
            </w:r>
            <w:r>
              <w:rPr>
                <w:rFonts w:hint="eastAsia"/>
                <w:color w:val="auto"/>
                <w:lang w:eastAsia="zh-CN"/>
              </w:rPr>
              <w:t>）</w:t>
            </w:r>
            <w:r>
              <w:rPr>
                <w:color w:val="auto"/>
              </w:rPr>
              <w:t>主要技术经济指标表</w:t>
            </w:r>
          </w:p>
          <w:p w14:paraId="6C03B49F">
            <w:pPr>
              <w:pStyle w:val="34"/>
              <w:ind w:firstLine="480"/>
              <w:rPr>
                <w:color w:val="auto"/>
              </w:rPr>
            </w:pPr>
            <w:r>
              <w:rPr>
                <w:color w:val="auto"/>
              </w:rPr>
              <w:t>本项目路线全长</w:t>
            </w:r>
            <w:r>
              <w:rPr>
                <w:rFonts w:hint="eastAsia"/>
                <w:color w:val="auto"/>
                <w:lang w:val="en-US" w:eastAsia="zh-CN"/>
              </w:rPr>
              <w:t>42.77</w:t>
            </w:r>
            <w:r>
              <w:rPr>
                <w:color w:val="auto"/>
              </w:rPr>
              <w:t>km，采用</w:t>
            </w:r>
            <w:r>
              <w:rPr>
                <w:rFonts w:hint="eastAsia"/>
                <w:color w:val="auto"/>
                <w:lang w:eastAsia="zh-CN"/>
              </w:rPr>
              <w:t>三</w:t>
            </w:r>
            <w:r>
              <w:rPr>
                <w:color w:val="auto"/>
              </w:rPr>
              <w:t>级</w:t>
            </w:r>
            <w:r>
              <w:rPr>
                <w:rFonts w:hint="eastAsia"/>
                <w:color w:val="auto"/>
                <w:lang w:val="en-US" w:eastAsia="zh-CN"/>
              </w:rPr>
              <w:t>/四级</w:t>
            </w:r>
            <w:r>
              <w:rPr>
                <w:color w:val="auto"/>
              </w:rPr>
              <w:t>公路标准，</w:t>
            </w:r>
            <w:r>
              <w:rPr>
                <w:rFonts w:hint="eastAsia"/>
                <w:color w:val="auto"/>
                <w:highlight w:val="none"/>
                <w:lang w:eastAsia="zh-CN"/>
              </w:rPr>
              <w:t>路线完全利用旧路，</w:t>
            </w:r>
            <w:r>
              <w:rPr>
                <w:rFonts w:hint="eastAsia"/>
                <w:color w:val="auto"/>
                <w:highlight w:val="none"/>
                <w:lang w:val="en-US" w:eastAsia="zh-CN"/>
              </w:rPr>
              <w:t>用地界范围不变。</w:t>
            </w:r>
            <w:r>
              <w:rPr>
                <w:color w:val="auto"/>
              </w:rPr>
              <w:t>详见表2-2。</w:t>
            </w:r>
          </w:p>
          <w:p w14:paraId="0C2F0687">
            <w:pPr>
              <w:pStyle w:val="28"/>
              <w:rPr>
                <w:color w:val="auto"/>
              </w:rPr>
            </w:pPr>
            <w:r>
              <w:rPr>
                <w:color w:val="auto"/>
              </w:rPr>
              <w:t xml:space="preserve">表2-2 </w:t>
            </w:r>
            <w:r>
              <w:rPr>
                <w:rFonts w:hint="eastAsia"/>
                <w:color w:val="auto"/>
                <w:lang w:val="en-US" w:eastAsia="zh-CN"/>
              </w:rPr>
              <w:t xml:space="preserve"> </w:t>
            </w:r>
            <w:r>
              <w:rPr>
                <w:color w:val="auto"/>
              </w:rPr>
              <w:t>本项目主要技术经济指标一览表</w:t>
            </w:r>
          </w:p>
          <w:tbl>
            <w:tblPr>
              <w:tblStyle w:val="18"/>
              <w:tblW w:w="4998" w:type="pct"/>
              <w:jc w:val="right"/>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669"/>
              <w:gridCol w:w="2667"/>
              <w:gridCol w:w="1184"/>
              <w:gridCol w:w="2954"/>
              <w:gridCol w:w="5"/>
              <w:gridCol w:w="53"/>
            </w:tblGrid>
            <w:tr w14:paraId="323F75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67764A8D">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eastAsia="zh-CN"/>
                    </w:rPr>
                  </w:pPr>
                  <w:r>
                    <w:rPr>
                      <w:rFonts w:hint="eastAsia"/>
                      <w:color w:val="auto"/>
                      <w:lang w:eastAsia="zh-CN"/>
                    </w:rPr>
                    <w:t>序号</w:t>
                  </w:r>
                </w:p>
              </w:tc>
              <w:tc>
                <w:tcPr>
                  <w:tcW w:w="1770" w:type="pct"/>
                  <w:noWrap w:val="0"/>
                  <w:vAlign w:val="center"/>
                </w:tcPr>
                <w:p w14:paraId="5AD1D97D">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eastAsia="zh-CN"/>
                    </w:rPr>
                  </w:pPr>
                  <w:r>
                    <w:rPr>
                      <w:rFonts w:hint="eastAsia"/>
                      <w:color w:val="auto"/>
                      <w:lang w:eastAsia="zh-CN"/>
                    </w:rPr>
                    <w:t>技术指标</w:t>
                  </w:r>
                </w:p>
              </w:tc>
              <w:tc>
                <w:tcPr>
                  <w:tcW w:w="785" w:type="pct"/>
                  <w:noWrap w:val="0"/>
                  <w:vAlign w:val="center"/>
                </w:tcPr>
                <w:p w14:paraId="64661C72">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eastAsia="zh-CN"/>
                    </w:rPr>
                  </w:pPr>
                  <w:r>
                    <w:rPr>
                      <w:rFonts w:hint="eastAsia"/>
                      <w:color w:val="auto"/>
                      <w:lang w:eastAsia="zh-CN"/>
                    </w:rPr>
                    <w:t>单位</w:t>
                  </w:r>
                </w:p>
              </w:tc>
              <w:tc>
                <w:tcPr>
                  <w:tcW w:w="1960" w:type="pct"/>
                  <w:noWrap w:val="0"/>
                  <w:vAlign w:val="center"/>
                </w:tcPr>
                <w:p w14:paraId="277A07C2">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eastAsia="zh-CN"/>
                    </w:rPr>
                  </w:pPr>
                  <w:r>
                    <w:rPr>
                      <w:rFonts w:hint="eastAsia"/>
                      <w:color w:val="auto"/>
                      <w:lang w:eastAsia="zh-CN"/>
                    </w:rPr>
                    <w:t>规定值</w:t>
                  </w:r>
                </w:p>
              </w:tc>
            </w:tr>
            <w:tr w14:paraId="7B3CA0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6684B857">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1</w:t>
                  </w:r>
                </w:p>
              </w:tc>
              <w:tc>
                <w:tcPr>
                  <w:tcW w:w="1770" w:type="pct"/>
                  <w:noWrap w:val="0"/>
                  <w:vAlign w:val="center"/>
                </w:tcPr>
                <w:p w14:paraId="5A95C245">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lang w:val="en-US" w:eastAsia="zh-CN"/>
                    </w:rPr>
                  </w:pPr>
                  <w:r>
                    <w:rPr>
                      <w:color w:val="auto"/>
                    </w:rPr>
                    <w:t>公路等级</w:t>
                  </w:r>
                </w:p>
              </w:tc>
              <w:tc>
                <w:tcPr>
                  <w:tcW w:w="785" w:type="pct"/>
                  <w:noWrap w:val="0"/>
                  <w:vAlign w:val="center"/>
                </w:tcPr>
                <w:p w14:paraId="03171CD9">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lang w:val="en-US" w:eastAsia="zh-CN"/>
                    </w:rPr>
                  </w:pPr>
                  <w:r>
                    <w:rPr>
                      <w:color w:val="auto"/>
                    </w:rPr>
                    <w:t>/</w:t>
                  </w:r>
                </w:p>
              </w:tc>
              <w:tc>
                <w:tcPr>
                  <w:tcW w:w="1960" w:type="pct"/>
                  <w:noWrap w:val="0"/>
                  <w:vAlign w:val="center"/>
                </w:tcPr>
                <w:p w14:paraId="56A665AF">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lang w:val="en-US" w:eastAsia="zh-CN"/>
                    </w:rPr>
                  </w:pPr>
                  <w:r>
                    <w:rPr>
                      <w:rFonts w:hint="eastAsia"/>
                      <w:color w:val="auto"/>
                      <w:lang w:eastAsia="zh-CN"/>
                    </w:rPr>
                    <w:t>三</w:t>
                  </w:r>
                  <w:r>
                    <w:rPr>
                      <w:color w:val="auto"/>
                    </w:rPr>
                    <w:t>级</w:t>
                  </w:r>
                  <w:r>
                    <w:rPr>
                      <w:rFonts w:hint="eastAsia"/>
                      <w:color w:val="auto"/>
                      <w:lang w:val="en-US" w:eastAsia="zh-CN"/>
                    </w:rPr>
                    <w:t>/四级</w:t>
                  </w:r>
                  <w:r>
                    <w:rPr>
                      <w:color w:val="auto"/>
                    </w:rPr>
                    <w:t>公路</w:t>
                  </w:r>
                </w:p>
              </w:tc>
            </w:tr>
            <w:tr w14:paraId="51DFFA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1457273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2</w:t>
                  </w:r>
                </w:p>
              </w:tc>
              <w:tc>
                <w:tcPr>
                  <w:tcW w:w="1770" w:type="pct"/>
                  <w:noWrap w:val="0"/>
                  <w:vAlign w:val="center"/>
                </w:tcPr>
                <w:p w14:paraId="552FC866">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设计速度</w:t>
                  </w:r>
                </w:p>
              </w:tc>
              <w:tc>
                <w:tcPr>
                  <w:tcW w:w="785" w:type="pct"/>
                  <w:noWrap w:val="0"/>
                  <w:vAlign w:val="center"/>
                </w:tcPr>
                <w:p w14:paraId="12FF112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km/h</w:t>
                  </w:r>
                </w:p>
              </w:tc>
              <w:tc>
                <w:tcPr>
                  <w:tcW w:w="1960" w:type="pct"/>
                  <w:noWrap w:val="0"/>
                  <w:vAlign w:val="center"/>
                </w:tcPr>
                <w:p w14:paraId="6DD8F10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lang w:val="en-US" w:eastAsia="zh-CN"/>
                    </w:rPr>
                  </w:pPr>
                  <w:r>
                    <w:rPr>
                      <w:rFonts w:hint="eastAsia"/>
                      <w:color w:val="auto"/>
                      <w:lang w:val="en-US" w:eastAsia="zh-CN"/>
                    </w:rPr>
                    <w:t>30/20</w:t>
                  </w:r>
                </w:p>
              </w:tc>
            </w:tr>
            <w:tr w14:paraId="345ACB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1172337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3</w:t>
                  </w:r>
                </w:p>
              </w:tc>
              <w:tc>
                <w:tcPr>
                  <w:tcW w:w="1770" w:type="pct"/>
                  <w:noWrap w:val="0"/>
                  <w:vAlign w:val="center"/>
                </w:tcPr>
                <w:p w14:paraId="49FCDFC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里程长度</w:t>
                  </w:r>
                </w:p>
              </w:tc>
              <w:tc>
                <w:tcPr>
                  <w:tcW w:w="785" w:type="pct"/>
                  <w:noWrap w:val="0"/>
                  <w:vAlign w:val="center"/>
                </w:tcPr>
                <w:p w14:paraId="11B0A77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km</w:t>
                  </w:r>
                </w:p>
              </w:tc>
              <w:tc>
                <w:tcPr>
                  <w:tcW w:w="1960" w:type="pct"/>
                  <w:noWrap w:val="0"/>
                  <w:vAlign w:val="center"/>
                </w:tcPr>
                <w:p w14:paraId="17EBB6D2">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lang w:val="en-US" w:eastAsia="zh-CN"/>
                    </w:rPr>
                  </w:pPr>
                  <w:r>
                    <w:rPr>
                      <w:rFonts w:hint="eastAsia"/>
                      <w:color w:val="auto"/>
                      <w:lang w:val="en-US" w:eastAsia="zh-CN"/>
                    </w:rPr>
                    <w:t>42.77</w:t>
                  </w:r>
                </w:p>
              </w:tc>
            </w:tr>
            <w:tr w14:paraId="1BFE8C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01A33E1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4</w:t>
                  </w:r>
                </w:p>
              </w:tc>
              <w:tc>
                <w:tcPr>
                  <w:tcW w:w="1770" w:type="pct"/>
                  <w:noWrap w:val="0"/>
                  <w:vAlign w:val="center"/>
                </w:tcPr>
                <w:p w14:paraId="7B9B1BB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路基宽度</w:t>
                  </w:r>
                </w:p>
              </w:tc>
              <w:tc>
                <w:tcPr>
                  <w:tcW w:w="785" w:type="pct"/>
                  <w:noWrap w:val="0"/>
                  <w:vAlign w:val="center"/>
                </w:tcPr>
                <w:p w14:paraId="6BC3B51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color w:val="auto"/>
                    </w:rPr>
                    <w:t>m</w:t>
                  </w:r>
                </w:p>
              </w:tc>
              <w:tc>
                <w:tcPr>
                  <w:tcW w:w="1960" w:type="pct"/>
                  <w:noWrap w:val="0"/>
                  <w:vAlign w:val="center"/>
                </w:tcPr>
                <w:p w14:paraId="58379E3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lang w:val="en-US" w:eastAsia="zh-CN"/>
                    </w:rPr>
                  </w:pPr>
                  <w:r>
                    <w:rPr>
                      <w:rFonts w:hint="eastAsia"/>
                      <w:color w:val="auto"/>
                      <w:lang w:val="en-US" w:eastAsia="zh-CN"/>
                    </w:rPr>
                    <w:t>7.5/6</w:t>
                  </w:r>
                </w:p>
              </w:tc>
            </w:tr>
            <w:tr w14:paraId="1A6D74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5559CE2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5</w:t>
                  </w:r>
                </w:p>
              </w:tc>
              <w:tc>
                <w:tcPr>
                  <w:tcW w:w="1770" w:type="pct"/>
                  <w:noWrap w:val="0"/>
                  <w:vAlign w:val="center"/>
                </w:tcPr>
                <w:p w14:paraId="0AEBE9D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color w:val="auto"/>
                      <w:highlight w:val="none"/>
                    </w:rPr>
                    <w:t>行车道宽度</w:t>
                  </w:r>
                </w:p>
              </w:tc>
              <w:tc>
                <w:tcPr>
                  <w:tcW w:w="785" w:type="pct"/>
                  <w:noWrap w:val="0"/>
                  <w:vAlign w:val="center"/>
                </w:tcPr>
                <w:p w14:paraId="451C1F2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color w:val="auto"/>
                      <w:highlight w:val="none"/>
                    </w:rPr>
                    <w:t>m</w:t>
                  </w:r>
                </w:p>
              </w:tc>
              <w:tc>
                <w:tcPr>
                  <w:tcW w:w="1960" w:type="pct"/>
                  <w:noWrap w:val="0"/>
                  <w:vAlign w:val="center"/>
                </w:tcPr>
                <w:p w14:paraId="47D959D8">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w:t>
                  </w:r>
                  <w:r>
                    <w:rPr>
                      <w:color w:val="auto"/>
                      <w:highlight w:val="none"/>
                    </w:rPr>
                    <w:t>3</w:t>
                  </w:r>
                  <w:r>
                    <w:rPr>
                      <w:rFonts w:hint="eastAsia"/>
                      <w:color w:val="auto"/>
                      <w:highlight w:val="none"/>
                      <w:lang w:val="en-US" w:eastAsia="zh-CN"/>
                    </w:rPr>
                    <w:t>.25/2</w:t>
                  </w:r>
                  <w:r>
                    <w:rPr>
                      <w:rFonts w:hint="default"/>
                      <w:color w:val="auto"/>
                      <w:highlight w:val="none"/>
                      <w:lang w:val="en-US" w:eastAsia="zh-CN"/>
                    </w:rPr>
                    <w:t>×</w:t>
                  </w:r>
                  <w:r>
                    <w:rPr>
                      <w:color w:val="auto"/>
                      <w:highlight w:val="none"/>
                    </w:rPr>
                    <w:t>3</w:t>
                  </w:r>
                  <w:r>
                    <w:rPr>
                      <w:rFonts w:hint="eastAsia"/>
                      <w:color w:val="auto"/>
                      <w:highlight w:val="none"/>
                      <w:lang w:val="en-US" w:eastAsia="zh-CN"/>
                    </w:rPr>
                    <w:t>/1</w:t>
                  </w:r>
                  <w:r>
                    <w:rPr>
                      <w:rFonts w:hint="default"/>
                      <w:color w:val="auto"/>
                      <w:highlight w:val="none"/>
                      <w:lang w:val="en-US" w:eastAsia="zh-CN"/>
                    </w:rPr>
                    <w:t>×</w:t>
                  </w:r>
                  <w:r>
                    <w:rPr>
                      <w:rFonts w:hint="eastAsia"/>
                      <w:color w:val="auto"/>
                      <w:highlight w:val="none"/>
                      <w:lang w:val="en-US" w:eastAsia="zh-CN"/>
                    </w:rPr>
                    <w:t>3.5/1</w:t>
                  </w:r>
                  <w:r>
                    <w:rPr>
                      <w:rFonts w:hint="default"/>
                      <w:color w:val="auto"/>
                      <w:highlight w:val="none"/>
                      <w:lang w:val="en-US" w:eastAsia="zh-CN"/>
                    </w:rPr>
                    <w:t>×</w:t>
                  </w:r>
                  <w:r>
                    <w:rPr>
                      <w:rFonts w:hint="eastAsia"/>
                      <w:color w:val="auto"/>
                      <w:highlight w:val="none"/>
                      <w:lang w:val="en-US" w:eastAsia="zh-CN"/>
                    </w:rPr>
                    <w:t>4.5</w:t>
                  </w:r>
                </w:p>
              </w:tc>
            </w:tr>
            <w:tr w14:paraId="32AF12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135088D0">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6</w:t>
                  </w:r>
                </w:p>
              </w:tc>
              <w:tc>
                <w:tcPr>
                  <w:tcW w:w="1770" w:type="pct"/>
                  <w:noWrap w:val="0"/>
                  <w:vAlign w:val="center"/>
                </w:tcPr>
                <w:p w14:paraId="5CA1C084">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none"/>
                      <w:lang w:val="en-US" w:eastAsia="zh-CN"/>
                    </w:rPr>
                  </w:pPr>
                  <w:r>
                    <w:rPr>
                      <w:color w:val="auto"/>
                      <w:highlight w:val="none"/>
                    </w:rPr>
                    <w:t>土路肩宽度</w:t>
                  </w:r>
                </w:p>
              </w:tc>
              <w:tc>
                <w:tcPr>
                  <w:tcW w:w="785" w:type="pct"/>
                  <w:noWrap w:val="0"/>
                  <w:vAlign w:val="center"/>
                </w:tcPr>
                <w:p w14:paraId="65256541">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none"/>
                      <w:lang w:val="en-US" w:eastAsia="zh-CN"/>
                    </w:rPr>
                  </w:pPr>
                  <w:r>
                    <w:rPr>
                      <w:color w:val="auto"/>
                      <w:highlight w:val="none"/>
                    </w:rPr>
                    <w:t>m</w:t>
                  </w:r>
                </w:p>
              </w:tc>
              <w:tc>
                <w:tcPr>
                  <w:tcW w:w="1960" w:type="pct"/>
                  <w:noWrap w:val="0"/>
                  <w:vAlign w:val="center"/>
                </w:tcPr>
                <w:p w14:paraId="6464F6A3">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eastAsia="宋体"/>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w:t>
                  </w:r>
                  <w:r>
                    <w:rPr>
                      <w:color w:val="auto"/>
                      <w:highlight w:val="none"/>
                    </w:rPr>
                    <w:t>0.</w:t>
                  </w:r>
                  <w:r>
                    <w:rPr>
                      <w:rFonts w:hint="eastAsia"/>
                      <w:color w:val="auto"/>
                      <w:highlight w:val="none"/>
                      <w:lang w:val="en-US" w:eastAsia="zh-CN"/>
                    </w:rPr>
                    <w:t>5/2</w:t>
                  </w:r>
                  <w:r>
                    <w:rPr>
                      <w:rFonts w:hint="default"/>
                      <w:color w:val="auto"/>
                      <w:highlight w:val="none"/>
                      <w:lang w:val="en-US" w:eastAsia="zh-CN"/>
                    </w:rPr>
                    <w:t>×</w:t>
                  </w:r>
                  <w:r>
                    <w:rPr>
                      <w:color w:val="auto"/>
                      <w:highlight w:val="none"/>
                    </w:rPr>
                    <w:t>0.75</w:t>
                  </w:r>
                  <w:r>
                    <w:rPr>
                      <w:rFonts w:hint="eastAsia"/>
                      <w:color w:val="auto"/>
                      <w:highlight w:val="none"/>
                      <w:lang w:val="en-US" w:eastAsia="zh-CN"/>
                    </w:rPr>
                    <w:t>/2</w:t>
                  </w:r>
                  <w:r>
                    <w:rPr>
                      <w:rFonts w:hint="default"/>
                      <w:color w:val="auto"/>
                      <w:highlight w:val="none"/>
                      <w:lang w:val="en-US" w:eastAsia="zh-CN"/>
                    </w:rPr>
                    <w:t>×</w:t>
                  </w:r>
                  <w:r>
                    <w:rPr>
                      <w:rFonts w:hint="eastAsia"/>
                      <w:color w:val="auto"/>
                      <w:highlight w:val="none"/>
                      <w:lang w:val="en-US" w:eastAsia="zh-CN"/>
                    </w:rPr>
                    <w:t>1.25/2</w:t>
                  </w:r>
                  <w:r>
                    <w:rPr>
                      <w:rFonts w:hint="default"/>
                      <w:color w:val="auto"/>
                      <w:highlight w:val="none"/>
                      <w:lang w:val="en-US" w:eastAsia="zh-CN"/>
                    </w:rPr>
                    <w:t>×</w:t>
                  </w:r>
                  <w:r>
                    <w:rPr>
                      <w:color w:val="auto"/>
                      <w:highlight w:val="none"/>
                    </w:rPr>
                    <w:t>0.75</w:t>
                  </w:r>
                </w:p>
              </w:tc>
            </w:tr>
            <w:tr w14:paraId="536207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10D725F9">
                  <w:pPr>
                    <w:pStyle w:val="33"/>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lang w:val="en-US" w:eastAsia="zh-CN"/>
                    </w:rPr>
                  </w:pPr>
                  <w:r>
                    <w:rPr>
                      <w:rFonts w:hint="eastAsia"/>
                      <w:color w:val="auto"/>
                      <w:lang w:val="en-US" w:eastAsia="zh-CN"/>
                    </w:rPr>
                    <w:t>7</w:t>
                  </w:r>
                </w:p>
              </w:tc>
              <w:tc>
                <w:tcPr>
                  <w:tcW w:w="1770" w:type="pct"/>
                  <w:noWrap w:val="0"/>
                  <w:vAlign w:val="center"/>
                </w:tcPr>
                <w:p w14:paraId="53BF8D0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lang w:val="en-US" w:eastAsia="zh-CN"/>
                    </w:rPr>
                  </w:pPr>
                  <w:r>
                    <w:rPr>
                      <w:rFonts w:hint="eastAsia" w:ascii="宋体" w:hAnsi="宋体" w:eastAsia="宋体" w:cs="宋体"/>
                      <w:color w:val="auto"/>
                      <w:kern w:val="0"/>
                      <w:sz w:val="21"/>
                      <w:szCs w:val="21"/>
                      <w:highlight w:val="none"/>
                      <w:lang w:val="en-US" w:eastAsia="zh-CN" w:bidi="ar"/>
                    </w:rPr>
                    <w:t>圆曲线最小半径一般值</w:t>
                  </w:r>
                </w:p>
              </w:tc>
              <w:tc>
                <w:tcPr>
                  <w:tcW w:w="785" w:type="pct"/>
                  <w:noWrap w:val="0"/>
                  <w:vAlign w:val="center"/>
                </w:tcPr>
                <w:p w14:paraId="6D4F1B07">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eastAsia="宋体"/>
                      <w:color w:val="auto"/>
                      <w:highlight w:val="none"/>
                      <w:lang w:val="en-US" w:eastAsia="zh-CN"/>
                    </w:rPr>
                  </w:pPr>
                  <w:r>
                    <w:rPr>
                      <w:rFonts w:hint="eastAsia"/>
                      <w:color w:val="auto"/>
                      <w:highlight w:val="none"/>
                      <w:lang w:val="en-US" w:eastAsia="zh-CN"/>
                    </w:rPr>
                    <w:t>m</w:t>
                  </w:r>
                </w:p>
              </w:tc>
              <w:tc>
                <w:tcPr>
                  <w:tcW w:w="1960" w:type="pct"/>
                  <w:noWrap w:val="0"/>
                  <w:vAlign w:val="center"/>
                </w:tcPr>
                <w:p w14:paraId="404C62CF">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color w:val="auto"/>
                      <w:highlight w:val="none"/>
                      <w:lang w:val="en-US" w:eastAsia="zh-CN"/>
                    </w:rPr>
                  </w:pPr>
                  <w:r>
                    <w:rPr>
                      <w:rFonts w:hint="eastAsia"/>
                      <w:color w:val="auto"/>
                      <w:highlight w:val="none"/>
                      <w:lang w:val="en-US" w:eastAsia="zh-CN"/>
                    </w:rPr>
                    <w:t>65/30</w:t>
                  </w:r>
                </w:p>
              </w:tc>
            </w:tr>
            <w:tr w14:paraId="4D6900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72" w:hRule="atLeast"/>
                <w:jc w:val="right"/>
              </w:trPr>
              <w:tc>
                <w:tcPr>
                  <w:tcW w:w="444" w:type="pct"/>
                  <w:noWrap w:val="0"/>
                  <w:vAlign w:val="center"/>
                </w:tcPr>
                <w:p w14:paraId="4CB6D2EB">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8</w:t>
                  </w:r>
                </w:p>
              </w:tc>
              <w:tc>
                <w:tcPr>
                  <w:tcW w:w="1770" w:type="pct"/>
                  <w:noWrap w:val="0"/>
                  <w:vAlign w:val="center"/>
                </w:tcPr>
                <w:p w14:paraId="35F5BDB8">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lang w:eastAsia="zh-CN"/>
                    </w:rPr>
                  </w:pPr>
                  <w:r>
                    <w:rPr>
                      <w:rFonts w:hint="eastAsia"/>
                      <w:color w:val="auto"/>
                      <w:highlight w:val="none"/>
                      <w:lang w:eastAsia="zh-CN"/>
                    </w:rPr>
                    <w:t>圆曲线最小半径（超高</w:t>
                  </w:r>
                  <w:r>
                    <w:rPr>
                      <w:rFonts w:hint="eastAsia"/>
                      <w:color w:val="auto"/>
                      <w:highlight w:val="none"/>
                      <w:lang w:val="en-US" w:eastAsia="zh-CN"/>
                    </w:rPr>
                    <w:t>6%</w:t>
                  </w:r>
                  <w:r>
                    <w:rPr>
                      <w:rFonts w:hint="eastAsia"/>
                      <w:color w:val="auto"/>
                      <w:highlight w:val="none"/>
                      <w:lang w:eastAsia="zh-CN"/>
                    </w:rPr>
                    <w:t>）</w:t>
                  </w:r>
                </w:p>
              </w:tc>
              <w:tc>
                <w:tcPr>
                  <w:tcW w:w="785" w:type="pct"/>
                  <w:noWrap w:val="0"/>
                  <w:vAlign w:val="center"/>
                </w:tcPr>
                <w:p w14:paraId="199DFAE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lang w:val="en-US" w:eastAsia="zh-CN"/>
                    </w:rPr>
                  </w:pPr>
                  <w:r>
                    <w:rPr>
                      <w:rFonts w:hint="eastAsia"/>
                      <w:color w:val="auto"/>
                      <w:highlight w:val="none"/>
                      <w:lang w:val="en-US" w:eastAsia="zh-CN"/>
                    </w:rPr>
                    <w:t>m</w:t>
                  </w:r>
                </w:p>
              </w:tc>
              <w:tc>
                <w:tcPr>
                  <w:tcW w:w="1960" w:type="pct"/>
                  <w:noWrap w:val="0"/>
                  <w:vAlign w:val="center"/>
                </w:tcPr>
                <w:p w14:paraId="3F9FED3F">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highlight w:val="none"/>
                      <w:lang w:val="en-US" w:eastAsia="zh-CN"/>
                    </w:rPr>
                  </w:pPr>
                  <w:r>
                    <w:rPr>
                      <w:rFonts w:hint="eastAsia"/>
                      <w:color w:val="auto"/>
                      <w:highlight w:val="none"/>
                      <w:lang w:val="en-US" w:eastAsia="zh-CN"/>
                    </w:rPr>
                    <w:t>40/20</w:t>
                  </w:r>
                </w:p>
              </w:tc>
            </w:tr>
            <w:tr w14:paraId="27041E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31A2033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9</w:t>
                  </w:r>
                </w:p>
              </w:tc>
              <w:tc>
                <w:tcPr>
                  <w:tcW w:w="1770" w:type="pct"/>
                  <w:noWrap w:val="0"/>
                  <w:vAlign w:val="center"/>
                </w:tcPr>
                <w:p w14:paraId="3A66D777">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none"/>
                      <w:lang w:val="en-US" w:eastAsia="zh-CN"/>
                    </w:rPr>
                  </w:pPr>
                  <w:r>
                    <w:rPr>
                      <w:color w:val="auto"/>
                      <w:highlight w:val="none"/>
                    </w:rPr>
                    <w:t>最大纵坡</w:t>
                  </w:r>
                </w:p>
              </w:tc>
              <w:tc>
                <w:tcPr>
                  <w:tcW w:w="785" w:type="pct"/>
                  <w:noWrap w:val="0"/>
                  <w:vAlign w:val="center"/>
                </w:tcPr>
                <w:p w14:paraId="53A54D17">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none"/>
                      <w:lang w:val="en-US" w:eastAsia="zh-CN"/>
                    </w:rPr>
                  </w:pPr>
                  <w:r>
                    <w:rPr>
                      <w:color w:val="auto"/>
                      <w:highlight w:val="none"/>
                    </w:rPr>
                    <w:t>%</w:t>
                  </w:r>
                </w:p>
              </w:tc>
              <w:tc>
                <w:tcPr>
                  <w:tcW w:w="1960" w:type="pct"/>
                  <w:noWrap w:val="0"/>
                  <w:vAlign w:val="center"/>
                </w:tcPr>
                <w:p w14:paraId="7DDACC7E">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color w:val="auto"/>
                      <w:highlight w:val="none"/>
                      <w:lang w:val="en-US" w:eastAsia="zh-CN"/>
                    </w:rPr>
                  </w:pPr>
                  <w:r>
                    <w:rPr>
                      <w:rFonts w:hint="eastAsia"/>
                      <w:color w:val="auto"/>
                      <w:highlight w:val="none"/>
                      <w:lang w:val="en-US" w:eastAsia="zh-CN"/>
                    </w:rPr>
                    <w:t>8</w:t>
                  </w:r>
                </w:p>
              </w:tc>
            </w:tr>
            <w:tr w14:paraId="00DF9F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2D7D0CD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lang w:val="en-US" w:eastAsia="zh-CN"/>
                    </w:rPr>
                  </w:pPr>
                  <w:r>
                    <w:rPr>
                      <w:rFonts w:hint="eastAsia"/>
                      <w:color w:val="auto"/>
                      <w:lang w:val="en-US" w:eastAsia="zh-CN"/>
                    </w:rPr>
                    <w:t>10</w:t>
                  </w:r>
                </w:p>
              </w:tc>
              <w:tc>
                <w:tcPr>
                  <w:tcW w:w="1770" w:type="pct"/>
                  <w:noWrap w:val="0"/>
                  <w:vAlign w:val="center"/>
                </w:tcPr>
                <w:p w14:paraId="5B3E34A6">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eastAsia="宋体"/>
                      <w:color w:val="auto"/>
                      <w:highlight w:val="none"/>
                      <w:lang w:val="en-US" w:eastAsia="zh-CN"/>
                    </w:rPr>
                  </w:pPr>
                  <w:r>
                    <w:rPr>
                      <w:rFonts w:hint="eastAsia"/>
                      <w:color w:val="auto"/>
                      <w:highlight w:val="none"/>
                      <w:lang w:val="en-US" w:eastAsia="zh-CN"/>
                    </w:rPr>
                    <w:t>最小坡长</w:t>
                  </w:r>
                </w:p>
              </w:tc>
              <w:tc>
                <w:tcPr>
                  <w:tcW w:w="785" w:type="pct"/>
                  <w:noWrap w:val="0"/>
                  <w:vAlign w:val="center"/>
                </w:tcPr>
                <w:p w14:paraId="493A7451">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eastAsia="宋体"/>
                      <w:color w:val="auto"/>
                      <w:highlight w:val="none"/>
                      <w:lang w:val="en-US" w:eastAsia="zh-CN"/>
                    </w:rPr>
                  </w:pPr>
                  <w:r>
                    <w:rPr>
                      <w:rFonts w:hint="eastAsia"/>
                      <w:color w:val="auto"/>
                      <w:highlight w:val="none"/>
                      <w:lang w:val="en-US" w:eastAsia="zh-CN"/>
                    </w:rPr>
                    <w:t>m</w:t>
                  </w:r>
                </w:p>
              </w:tc>
              <w:tc>
                <w:tcPr>
                  <w:tcW w:w="1960" w:type="pct"/>
                  <w:noWrap w:val="0"/>
                  <w:vAlign w:val="center"/>
                </w:tcPr>
                <w:p w14:paraId="24B2D0A3">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color w:val="auto"/>
                      <w:highlight w:val="none"/>
                      <w:lang w:val="en-US" w:eastAsia="zh-CN"/>
                    </w:rPr>
                  </w:pPr>
                  <w:r>
                    <w:rPr>
                      <w:rFonts w:hint="eastAsia"/>
                      <w:color w:val="auto"/>
                      <w:highlight w:val="none"/>
                      <w:lang w:val="en-US" w:eastAsia="zh-CN"/>
                    </w:rPr>
                    <w:t>100/60</w:t>
                  </w:r>
                </w:p>
              </w:tc>
            </w:tr>
            <w:tr w14:paraId="2B842B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2B47230E">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lang w:val="en-US" w:eastAsia="zh-CN"/>
                    </w:rPr>
                  </w:pPr>
                  <w:r>
                    <w:rPr>
                      <w:rFonts w:hint="eastAsia"/>
                      <w:color w:val="auto"/>
                      <w:lang w:val="en-US" w:eastAsia="zh-CN"/>
                    </w:rPr>
                    <w:t>11</w:t>
                  </w:r>
                </w:p>
              </w:tc>
              <w:tc>
                <w:tcPr>
                  <w:tcW w:w="1770" w:type="pct"/>
                  <w:noWrap w:val="0"/>
                  <w:vAlign w:val="center"/>
                </w:tcPr>
                <w:p w14:paraId="036929A9">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eastAsia="宋体"/>
                      <w:color w:val="auto"/>
                      <w:highlight w:val="none"/>
                      <w:lang w:val="en-US" w:eastAsia="zh-CN"/>
                    </w:rPr>
                  </w:pPr>
                  <w:r>
                    <w:rPr>
                      <w:color w:val="auto"/>
                      <w:highlight w:val="none"/>
                    </w:rPr>
                    <w:t>凸型竖曲线最小半径</w:t>
                  </w:r>
                  <w:r>
                    <w:rPr>
                      <w:rFonts w:hint="eastAsia"/>
                      <w:color w:val="auto"/>
                      <w:highlight w:val="none"/>
                      <w:lang w:eastAsia="zh-CN"/>
                    </w:rPr>
                    <w:t>一般值</w:t>
                  </w:r>
                </w:p>
              </w:tc>
              <w:tc>
                <w:tcPr>
                  <w:tcW w:w="785" w:type="pct"/>
                  <w:noWrap w:val="0"/>
                  <w:vAlign w:val="center"/>
                </w:tcPr>
                <w:p w14:paraId="54F025F7">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eastAsia="宋体"/>
                      <w:color w:val="auto"/>
                      <w:highlight w:val="none"/>
                      <w:lang w:val="en-US" w:eastAsia="zh-CN"/>
                    </w:rPr>
                  </w:pPr>
                  <w:r>
                    <w:rPr>
                      <w:rFonts w:hint="eastAsia"/>
                      <w:color w:val="auto"/>
                      <w:highlight w:val="none"/>
                      <w:lang w:val="en-US" w:eastAsia="zh-CN"/>
                    </w:rPr>
                    <w:t>m</w:t>
                  </w:r>
                </w:p>
              </w:tc>
              <w:tc>
                <w:tcPr>
                  <w:tcW w:w="1960" w:type="pct"/>
                  <w:noWrap w:val="0"/>
                  <w:vAlign w:val="center"/>
                </w:tcPr>
                <w:p w14:paraId="162C6F6E">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color w:val="auto"/>
                      <w:highlight w:val="none"/>
                      <w:lang w:val="en-US" w:eastAsia="zh-CN"/>
                    </w:rPr>
                  </w:pPr>
                  <w:r>
                    <w:rPr>
                      <w:rFonts w:hint="eastAsia"/>
                      <w:color w:val="auto"/>
                      <w:highlight w:val="none"/>
                      <w:lang w:val="en-US" w:eastAsia="zh-CN"/>
                    </w:rPr>
                    <w:t>400/200</w:t>
                  </w:r>
                </w:p>
              </w:tc>
            </w:tr>
            <w:tr w14:paraId="3D5909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1"/>
                <w:wAfter w:w="35" w:type="pct"/>
                <w:trHeight w:val="397" w:hRule="atLeast"/>
                <w:jc w:val="right"/>
              </w:trPr>
              <w:tc>
                <w:tcPr>
                  <w:tcW w:w="444" w:type="pct"/>
                  <w:noWrap w:val="0"/>
                  <w:vAlign w:val="center"/>
                </w:tcPr>
                <w:p w14:paraId="6ABBDE4A">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lang w:val="en-US" w:eastAsia="zh-CN"/>
                    </w:rPr>
                  </w:pPr>
                  <w:r>
                    <w:rPr>
                      <w:rFonts w:hint="eastAsia"/>
                      <w:color w:val="auto"/>
                      <w:lang w:val="en-US" w:eastAsia="zh-CN"/>
                    </w:rPr>
                    <w:t>12</w:t>
                  </w:r>
                </w:p>
              </w:tc>
              <w:tc>
                <w:tcPr>
                  <w:tcW w:w="1770" w:type="pct"/>
                  <w:noWrap w:val="0"/>
                  <w:vAlign w:val="center"/>
                </w:tcPr>
                <w:p w14:paraId="58E65C7D">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highlight w:val="none"/>
                      <w:lang w:eastAsia="zh-CN"/>
                    </w:rPr>
                  </w:pPr>
                  <w:r>
                    <w:rPr>
                      <w:color w:val="auto"/>
                      <w:highlight w:val="none"/>
                    </w:rPr>
                    <w:t>凸型竖曲线最小半径</w:t>
                  </w:r>
                  <w:r>
                    <w:rPr>
                      <w:rFonts w:hint="eastAsia"/>
                      <w:color w:val="auto"/>
                      <w:highlight w:val="none"/>
                      <w:lang w:eastAsia="zh-CN"/>
                    </w:rPr>
                    <w:t>极限值</w:t>
                  </w:r>
                </w:p>
              </w:tc>
              <w:tc>
                <w:tcPr>
                  <w:tcW w:w="785" w:type="pct"/>
                  <w:noWrap w:val="0"/>
                  <w:vAlign w:val="center"/>
                </w:tcPr>
                <w:p w14:paraId="763CAE53">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highlight w:val="none"/>
                    </w:rPr>
                  </w:pPr>
                  <w:r>
                    <w:rPr>
                      <w:rFonts w:hint="eastAsia"/>
                      <w:color w:val="auto"/>
                      <w:highlight w:val="none"/>
                      <w:lang w:val="en-US" w:eastAsia="zh-CN"/>
                    </w:rPr>
                    <w:t>m</w:t>
                  </w:r>
                </w:p>
              </w:tc>
              <w:tc>
                <w:tcPr>
                  <w:tcW w:w="1964" w:type="pct"/>
                  <w:gridSpan w:val="2"/>
                  <w:noWrap w:val="0"/>
                  <w:vAlign w:val="center"/>
                </w:tcPr>
                <w:p w14:paraId="663FA30C">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highlight w:val="none"/>
                      <w:lang w:val="en-US" w:eastAsia="zh-CN"/>
                    </w:rPr>
                  </w:pPr>
                  <w:r>
                    <w:rPr>
                      <w:rFonts w:hint="eastAsia"/>
                      <w:color w:val="auto"/>
                      <w:highlight w:val="none"/>
                      <w:lang w:val="en-US" w:eastAsia="zh-CN"/>
                    </w:rPr>
                    <w:t>250/100</w:t>
                  </w:r>
                </w:p>
              </w:tc>
            </w:tr>
            <w:tr w14:paraId="135D8D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1"/>
                <w:wAfter w:w="35" w:type="pct"/>
                <w:trHeight w:val="397" w:hRule="atLeast"/>
                <w:jc w:val="right"/>
              </w:trPr>
              <w:tc>
                <w:tcPr>
                  <w:tcW w:w="444" w:type="pct"/>
                  <w:noWrap w:val="0"/>
                  <w:vAlign w:val="center"/>
                </w:tcPr>
                <w:p w14:paraId="42394612">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lang w:val="en-US" w:eastAsia="zh-CN"/>
                    </w:rPr>
                  </w:pPr>
                  <w:r>
                    <w:rPr>
                      <w:rFonts w:hint="eastAsia"/>
                      <w:color w:val="auto"/>
                      <w:lang w:val="en-US" w:eastAsia="zh-CN"/>
                    </w:rPr>
                    <w:t>13</w:t>
                  </w:r>
                </w:p>
              </w:tc>
              <w:tc>
                <w:tcPr>
                  <w:tcW w:w="1770" w:type="pct"/>
                  <w:noWrap w:val="0"/>
                  <w:vAlign w:val="center"/>
                </w:tcPr>
                <w:p w14:paraId="5B1222BA">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highlight w:val="none"/>
                    </w:rPr>
                  </w:pPr>
                  <w:r>
                    <w:rPr>
                      <w:color w:val="auto"/>
                      <w:highlight w:val="none"/>
                    </w:rPr>
                    <w:t>凹型竖曲线最小半径</w:t>
                  </w:r>
                  <w:r>
                    <w:rPr>
                      <w:rFonts w:hint="eastAsia"/>
                      <w:color w:val="auto"/>
                      <w:highlight w:val="none"/>
                      <w:lang w:eastAsia="zh-CN"/>
                    </w:rPr>
                    <w:t>一般值</w:t>
                  </w:r>
                </w:p>
              </w:tc>
              <w:tc>
                <w:tcPr>
                  <w:tcW w:w="785" w:type="pct"/>
                  <w:noWrap w:val="0"/>
                  <w:vAlign w:val="center"/>
                </w:tcPr>
                <w:p w14:paraId="020240BB">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highlight w:val="none"/>
                    </w:rPr>
                  </w:pPr>
                  <w:r>
                    <w:rPr>
                      <w:rFonts w:hint="eastAsia"/>
                      <w:color w:val="auto"/>
                      <w:highlight w:val="none"/>
                      <w:lang w:val="en-US" w:eastAsia="zh-CN"/>
                    </w:rPr>
                    <w:t>m</w:t>
                  </w:r>
                </w:p>
              </w:tc>
              <w:tc>
                <w:tcPr>
                  <w:tcW w:w="1964" w:type="pct"/>
                  <w:gridSpan w:val="2"/>
                  <w:noWrap w:val="0"/>
                  <w:vAlign w:val="center"/>
                </w:tcPr>
                <w:p w14:paraId="5E9EF84F">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none"/>
                      <w:lang w:val="en-US" w:eastAsia="zh-CN"/>
                    </w:rPr>
                  </w:pPr>
                  <w:r>
                    <w:rPr>
                      <w:rFonts w:hint="eastAsia"/>
                      <w:color w:val="auto"/>
                      <w:highlight w:val="none"/>
                      <w:lang w:val="en-US" w:eastAsia="zh-CN"/>
                    </w:rPr>
                    <w:t>400/200</w:t>
                  </w:r>
                </w:p>
              </w:tc>
            </w:tr>
            <w:tr w14:paraId="0480A3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1"/>
                <w:wAfter w:w="35" w:type="pct"/>
                <w:trHeight w:val="397" w:hRule="atLeast"/>
                <w:jc w:val="right"/>
              </w:trPr>
              <w:tc>
                <w:tcPr>
                  <w:tcW w:w="444" w:type="pct"/>
                  <w:noWrap w:val="0"/>
                  <w:vAlign w:val="center"/>
                </w:tcPr>
                <w:p w14:paraId="1E65A60A">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lang w:val="en-US" w:eastAsia="zh-CN"/>
                    </w:rPr>
                  </w:pPr>
                  <w:r>
                    <w:rPr>
                      <w:rFonts w:hint="eastAsia"/>
                      <w:color w:val="auto"/>
                      <w:lang w:val="en-US" w:eastAsia="zh-CN"/>
                    </w:rPr>
                    <w:t>14</w:t>
                  </w:r>
                </w:p>
              </w:tc>
              <w:tc>
                <w:tcPr>
                  <w:tcW w:w="1770" w:type="pct"/>
                  <w:noWrap w:val="0"/>
                  <w:vAlign w:val="center"/>
                </w:tcPr>
                <w:p w14:paraId="28E8207C">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highlight w:val="none"/>
                    </w:rPr>
                  </w:pPr>
                  <w:r>
                    <w:rPr>
                      <w:color w:val="auto"/>
                      <w:highlight w:val="none"/>
                    </w:rPr>
                    <w:t>凹型竖曲线最小半径</w:t>
                  </w:r>
                  <w:r>
                    <w:rPr>
                      <w:rFonts w:hint="eastAsia"/>
                      <w:color w:val="auto"/>
                      <w:highlight w:val="none"/>
                      <w:lang w:eastAsia="zh-CN"/>
                    </w:rPr>
                    <w:t>极限值</w:t>
                  </w:r>
                </w:p>
              </w:tc>
              <w:tc>
                <w:tcPr>
                  <w:tcW w:w="785" w:type="pct"/>
                  <w:noWrap w:val="0"/>
                  <w:vAlign w:val="center"/>
                </w:tcPr>
                <w:p w14:paraId="2C8342CC">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color w:val="auto"/>
                      <w:highlight w:val="none"/>
                    </w:rPr>
                  </w:pPr>
                  <w:r>
                    <w:rPr>
                      <w:rFonts w:hint="eastAsia"/>
                      <w:color w:val="auto"/>
                      <w:highlight w:val="none"/>
                      <w:lang w:val="en-US" w:eastAsia="zh-CN"/>
                    </w:rPr>
                    <w:t>m</w:t>
                  </w:r>
                </w:p>
              </w:tc>
              <w:tc>
                <w:tcPr>
                  <w:tcW w:w="1964" w:type="pct"/>
                  <w:gridSpan w:val="2"/>
                  <w:noWrap w:val="0"/>
                  <w:vAlign w:val="center"/>
                </w:tcPr>
                <w:p w14:paraId="1D6A4E41">
                  <w:pPr>
                    <w:pStyle w:val="33"/>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color w:val="auto"/>
                      <w:highlight w:val="none"/>
                      <w:lang w:val="en-US" w:eastAsia="zh-CN"/>
                    </w:rPr>
                  </w:pPr>
                  <w:r>
                    <w:rPr>
                      <w:rFonts w:hint="eastAsia"/>
                      <w:color w:val="auto"/>
                      <w:highlight w:val="none"/>
                      <w:lang w:val="en-US" w:eastAsia="zh-CN"/>
                    </w:rPr>
                    <w:t>250/100</w:t>
                  </w:r>
                </w:p>
              </w:tc>
            </w:tr>
            <w:tr w14:paraId="64E4F6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gridAfter w:val="2"/>
                <w:wAfter w:w="38" w:type="pct"/>
                <w:trHeight w:val="397" w:hRule="atLeast"/>
                <w:jc w:val="right"/>
              </w:trPr>
              <w:tc>
                <w:tcPr>
                  <w:tcW w:w="444" w:type="pct"/>
                  <w:noWrap w:val="0"/>
                  <w:vAlign w:val="center"/>
                </w:tcPr>
                <w:p w14:paraId="3DA0A8F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lang w:val="en-US" w:eastAsia="zh-CN"/>
                    </w:rPr>
                  </w:pPr>
                  <w:r>
                    <w:rPr>
                      <w:rFonts w:hint="eastAsia"/>
                      <w:color w:val="auto"/>
                      <w:lang w:val="en-US" w:eastAsia="zh-CN"/>
                    </w:rPr>
                    <w:t>15</w:t>
                  </w:r>
                </w:p>
              </w:tc>
              <w:tc>
                <w:tcPr>
                  <w:tcW w:w="1770" w:type="pct"/>
                  <w:noWrap w:val="0"/>
                  <w:vAlign w:val="center"/>
                </w:tcPr>
                <w:p w14:paraId="75B06D24">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lang w:eastAsia="zh-CN"/>
                    </w:rPr>
                  </w:pPr>
                  <w:r>
                    <w:rPr>
                      <w:rFonts w:hint="eastAsia"/>
                      <w:color w:val="auto"/>
                      <w:highlight w:val="none"/>
                      <w:lang w:eastAsia="zh-CN"/>
                    </w:rPr>
                    <w:t>停车视距</w:t>
                  </w:r>
                </w:p>
              </w:tc>
              <w:tc>
                <w:tcPr>
                  <w:tcW w:w="785" w:type="pct"/>
                  <w:noWrap w:val="0"/>
                  <w:vAlign w:val="center"/>
                </w:tcPr>
                <w:p w14:paraId="1A17A4E1">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lang w:val="en-US" w:eastAsia="zh-CN"/>
                    </w:rPr>
                  </w:pPr>
                  <w:r>
                    <w:rPr>
                      <w:rFonts w:hint="eastAsia"/>
                      <w:color w:val="auto"/>
                      <w:highlight w:val="none"/>
                      <w:lang w:val="en-US" w:eastAsia="zh-CN"/>
                    </w:rPr>
                    <w:t>m</w:t>
                  </w:r>
                </w:p>
              </w:tc>
              <w:tc>
                <w:tcPr>
                  <w:tcW w:w="1960" w:type="pct"/>
                  <w:noWrap w:val="0"/>
                  <w:vAlign w:val="center"/>
                </w:tcPr>
                <w:p w14:paraId="3BE33B29">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highlight w:val="none"/>
                      <w:lang w:val="en-US" w:eastAsia="zh-CN"/>
                    </w:rPr>
                  </w:pPr>
                  <w:r>
                    <w:rPr>
                      <w:rFonts w:hint="eastAsia"/>
                      <w:color w:val="auto"/>
                      <w:highlight w:val="none"/>
                      <w:lang w:val="en-US" w:eastAsia="zh-CN"/>
                    </w:rPr>
                    <w:t>30/20</w:t>
                  </w:r>
                </w:p>
              </w:tc>
            </w:tr>
            <w:tr w14:paraId="272A0C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right"/>
              </w:trPr>
              <w:tc>
                <w:tcPr>
                  <w:tcW w:w="444" w:type="pct"/>
                  <w:noWrap w:val="0"/>
                  <w:vAlign w:val="center"/>
                </w:tcPr>
                <w:p w14:paraId="17C19723">
                  <w:pPr>
                    <w:pStyle w:val="33"/>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color w:val="auto"/>
                      <w:lang w:val="en-US" w:eastAsia="zh-CN"/>
                    </w:rPr>
                  </w:pPr>
                  <w:r>
                    <w:rPr>
                      <w:rFonts w:hint="eastAsia"/>
                      <w:color w:val="auto"/>
                      <w:lang w:val="en-US" w:eastAsia="zh-CN"/>
                    </w:rPr>
                    <w:t>16</w:t>
                  </w:r>
                </w:p>
              </w:tc>
              <w:tc>
                <w:tcPr>
                  <w:tcW w:w="1770" w:type="pct"/>
                  <w:noWrap w:val="0"/>
                  <w:vAlign w:val="center"/>
                </w:tcPr>
                <w:p w14:paraId="3473F0F5">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color w:val="auto"/>
                      <w:highlight w:val="none"/>
                    </w:rPr>
                    <w:t>汽车荷载等级</w:t>
                  </w:r>
                </w:p>
              </w:tc>
              <w:tc>
                <w:tcPr>
                  <w:tcW w:w="785" w:type="pct"/>
                  <w:noWrap w:val="0"/>
                  <w:vAlign w:val="center"/>
                </w:tcPr>
                <w:p w14:paraId="6781D5A2">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color w:val="auto"/>
                      <w:highlight w:val="none"/>
                    </w:rPr>
                    <w:t>/</w:t>
                  </w:r>
                </w:p>
              </w:tc>
              <w:tc>
                <w:tcPr>
                  <w:tcW w:w="1999" w:type="pct"/>
                  <w:gridSpan w:val="3"/>
                  <w:noWrap w:val="0"/>
                  <w:vAlign w:val="center"/>
                </w:tcPr>
                <w:p w14:paraId="4FCDF349">
                  <w:pPr>
                    <w:pStyle w:val="33"/>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color w:val="auto"/>
                      <w:highlight w:val="none"/>
                    </w:rPr>
                    <w:t>公路-</w:t>
                  </w:r>
                  <w:r>
                    <w:rPr>
                      <w:rFonts w:hint="default" w:ascii="Times New Roman" w:hAnsi="Times New Roman" w:cs="Times New Roman"/>
                      <w:color w:val="auto"/>
                      <w:highlight w:val="none"/>
                    </w:rPr>
                    <w:t>Ⅱ</w:t>
                  </w:r>
                  <w:r>
                    <w:rPr>
                      <w:color w:val="auto"/>
                      <w:highlight w:val="none"/>
                    </w:rPr>
                    <w:t>级</w:t>
                  </w:r>
                </w:p>
              </w:tc>
            </w:tr>
          </w:tbl>
          <w:p w14:paraId="039FADE8">
            <w:pPr>
              <w:ind w:firstLine="480"/>
              <w:rPr>
                <w:rFonts w:hint="eastAsia"/>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rFonts w:hint="eastAsia"/>
                <w:color w:val="auto"/>
              </w:rPr>
              <w:t>交通量预测</w:t>
            </w:r>
          </w:p>
          <w:p w14:paraId="43F8B378">
            <w:pPr>
              <w:ind w:firstLine="480"/>
              <w:rPr>
                <w:rFonts w:hint="eastAsia"/>
                <w:color w:val="auto"/>
              </w:rPr>
            </w:pPr>
            <w:r>
              <w:rPr>
                <w:color w:val="auto"/>
              </w:rPr>
              <w:t>本评价交通量采用可行性研究报告中提供的设计交通量，</w:t>
            </w:r>
            <w:r>
              <w:rPr>
                <w:rFonts w:hint="eastAsia"/>
                <w:color w:val="auto"/>
                <w:lang w:val="en-US" w:eastAsia="zh-CN"/>
              </w:rPr>
              <w:t>根据</w:t>
            </w:r>
            <w:r>
              <w:rPr>
                <w:rFonts w:hint="eastAsia"/>
                <w:color w:val="auto"/>
                <w:sz w:val="24"/>
                <w:szCs w:val="24"/>
                <w:highlight w:val="none"/>
                <w:lang w:eastAsia="zh-CN"/>
              </w:rPr>
              <w:t>《环境影响评价技术导则</w:t>
            </w:r>
            <w:r>
              <w:rPr>
                <w:rFonts w:hint="eastAsia"/>
                <w:color w:val="auto"/>
                <w:sz w:val="24"/>
                <w:szCs w:val="24"/>
                <w:highlight w:val="none"/>
                <w:lang w:val="en-US" w:eastAsia="zh-CN"/>
              </w:rPr>
              <w:t xml:space="preserve"> 公路建设项目</w:t>
            </w:r>
            <w:r>
              <w:rPr>
                <w:rFonts w:hint="eastAsia"/>
                <w:color w:val="auto"/>
                <w:sz w:val="24"/>
                <w:szCs w:val="24"/>
                <w:highlight w:val="none"/>
                <w:lang w:eastAsia="zh-CN"/>
              </w:rPr>
              <w:t>》（</w:t>
            </w:r>
            <w:r>
              <w:rPr>
                <w:rFonts w:hint="eastAsia"/>
                <w:color w:val="auto"/>
                <w:sz w:val="24"/>
                <w:szCs w:val="24"/>
                <w:highlight w:val="none"/>
                <w:lang w:val="en-US" w:eastAsia="zh-CN"/>
              </w:rPr>
              <w:t>HJ1358-2024</w:t>
            </w:r>
            <w:r>
              <w:rPr>
                <w:rFonts w:hint="eastAsia"/>
                <w:color w:val="auto"/>
                <w:sz w:val="24"/>
                <w:szCs w:val="24"/>
                <w:highlight w:val="none"/>
                <w:lang w:eastAsia="zh-CN"/>
              </w:rPr>
              <w:t>）附录</w:t>
            </w:r>
            <w:r>
              <w:rPr>
                <w:rFonts w:hint="eastAsia"/>
                <w:color w:val="auto"/>
                <w:sz w:val="24"/>
                <w:szCs w:val="24"/>
                <w:highlight w:val="none"/>
                <w:lang w:val="en-US" w:eastAsia="zh-CN"/>
              </w:rPr>
              <w:t>B.1进行车型分类及车辆折算系数，</w:t>
            </w:r>
            <w:r>
              <w:rPr>
                <w:rFonts w:hint="eastAsia"/>
                <w:color w:val="auto"/>
              </w:rPr>
              <w:t>本项目交通量情况见表2-</w:t>
            </w:r>
            <w:r>
              <w:rPr>
                <w:color w:val="auto"/>
              </w:rPr>
              <w:t>3</w:t>
            </w:r>
            <w:r>
              <w:rPr>
                <w:rFonts w:hint="eastAsia"/>
                <w:color w:val="auto"/>
              </w:rPr>
              <w:t>至表2-8。</w:t>
            </w:r>
          </w:p>
          <w:p w14:paraId="19C15AA2">
            <w:pPr>
              <w:pStyle w:val="28"/>
              <w:rPr>
                <w:rFonts w:hint="eastAsia"/>
                <w:color w:val="auto"/>
                <w:highlight w:val="none"/>
                <w:lang w:eastAsia="zh-CN"/>
              </w:rPr>
            </w:pPr>
            <w:r>
              <w:rPr>
                <w:color w:val="auto"/>
                <w:highlight w:val="none"/>
              </w:rPr>
              <w:t>表2-</w:t>
            </w:r>
            <w:r>
              <w:rPr>
                <w:rFonts w:hint="eastAsia"/>
                <w:color w:val="auto"/>
                <w:highlight w:val="none"/>
                <w:lang w:val="en-US" w:eastAsia="zh-CN"/>
              </w:rPr>
              <w:t>3</w:t>
            </w:r>
            <w:r>
              <w:rPr>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可行性研究报告设计交通量</w:t>
            </w:r>
          </w:p>
          <w:tbl>
            <w:tblPr>
              <w:tblStyle w:val="1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2468"/>
              <w:gridCol w:w="1687"/>
              <w:gridCol w:w="1687"/>
              <w:gridCol w:w="1689"/>
            </w:tblGrid>
            <w:tr w14:paraId="723465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1638" w:type="pct"/>
                  <w:vMerge w:val="restart"/>
                  <w:noWrap w:val="0"/>
                  <w:vAlign w:val="center"/>
                </w:tcPr>
                <w:p w14:paraId="21C6E033">
                  <w:pPr>
                    <w:pStyle w:val="29"/>
                    <w:rPr>
                      <w:color w:val="auto"/>
                    </w:rPr>
                  </w:pPr>
                  <w:r>
                    <w:rPr>
                      <w:color w:val="auto"/>
                    </w:rPr>
                    <w:t>路段</w:t>
                  </w:r>
                </w:p>
              </w:tc>
              <w:tc>
                <w:tcPr>
                  <w:tcW w:w="3361" w:type="pct"/>
                  <w:gridSpan w:val="3"/>
                  <w:noWrap w:val="0"/>
                  <w:vAlign w:val="center"/>
                </w:tcPr>
                <w:p w14:paraId="61D4ECB9">
                  <w:pPr>
                    <w:pStyle w:val="29"/>
                    <w:rPr>
                      <w:color w:val="auto"/>
                    </w:rPr>
                  </w:pPr>
                  <w:r>
                    <w:rPr>
                      <w:color w:val="auto"/>
                    </w:rPr>
                    <w:t>单位：PCU/d</w:t>
                  </w:r>
                </w:p>
              </w:tc>
            </w:tr>
            <w:tr w14:paraId="2BFCC3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38" w:type="pct"/>
                  <w:vMerge w:val="continue"/>
                  <w:noWrap w:val="0"/>
                  <w:vAlign w:val="center"/>
                </w:tcPr>
                <w:p w14:paraId="753FA18F">
                  <w:pPr>
                    <w:pStyle w:val="29"/>
                    <w:rPr>
                      <w:color w:val="auto"/>
                    </w:rPr>
                  </w:pPr>
                </w:p>
              </w:tc>
              <w:tc>
                <w:tcPr>
                  <w:tcW w:w="1120" w:type="pct"/>
                  <w:noWrap w:val="0"/>
                  <w:vAlign w:val="center"/>
                </w:tcPr>
                <w:p w14:paraId="1273CB45">
                  <w:pPr>
                    <w:pStyle w:val="29"/>
                    <w:rPr>
                      <w:color w:val="auto"/>
                    </w:rPr>
                  </w:pPr>
                  <w:r>
                    <w:rPr>
                      <w:color w:val="auto"/>
                    </w:rPr>
                    <w:t>202</w:t>
                  </w:r>
                  <w:r>
                    <w:rPr>
                      <w:rFonts w:hint="eastAsia"/>
                      <w:color w:val="auto"/>
                      <w:lang w:val="en-US" w:eastAsia="zh-CN"/>
                    </w:rPr>
                    <w:t>7</w:t>
                  </w:r>
                  <w:r>
                    <w:rPr>
                      <w:color w:val="auto"/>
                    </w:rPr>
                    <w:t>年</w:t>
                  </w:r>
                </w:p>
              </w:tc>
              <w:tc>
                <w:tcPr>
                  <w:tcW w:w="1120" w:type="pct"/>
                  <w:noWrap w:val="0"/>
                  <w:vAlign w:val="center"/>
                </w:tcPr>
                <w:p w14:paraId="556F1C7C">
                  <w:pPr>
                    <w:pStyle w:val="29"/>
                    <w:rPr>
                      <w:color w:val="auto"/>
                    </w:rPr>
                  </w:pPr>
                  <w:r>
                    <w:rPr>
                      <w:color w:val="auto"/>
                    </w:rPr>
                    <w:t>20</w:t>
                  </w:r>
                  <w:r>
                    <w:rPr>
                      <w:rFonts w:hint="eastAsia"/>
                      <w:color w:val="auto"/>
                      <w:lang w:val="en-US" w:eastAsia="zh-CN"/>
                    </w:rPr>
                    <w:t>33</w:t>
                  </w:r>
                  <w:r>
                    <w:rPr>
                      <w:color w:val="auto"/>
                    </w:rPr>
                    <w:t>年</w:t>
                  </w:r>
                </w:p>
              </w:tc>
              <w:tc>
                <w:tcPr>
                  <w:tcW w:w="1121" w:type="pct"/>
                  <w:noWrap w:val="0"/>
                  <w:vAlign w:val="center"/>
                </w:tcPr>
                <w:p w14:paraId="07C031D9">
                  <w:pPr>
                    <w:pStyle w:val="29"/>
                    <w:rPr>
                      <w:rFonts w:hint="default" w:eastAsia="宋体"/>
                      <w:color w:val="auto"/>
                      <w:lang w:val="en-US" w:eastAsia="zh-CN"/>
                    </w:rPr>
                  </w:pPr>
                  <w:r>
                    <w:rPr>
                      <w:rFonts w:hint="eastAsia"/>
                      <w:color w:val="auto"/>
                      <w:lang w:val="en-US" w:eastAsia="zh-CN"/>
                    </w:rPr>
                    <w:t>2041年</w:t>
                  </w:r>
                </w:p>
              </w:tc>
            </w:tr>
            <w:tr w14:paraId="3E8AC6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971" w:type="dxa"/>
                  <w:noWrap w:val="0"/>
                  <w:vAlign w:val="center"/>
                </w:tcPr>
                <w:p w14:paraId="5697D7E8">
                  <w:pPr>
                    <w:pStyle w:val="29"/>
                    <w:ind w:firstLine="0" w:firstLineChars="0"/>
                    <w:rPr>
                      <w:rFonts w:hint="eastAsia"/>
                      <w:color w:val="auto"/>
                      <w:lang w:val="en-US" w:eastAsia="zh-CN"/>
                    </w:rPr>
                  </w:pPr>
                  <w:r>
                    <w:rPr>
                      <w:rFonts w:hint="eastAsia"/>
                      <w:color w:val="auto"/>
                      <w:highlight w:val="none"/>
                      <w:lang w:eastAsia="zh-CN"/>
                    </w:rPr>
                    <w:t>三级公路（</w:t>
                  </w:r>
                  <w:r>
                    <w:rPr>
                      <w:rFonts w:hint="eastAsia"/>
                      <w:color w:val="auto"/>
                      <w:szCs w:val="21"/>
                      <w:lang w:val="en-US" w:eastAsia="zh-CN"/>
                    </w:rPr>
                    <w:t>K12+391</w:t>
                  </w:r>
                  <w:r>
                    <w:rPr>
                      <w:rFonts w:hint="eastAsia"/>
                      <w:color w:val="auto"/>
                      <w:szCs w:val="21"/>
                      <w:lang w:eastAsia="zh-CN"/>
                    </w:rPr>
                    <w:t>～</w:t>
                  </w:r>
                  <w:r>
                    <w:rPr>
                      <w:rFonts w:hint="eastAsia"/>
                      <w:color w:val="auto"/>
                      <w:szCs w:val="21"/>
                      <w:lang w:val="en-US" w:eastAsia="zh-CN"/>
                    </w:rPr>
                    <w:t>K48+240</w:t>
                  </w:r>
                  <w:r>
                    <w:rPr>
                      <w:rFonts w:hint="eastAsia"/>
                      <w:color w:val="auto"/>
                      <w:highlight w:val="none"/>
                      <w:lang w:eastAsia="zh-CN"/>
                    </w:rPr>
                    <w:t>）</w:t>
                  </w:r>
                </w:p>
              </w:tc>
              <w:tc>
                <w:tcPr>
                  <w:tcW w:w="2032" w:type="dxa"/>
                  <w:noWrap w:val="0"/>
                  <w:vAlign w:val="center"/>
                </w:tcPr>
                <w:p w14:paraId="4279736D">
                  <w:pPr>
                    <w:pStyle w:val="29"/>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1356</w:t>
                  </w:r>
                </w:p>
              </w:tc>
              <w:tc>
                <w:tcPr>
                  <w:tcW w:w="2032" w:type="dxa"/>
                  <w:noWrap w:val="0"/>
                  <w:vAlign w:val="center"/>
                </w:tcPr>
                <w:p w14:paraId="5CA7A3F7">
                  <w:pPr>
                    <w:pStyle w:val="29"/>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1714</w:t>
                  </w:r>
                </w:p>
              </w:tc>
              <w:tc>
                <w:tcPr>
                  <w:tcW w:w="2033" w:type="dxa"/>
                  <w:noWrap w:val="0"/>
                  <w:vAlign w:val="center"/>
                </w:tcPr>
                <w:p w14:paraId="2D086F4D">
                  <w:pPr>
                    <w:pStyle w:val="29"/>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2150</w:t>
                  </w:r>
                </w:p>
              </w:tc>
            </w:tr>
            <w:tr w14:paraId="2045D1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971" w:type="dxa"/>
                  <w:noWrap w:val="0"/>
                  <w:vAlign w:val="center"/>
                </w:tcPr>
                <w:p w14:paraId="0E560363">
                  <w:pPr>
                    <w:pStyle w:val="29"/>
                    <w:ind w:firstLine="0" w:firstLineChars="0"/>
                    <w:rPr>
                      <w:rFonts w:hint="eastAsia"/>
                      <w:color w:val="auto"/>
                      <w:lang w:val="en-US" w:eastAsia="zh-CN"/>
                    </w:rPr>
                  </w:pPr>
                  <w:r>
                    <w:rPr>
                      <w:rFonts w:hint="eastAsia"/>
                      <w:color w:val="auto"/>
                      <w:highlight w:val="none"/>
                      <w:lang w:eastAsia="zh-CN"/>
                    </w:rPr>
                    <w:t>四级公路（</w:t>
                  </w:r>
                  <w:r>
                    <w:rPr>
                      <w:rFonts w:hint="eastAsia"/>
                      <w:color w:val="auto"/>
                      <w:szCs w:val="21"/>
                      <w:lang w:val="en-US" w:eastAsia="zh-CN"/>
                    </w:rPr>
                    <w:t>K48+240</w:t>
                  </w:r>
                  <w:r>
                    <w:rPr>
                      <w:rFonts w:hint="eastAsia"/>
                      <w:color w:val="auto"/>
                      <w:szCs w:val="21"/>
                      <w:lang w:eastAsia="zh-CN"/>
                    </w:rPr>
                    <w:t>～</w:t>
                  </w:r>
                  <w:r>
                    <w:rPr>
                      <w:rFonts w:hint="eastAsia"/>
                      <w:color w:val="auto"/>
                      <w:szCs w:val="21"/>
                      <w:lang w:val="en-US" w:eastAsia="zh-CN"/>
                    </w:rPr>
                    <w:t>K55+161</w:t>
                  </w:r>
                  <w:r>
                    <w:rPr>
                      <w:rFonts w:hint="eastAsia"/>
                      <w:color w:val="auto"/>
                      <w:highlight w:val="none"/>
                      <w:lang w:eastAsia="zh-CN"/>
                    </w:rPr>
                    <w:t>）</w:t>
                  </w:r>
                </w:p>
              </w:tc>
              <w:tc>
                <w:tcPr>
                  <w:tcW w:w="2032" w:type="dxa"/>
                  <w:noWrap w:val="0"/>
                  <w:vAlign w:val="center"/>
                </w:tcPr>
                <w:p w14:paraId="74D15C7E">
                  <w:pPr>
                    <w:pStyle w:val="29"/>
                    <w:ind w:firstLine="0" w:firstLineChars="0"/>
                    <w:rPr>
                      <w:rFonts w:hint="eastAsia" w:ascii="Times New Roman" w:hAnsi="Times New Roman" w:cs="Times New Roman"/>
                      <w:color w:val="auto"/>
                      <w:highlight w:val="none"/>
                      <w:lang w:val="en-US" w:eastAsia="zh-CN"/>
                    </w:rPr>
                  </w:pPr>
                  <w:r>
                    <w:rPr>
                      <w:rFonts w:hint="eastAsia" w:cs="Times New Roman"/>
                      <w:color w:val="auto"/>
                      <w:highlight w:val="none"/>
                      <w:lang w:val="en-US" w:eastAsia="zh-CN"/>
                    </w:rPr>
                    <w:t>460</w:t>
                  </w:r>
                </w:p>
              </w:tc>
              <w:tc>
                <w:tcPr>
                  <w:tcW w:w="2032" w:type="dxa"/>
                  <w:noWrap w:val="0"/>
                  <w:vAlign w:val="center"/>
                </w:tcPr>
                <w:p w14:paraId="75E64223">
                  <w:pPr>
                    <w:pStyle w:val="29"/>
                    <w:ind w:firstLine="0" w:firstLineChars="0"/>
                    <w:rPr>
                      <w:rFonts w:hint="eastAsia" w:ascii="Times New Roman" w:hAnsi="Times New Roman" w:cs="Times New Roman"/>
                      <w:color w:val="auto"/>
                      <w:highlight w:val="none"/>
                      <w:lang w:val="en-US" w:eastAsia="zh-CN"/>
                    </w:rPr>
                  </w:pPr>
                  <w:r>
                    <w:rPr>
                      <w:rFonts w:hint="eastAsia" w:cs="Times New Roman"/>
                      <w:color w:val="auto"/>
                      <w:highlight w:val="none"/>
                      <w:lang w:val="en-US" w:eastAsia="zh-CN"/>
                    </w:rPr>
                    <w:t>582</w:t>
                  </w:r>
                </w:p>
              </w:tc>
              <w:tc>
                <w:tcPr>
                  <w:tcW w:w="2033" w:type="dxa"/>
                  <w:noWrap w:val="0"/>
                  <w:vAlign w:val="center"/>
                </w:tcPr>
                <w:p w14:paraId="1B3B94A0">
                  <w:pPr>
                    <w:pStyle w:val="29"/>
                    <w:ind w:firstLine="0" w:firstLineChars="0"/>
                    <w:rPr>
                      <w:rFonts w:hint="eastAsia" w:ascii="Times New Roman" w:hAnsi="Times New Roman" w:cs="Times New Roman"/>
                      <w:color w:val="auto"/>
                      <w:highlight w:val="none"/>
                      <w:lang w:val="en-US" w:eastAsia="zh-CN"/>
                    </w:rPr>
                  </w:pPr>
                  <w:r>
                    <w:rPr>
                      <w:rFonts w:hint="eastAsia" w:cs="Times New Roman"/>
                      <w:color w:val="auto"/>
                      <w:highlight w:val="none"/>
                      <w:lang w:val="en-US" w:eastAsia="zh-CN"/>
                    </w:rPr>
                    <w:t>730</w:t>
                  </w:r>
                </w:p>
              </w:tc>
            </w:tr>
          </w:tbl>
          <w:p w14:paraId="2995DC9C">
            <w:pPr>
              <w:keepNext w:val="0"/>
              <w:keepLines w:val="0"/>
              <w:pageBreakBefore w:val="0"/>
              <w:widowControl w:val="0"/>
              <w:kinsoku/>
              <w:wordWrap/>
              <w:overflowPunct/>
              <w:topLinePunct w:val="0"/>
              <w:autoSpaceDE/>
              <w:autoSpaceDN/>
              <w:bidi w:val="0"/>
              <w:adjustRightInd/>
              <w:snapToGrid/>
              <w:spacing w:before="175" w:beforeLines="50" w:line="360" w:lineRule="auto"/>
              <w:ind w:firstLine="0" w:firstLineChars="0"/>
              <w:jc w:val="center"/>
              <w:textAlignment w:val="auto"/>
              <w:rPr>
                <w:rFonts w:hint="eastAsia" w:ascii="Times New Roman" w:hAnsi="Times New Roman" w:eastAsia="黑体" w:cs="Times New Roman"/>
                <w:color w:val="auto"/>
                <w:kern w:val="2"/>
                <w:sz w:val="24"/>
                <w:szCs w:val="24"/>
                <w:lang w:val="en-US" w:eastAsia="zh-CN" w:bidi="ar-SA"/>
              </w:rPr>
            </w:pPr>
            <w:r>
              <w:rPr>
                <w:rFonts w:hint="eastAsia" w:ascii="Times New Roman" w:hAnsi="Times New Roman" w:eastAsia="黑体" w:cs="Times New Roman"/>
                <w:color w:val="auto"/>
                <w:kern w:val="2"/>
                <w:sz w:val="24"/>
                <w:szCs w:val="24"/>
                <w:lang w:val="en-US" w:eastAsia="zh-CN" w:bidi="ar-SA"/>
              </w:rPr>
              <w:t>表2-</w:t>
            </w:r>
            <w:r>
              <w:rPr>
                <w:rFonts w:hint="eastAsia" w:eastAsia="黑体" w:cs="Times New Roman"/>
                <w:color w:val="auto"/>
                <w:kern w:val="2"/>
                <w:sz w:val="24"/>
                <w:szCs w:val="24"/>
                <w:lang w:val="en-US" w:eastAsia="zh-CN" w:bidi="ar-SA"/>
              </w:rPr>
              <w:t>4</w:t>
            </w:r>
            <w:r>
              <w:rPr>
                <w:rFonts w:hint="eastAsia" w:ascii="Times New Roman" w:hAnsi="Times New Roman" w:eastAsia="黑体" w:cs="Times New Roman"/>
                <w:color w:val="auto"/>
                <w:kern w:val="2"/>
                <w:sz w:val="24"/>
                <w:szCs w:val="24"/>
                <w:lang w:val="en-US" w:eastAsia="zh-CN" w:bidi="ar-SA"/>
              </w:rPr>
              <w:t xml:space="preserve">  车型标准（折算）</w:t>
            </w:r>
          </w:p>
          <w:tbl>
            <w:tblPr>
              <w:tblStyle w:val="18"/>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74"/>
              <w:gridCol w:w="1440"/>
              <w:gridCol w:w="1438"/>
              <w:gridCol w:w="3779"/>
            </w:tblGrid>
            <w:tr w14:paraId="42ACF2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noWrap w:val="0"/>
                  <w:vAlign w:val="center"/>
                </w:tcPr>
                <w:p w14:paraId="016F2156">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车型</w:t>
                  </w:r>
                </w:p>
              </w:tc>
              <w:tc>
                <w:tcPr>
                  <w:tcW w:w="956" w:type="pct"/>
                  <w:noWrap w:val="0"/>
                  <w:vAlign w:val="center"/>
                </w:tcPr>
                <w:p w14:paraId="2B5516A8">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汽车</w:t>
                  </w:r>
                  <w:r>
                    <w:rPr>
                      <w:rFonts w:ascii="Times New Roman" w:hAnsi="Times New Roman" w:eastAsia="宋体" w:cs="Times New Roman"/>
                      <w:color w:val="auto"/>
                      <w:kern w:val="0"/>
                      <w:sz w:val="21"/>
                      <w:szCs w:val="21"/>
                    </w:rPr>
                    <w:t>代表车型</w:t>
                  </w:r>
                </w:p>
              </w:tc>
              <w:tc>
                <w:tcPr>
                  <w:tcW w:w="955" w:type="pct"/>
                  <w:noWrap w:val="0"/>
                  <w:vAlign w:val="center"/>
                </w:tcPr>
                <w:p w14:paraId="3FD05E11">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车辆</w:t>
                  </w:r>
                  <w:r>
                    <w:rPr>
                      <w:rFonts w:ascii="Times New Roman" w:hAnsi="Times New Roman" w:eastAsia="宋体" w:cs="Times New Roman"/>
                      <w:color w:val="auto"/>
                      <w:kern w:val="0"/>
                      <w:sz w:val="21"/>
                      <w:szCs w:val="21"/>
                    </w:rPr>
                    <w:t>折算系数</w:t>
                  </w:r>
                </w:p>
              </w:tc>
              <w:tc>
                <w:tcPr>
                  <w:tcW w:w="2509" w:type="pct"/>
                  <w:noWrap w:val="0"/>
                  <w:vAlign w:val="center"/>
                </w:tcPr>
                <w:p w14:paraId="6386FFCD">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车型</w:t>
                  </w:r>
                  <w:r>
                    <w:rPr>
                      <w:rFonts w:ascii="Times New Roman" w:hAnsi="Times New Roman" w:eastAsia="宋体" w:cs="Times New Roman"/>
                      <w:color w:val="auto"/>
                      <w:kern w:val="0"/>
                      <w:sz w:val="21"/>
                      <w:szCs w:val="21"/>
                    </w:rPr>
                    <w:t>划分标准</w:t>
                  </w:r>
                </w:p>
              </w:tc>
            </w:tr>
            <w:tr w14:paraId="766FE8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noWrap w:val="0"/>
                  <w:vAlign w:val="center"/>
                </w:tcPr>
                <w:p w14:paraId="71C3FD79">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小</w:t>
                  </w:r>
                </w:p>
              </w:tc>
              <w:tc>
                <w:tcPr>
                  <w:tcW w:w="956" w:type="pct"/>
                  <w:noWrap w:val="0"/>
                  <w:vAlign w:val="center"/>
                </w:tcPr>
                <w:p w14:paraId="0254DBF5">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小客车</w:t>
                  </w:r>
                </w:p>
              </w:tc>
              <w:tc>
                <w:tcPr>
                  <w:tcW w:w="955" w:type="pct"/>
                  <w:noWrap w:val="0"/>
                  <w:vAlign w:val="center"/>
                </w:tcPr>
                <w:p w14:paraId="1B44DA06">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r>
                    <w:rPr>
                      <w:rFonts w:hint="eastAsia" w:ascii="Times New Roman" w:hAnsi="Times New Roman" w:eastAsia="宋体" w:cs="Times New Roman"/>
                      <w:color w:val="auto"/>
                      <w:kern w:val="0"/>
                      <w:sz w:val="21"/>
                      <w:szCs w:val="21"/>
                    </w:rPr>
                    <w:t>.0</w:t>
                  </w:r>
                </w:p>
              </w:tc>
              <w:tc>
                <w:tcPr>
                  <w:tcW w:w="2509" w:type="pct"/>
                  <w:noWrap w:val="0"/>
                  <w:vAlign w:val="center"/>
                </w:tcPr>
                <w:p w14:paraId="6C8A3E31">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座位</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19座的客车和载质量</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2t货车</w:t>
                  </w:r>
                </w:p>
              </w:tc>
            </w:tr>
            <w:tr w14:paraId="569BE26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noWrap w:val="0"/>
                  <w:vAlign w:val="center"/>
                </w:tcPr>
                <w:p w14:paraId="67BC6E54">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中</w:t>
                  </w:r>
                </w:p>
              </w:tc>
              <w:tc>
                <w:tcPr>
                  <w:tcW w:w="956" w:type="pct"/>
                  <w:noWrap w:val="0"/>
                  <w:vAlign w:val="center"/>
                </w:tcPr>
                <w:p w14:paraId="79826F77">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中型车</w:t>
                  </w:r>
                </w:p>
              </w:tc>
              <w:tc>
                <w:tcPr>
                  <w:tcW w:w="955" w:type="pct"/>
                  <w:noWrap w:val="0"/>
                  <w:vAlign w:val="center"/>
                </w:tcPr>
                <w:p w14:paraId="59E3E159">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1.5</w:t>
                  </w:r>
                </w:p>
              </w:tc>
              <w:tc>
                <w:tcPr>
                  <w:tcW w:w="2509" w:type="pct"/>
                  <w:noWrap w:val="0"/>
                  <w:vAlign w:val="center"/>
                </w:tcPr>
                <w:p w14:paraId="0AC2F77D">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座位</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19座的客车和2t</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载质量</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7t货车</w:t>
                  </w:r>
                </w:p>
              </w:tc>
            </w:tr>
            <w:tr w14:paraId="7AE2C0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vMerge w:val="restart"/>
                  <w:noWrap w:val="0"/>
                  <w:vAlign w:val="center"/>
                </w:tcPr>
                <w:p w14:paraId="62996F8F">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w:t>
                  </w:r>
                </w:p>
              </w:tc>
              <w:tc>
                <w:tcPr>
                  <w:tcW w:w="956" w:type="pct"/>
                  <w:noWrap w:val="0"/>
                  <w:vAlign w:val="center"/>
                </w:tcPr>
                <w:p w14:paraId="7AAAE8BD">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大型车</w:t>
                  </w:r>
                </w:p>
              </w:tc>
              <w:tc>
                <w:tcPr>
                  <w:tcW w:w="955" w:type="pct"/>
                  <w:noWrap w:val="0"/>
                  <w:vAlign w:val="center"/>
                </w:tcPr>
                <w:p w14:paraId="2F0678A6">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2.5</w:t>
                  </w:r>
                </w:p>
              </w:tc>
              <w:tc>
                <w:tcPr>
                  <w:tcW w:w="2509" w:type="pct"/>
                  <w:noWrap w:val="0"/>
                  <w:vAlign w:val="center"/>
                </w:tcPr>
                <w:p w14:paraId="2E603DCD">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7t</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载质量</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20t货车</w:t>
                  </w:r>
                </w:p>
              </w:tc>
            </w:tr>
            <w:tr w14:paraId="2CCB0DA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vMerge w:val="continue"/>
                  <w:noWrap w:val="0"/>
                  <w:vAlign w:val="center"/>
                </w:tcPr>
                <w:p w14:paraId="23D7ECB2">
                  <w:pPr>
                    <w:widowControl/>
                    <w:spacing w:line="240" w:lineRule="auto"/>
                    <w:ind w:firstLine="0" w:firstLineChars="0"/>
                    <w:jc w:val="center"/>
                    <w:rPr>
                      <w:rFonts w:ascii="Times New Roman" w:hAnsi="Times New Roman" w:eastAsia="宋体" w:cs="Times New Roman"/>
                      <w:color w:val="auto"/>
                      <w:kern w:val="0"/>
                      <w:sz w:val="21"/>
                      <w:szCs w:val="21"/>
                    </w:rPr>
                  </w:pPr>
                </w:p>
              </w:tc>
              <w:tc>
                <w:tcPr>
                  <w:tcW w:w="956" w:type="pct"/>
                  <w:noWrap w:val="0"/>
                  <w:vAlign w:val="center"/>
                </w:tcPr>
                <w:p w14:paraId="19643E03">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汽车</w:t>
                  </w:r>
                  <w:r>
                    <w:rPr>
                      <w:rFonts w:ascii="Times New Roman" w:hAnsi="Times New Roman" w:eastAsia="宋体" w:cs="Times New Roman"/>
                      <w:color w:val="auto"/>
                      <w:kern w:val="0"/>
                      <w:sz w:val="21"/>
                      <w:szCs w:val="21"/>
                    </w:rPr>
                    <w:t>列车</w:t>
                  </w:r>
                </w:p>
              </w:tc>
              <w:tc>
                <w:tcPr>
                  <w:tcW w:w="955" w:type="pct"/>
                  <w:noWrap w:val="0"/>
                  <w:vAlign w:val="center"/>
                </w:tcPr>
                <w:p w14:paraId="49CE4231">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4</w:t>
                  </w:r>
                  <w:r>
                    <w:rPr>
                      <w:rFonts w:hint="eastAsia" w:ascii="Times New Roman" w:hAnsi="Times New Roman" w:eastAsia="宋体" w:cs="Times New Roman"/>
                      <w:color w:val="auto"/>
                      <w:kern w:val="0"/>
                      <w:sz w:val="21"/>
                      <w:szCs w:val="21"/>
                    </w:rPr>
                    <w:t>.0</w:t>
                  </w:r>
                </w:p>
              </w:tc>
              <w:tc>
                <w:tcPr>
                  <w:tcW w:w="2509" w:type="pct"/>
                  <w:noWrap w:val="0"/>
                  <w:vAlign w:val="center"/>
                </w:tcPr>
                <w:p w14:paraId="5BF89555">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载质量</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20t的货车</w:t>
                  </w:r>
                </w:p>
              </w:tc>
            </w:tr>
          </w:tbl>
          <w:p w14:paraId="594088E2">
            <w:pPr>
              <w:pStyle w:val="28"/>
              <w:keepNext w:val="0"/>
              <w:keepLines w:val="0"/>
              <w:pageBreakBefore w:val="0"/>
              <w:widowControl w:val="0"/>
              <w:kinsoku/>
              <w:wordWrap/>
              <w:overflowPunct/>
              <w:topLinePunct w:val="0"/>
              <w:autoSpaceDE/>
              <w:autoSpaceDN/>
              <w:bidi w:val="0"/>
              <w:adjustRightInd/>
              <w:snapToGrid/>
              <w:spacing w:before="175" w:beforeLines="50"/>
              <w:textAlignment w:val="auto"/>
              <w:rPr>
                <w:color w:val="auto"/>
                <w:highlight w:val="none"/>
              </w:rPr>
            </w:pPr>
            <w:r>
              <w:rPr>
                <w:color w:val="auto"/>
                <w:highlight w:val="none"/>
              </w:rPr>
              <w:t>表2-</w:t>
            </w:r>
            <w:r>
              <w:rPr>
                <w:rFonts w:hint="eastAsia"/>
                <w:color w:val="auto"/>
                <w:highlight w:val="none"/>
                <w:lang w:val="en-US" w:eastAsia="zh-CN"/>
              </w:rPr>
              <w:t>5</w:t>
            </w:r>
            <w:r>
              <w:rPr>
                <w:color w:val="auto"/>
                <w:highlight w:val="none"/>
              </w:rPr>
              <w:t xml:space="preserve"> </w:t>
            </w:r>
            <w:r>
              <w:rPr>
                <w:rFonts w:hint="eastAsia"/>
                <w:color w:val="auto"/>
                <w:highlight w:val="none"/>
                <w:lang w:val="en-US" w:eastAsia="zh-CN"/>
              </w:rPr>
              <w:t xml:space="preserve"> 车</w:t>
            </w:r>
            <w:r>
              <w:rPr>
                <w:color w:val="auto"/>
                <w:highlight w:val="none"/>
              </w:rPr>
              <w:t>型比例预测表</w:t>
            </w:r>
          </w:p>
          <w:tbl>
            <w:tblPr>
              <w:tblStyle w:val="18"/>
              <w:tblW w:w="4995"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41"/>
              <w:gridCol w:w="1074"/>
              <w:gridCol w:w="1161"/>
              <w:gridCol w:w="1166"/>
              <w:gridCol w:w="1451"/>
              <w:gridCol w:w="1327"/>
              <w:gridCol w:w="6"/>
            </w:tblGrid>
            <w:tr w14:paraId="7AC7E6C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890" w:type="pct"/>
                  <w:tcBorders>
                    <w:bottom w:val="single" w:color="000000" w:sz="8" w:space="0"/>
                    <w:right w:val="single" w:color="000000" w:sz="8" w:space="0"/>
                  </w:tcBorders>
                  <w:noWrap w:val="0"/>
                  <w:vAlign w:val="center"/>
                </w:tcPr>
                <w:p w14:paraId="5696327A">
                  <w:pPr>
                    <w:keepNext w:val="0"/>
                    <w:keepLines w:val="0"/>
                    <w:pageBreakBefore w:val="0"/>
                    <w:widowControl/>
                    <w:kinsoku/>
                    <w:wordWrap/>
                    <w:overflowPunct/>
                    <w:topLinePunct w:val="0"/>
                    <w:autoSpaceDE/>
                    <w:autoSpaceDN/>
                    <w:bidi w:val="0"/>
                    <w:adjustRightInd/>
                    <w:snapToGrid w:val="0"/>
                    <w:spacing w:line="240" w:lineRule="auto"/>
                    <w:ind w:firstLine="0" w:firstLineChars="0"/>
                    <w:jc w:val="right"/>
                    <w:textAlignment w:val="center"/>
                    <w:rPr>
                      <w:rFonts w:ascii="Times New Roman" w:hAnsi="Times New Roman" w:eastAsia="宋体"/>
                      <w:color w:val="auto"/>
                      <w:sz w:val="21"/>
                      <w:szCs w:val="20"/>
                      <w:highlight w:val="none"/>
                    </w:rPr>
                  </w:pPr>
                  <w:r>
                    <w:rPr>
                      <w:color w:val="auto"/>
                      <w:sz w:val="21"/>
                      <w:highlight w:val="none"/>
                    </w:rPr>
                    <mc:AlternateContent>
                      <mc:Choice Requires="wps">
                        <w:drawing>
                          <wp:anchor distT="0" distB="0" distL="114300" distR="114300" simplePos="0" relativeHeight="251659264" behindDoc="0" locked="0" layoutInCell="1" allowOverlap="1">
                            <wp:simplePos x="0" y="0"/>
                            <wp:positionH relativeFrom="column">
                              <wp:posOffset>-66040</wp:posOffset>
                            </wp:positionH>
                            <wp:positionV relativeFrom="paragraph">
                              <wp:posOffset>-1270</wp:posOffset>
                            </wp:positionV>
                            <wp:extent cx="845820" cy="348615"/>
                            <wp:effectExtent l="1905" t="4445" r="9525" b="8890"/>
                            <wp:wrapNone/>
                            <wp:docPr id="45" name="直接连接符 45"/>
                            <wp:cNvGraphicFramePr/>
                            <a:graphic xmlns:a="http://schemas.openxmlformats.org/drawingml/2006/main">
                              <a:graphicData uri="http://schemas.microsoft.com/office/word/2010/wordprocessingShape">
                                <wps:wsp>
                                  <wps:cNvCnPr/>
                                  <wps:spPr>
                                    <a:xfrm>
                                      <a:off x="0" y="0"/>
                                      <a:ext cx="845820" cy="34861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2pt;margin-top:-0.1pt;height:27.45pt;width:66.6pt;z-index:251659264;mso-width-relative:page;mso-height-relative:page;" filled="f" stroked="t" coordsize="21600,21600" o:gfxdata="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nonCXWAAAACAEAAA8AAAAAAAAAAQAgAAAAIgAAAGRycy9kb3ducmV2Lnht&#10;bFBLAQIUABQAAAAIAIdO4kBiiZla+wEAAOoDAAAOAAAAAAAAAAEAIAAAACUBAABkcnMvZTJvRG9j&#10;LnhtbFBLBQYAAAAABgAGAFkBAACSBQAAAAA=&#10;">
                            <v:fill on="f" focussize="0,0"/>
                            <v:stroke color="#000000" joinstyle="round"/>
                            <v:imagedata o:title=""/>
                            <o:lock v:ext="edit" aspectratio="f"/>
                          </v:line>
                        </w:pict>
                      </mc:Fallback>
                    </mc:AlternateContent>
                  </w:r>
                  <w:r>
                    <w:rPr>
                      <w:rFonts w:hint="eastAsia"/>
                      <w:color w:val="auto"/>
                      <w:sz w:val="21"/>
                      <w:szCs w:val="20"/>
                      <w:highlight w:val="none"/>
                      <w:lang w:eastAsia="zh-CN"/>
                    </w:rPr>
                    <w:t>车型</w:t>
                  </w:r>
                </w:p>
                <w:p w14:paraId="2E6DF266">
                  <w:pPr>
                    <w:keepNext w:val="0"/>
                    <w:keepLines w:val="0"/>
                    <w:pageBreakBefore w:val="0"/>
                    <w:widowControl/>
                    <w:kinsoku/>
                    <w:wordWrap/>
                    <w:overflowPunct/>
                    <w:topLinePunct w:val="0"/>
                    <w:autoSpaceDE/>
                    <w:autoSpaceDN/>
                    <w:bidi w:val="0"/>
                    <w:adjustRightInd/>
                    <w:spacing w:line="240" w:lineRule="auto"/>
                    <w:ind w:firstLine="0" w:firstLineChars="0"/>
                    <w:jc w:val="both"/>
                    <w:textAlignment w:val="center"/>
                    <w:rPr>
                      <w:rFonts w:hint="eastAsia" w:ascii="Times New Roman" w:hAnsi="Times New Roman" w:eastAsia="宋体"/>
                      <w:color w:val="auto"/>
                      <w:sz w:val="21"/>
                      <w:szCs w:val="20"/>
                      <w:highlight w:val="none"/>
                      <w:lang w:eastAsia="zh-CN"/>
                    </w:rPr>
                  </w:pPr>
                  <w:r>
                    <w:rPr>
                      <w:rFonts w:hint="eastAsia"/>
                      <w:color w:val="auto"/>
                      <w:sz w:val="21"/>
                      <w:szCs w:val="20"/>
                      <w:highlight w:val="none"/>
                      <w:lang w:eastAsia="zh-CN"/>
                    </w:rPr>
                    <w:t>年份</w:t>
                  </w:r>
                </w:p>
              </w:tc>
              <w:tc>
                <w:tcPr>
                  <w:tcW w:w="713" w:type="pct"/>
                  <w:tcBorders>
                    <w:left w:val="nil"/>
                    <w:bottom w:val="single" w:color="000000" w:sz="8" w:space="0"/>
                    <w:right w:val="single" w:color="000000" w:sz="8" w:space="0"/>
                  </w:tcBorders>
                  <w:noWrap w:val="0"/>
                  <w:vAlign w:val="center"/>
                </w:tcPr>
                <w:p w14:paraId="2B8C470B">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eastAsia" w:ascii="Times New Roman" w:hAnsi="Times New Roman" w:eastAsia="宋体"/>
                      <w:color w:val="auto"/>
                      <w:sz w:val="21"/>
                      <w:szCs w:val="20"/>
                      <w:highlight w:val="none"/>
                      <w:lang w:eastAsia="zh-CN"/>
                    </w:rPr>
                  </w:pPr>
                  <w:r>
                    <w:rPr>
                      <w:rFonts w:ascii="Times New Roman" w:hAnsi="Times New Roman" w:eastAsia="宋体"/>
                      <w:color w:val="auto"/>
                      <w:kern w:val="0"/>
                      <w:sz w:val="21"/>
                      <w:szCs w:val="20"/>
                      <w:highlight w:val="none"/>
                      <w:lang w:bidi="ar"/>
                    </w:rPr>
                    <w:t>小型车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771" w:type="pct"/>
                  <w:tcBorders>
                    <w:left w:val="nil"/>
                    <w:bottom w:val="single" w:color="000000" w:sz="8" w:space="0"/>
                    <w:right w:val="single" w:color="000000" w:sz="8" w:space="0"/>
                  </w:tcBorders>
                  <w:noWrap w:val="0"/>
                  <w:vAlign w:val="center"/>
                </w:tcPr>
                <w:p w14:paraId="4FDFAE71">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中型车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774" w:type="pct"/>
                  <w:tcBorders>
                    <w:left w:val="nil"/>
                    <w:bottom w:val="single" w:color="000000" w:sz="8" w:space="0"/>
                    <w:right w:val="single" w:color="000000" w:sz="8" w:space="0"/>
                  </w:tcBorders>
                  <w:noWrap w:val="0"/>
                  <w:vAlign w:val="center"/>
                </w:tcPr>
                <w:p w14:paraId="4C1D2E1D">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大型车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963" w:type="pct"/>
                  <w:tcBorders>
                    <w:left w:val="nil"/>
                    <w:bottom w:val="single" w:color="000000" w:sz="8" w:space="0"/>
                    <w:right w:val="single" w:color="000000" w:sz="8" w:space="0"/>
                  </w:tcBorders>
                  <w:noWrap w:val="0"/>
                  <w:vAlign w:val="center"/>
                </w:tcPr>
                <w:p w14:paraId="2C186E14">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hint="eastAsia" w:ascii="Times New Roman" w:hAnsi="Times New Roman" w:eastAsia="宋体"/>
                      <w:color w:val="auto"/>
                      <w:kern w:val="0"/>
                      <w:sz w:val="21"/>
                      <w:szCs w:val="20"/>
                      <w:highlight w:val="none"/>
                      <w:lang w:bidi="ar"/>
                    </w:rPr>
                    <w:t>汽车列车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885" w:type="pct"/>
                  <w:gridSpan w:val="2"/>
                  <w:tcBorders>
                    <w:left w:val="nil"/>
                    <w:bottom w:val="single" w:color="000000" w:sz="8" w:space="0"/>
                  </w:tcBorders>
                  <w:noWrap w:val="0"/>
                  <w:vAlign w:val="center"/>
                </w:tcPr>
                <w:p w14:paraId="697F83C8">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合计</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r>
            <w:tr w14:paraId="37053F1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 w:type="pct"/>
                <w:trHeight w:val="397" w:hRule="atLeast"/>
                <w:jc w:val="center"/>
              </w:trPr>
              <w:tc>
                <w:tcPr>
                  <w:tcW w:w="1399" w:type="dxa"/>
                  <w:tcBorders>
                    <w:top w:val="single" w:color="000000" w:sz="4" w:space="0"/>
                    <w:bottom w:val="single" w:color="000000" w:sz="4" w:space="0"/>
                    <w:right w:val="single" w:color="000000" w:sz="4" w:space="0"/>
                  </w:tcBorders>
                  <w:noWrap w:val="0"/>
                  <w:vAlign w:val="center"/>
                </w:tcPr>
                <w:p w14:paraId="5946DCB8">
                  <w:pPr>
                    <w:pStyle w:val="29"/>
                    <w:keepNext w:val="0"/>
                    <w:keepLines w:val="0"/>
                    <w:pageBreakBefore w:val="0"/>
                    <w:kinsoku/>
                    <w:wordWrap/>
                    <w:overflowPunct/>
                    <w:topLinePunct w:val="0"/>
                    <w:autoSpaceDE/>
                    <w:autoSpaceDN/>
                    <w:bidi w:val="0"/>
                    <w:adjustRightInd/>
                    <w:ind w:firstLine="0" w:firstLineChars="0"/>
                    <w:rPr>
                      <w:rFonts w:ascii="Times New Roman" w:hAnsi="Times New Roman" w:eastAsia="宋体"/>
                      <w:color w:val="auto"/>
                      <w:sz w:val="21"/>
                      <w:szCs w:val="20"/>
                      <w:highlight w:val="none"/>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1223" w:type="dxa"/>
                  <w:tcBorders>
                    <w:top w:val="nil"/>
                    <w:left w:val="nil"/>
                    <w:bottom w:val="single" w:color="000000" w:sz="8" w:space="0"/>
                    <w:right w:val="single" w:color="000000" w:sz="8" w:space="0"/>
                  </w:tcBorders>
                  <w:noWrap w:val="0"/>
                  <w:vAlign w:val="center"/>
                </w:tcPr>
                <w:p w14:paraId="40FDDCA5">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77.56%</w:t>
                  </w:r>
                </w:p>
              </w:tc>
              <w:tc>
                <w:tcPr>
                  <w:tcW w:w="1322" w:type="dxa"/>
                  <w:tcBorders>
                    <w:top w:val="nil"/>
                    <w:left w:val="nil"/>
                    <w:bottom w:val="single" w:color="000000" w:sz="8" w:space="0"/>
                    <w:right w:val="single" w:color="000000" w:sz="8" w:space="0"/>
                  </w:tcBorders>
                  <w:noWrap w:val="0"/>
                  <w:vAlign w:val="center"/>
                </w:tcPr>
                <w:p w14:paraId="57B8F61B">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10.31%</w:t>
                  </w:r>
                </w:p>
              </w:tc>
              <w:tc>
                <w:tcPr>
                  <w:tcW w:w="1327" w:type="dxa"/>
                  <w:tcBorders>
                    <w:top w:val="nil"/>
                    <w:left w:val="nil"/>
                    <w:bottom w:val="single" w:color="000000" w:sz="8" w:space="0"/>
                    <w:right w:val="single" w:color="000000" w:sz="8" w:space="0"/>
                  </w:tcBorders>
                  <w:noWrap w:val="0"/>
                  <w:vAlign w:val="center"/>
                </w:tcPr>
                <w:p w14:paraId="55E47F0B">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2.95%</w:t>
                  </w:r>
                </w:p>
              </w:tc>
              <w:tc>
                <w:tcPr>
                  <w:tcW w:w="1652" w:type="dxa"/>
                  <w:tcBorders>
                    <w:top w:val="nil"/>
                    <w:left w:val="nil"/>
                    <w:bottom w:val="single" w:color="000000" w:sz="8" w:space="0"/>
                    <w:right w:val="single" w:color="000000" w:sz="8" w:space="0"/>
                  </w:tcBorders>
                  <w:noWrap w:val="0"/>
                  <w:vAlign w:val="center"/>
                </w:tcPr>
                <w:p w14:paraId="47951D39">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9.18%</w:t>
                  </w:r>
                </w:p>
              </w:tc>
              <w:tc>
                <w:tcPr>
                  <w:tcW w:w="1516" w:type="dxa"/>
                  <w:tcBorders>
                    <w:top w:val="nil"/>
                    <w:left w:val="nil"/>
                    <w:bottom w:val="single" w:color="000000" w:sz="8" w:space="0"/>
                  </w:tcBorders>
                  <w:noWrap w:val="0"/>
                  <w:vAlign w:val="center"/>
                </w:tcPr>
                <w:p w14:paraId="6603A443">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100.00</w:t>
                  </w:r>
                </w:p>
              </w:tc>
            </w:tr>
            <w:tr w14:paraId="0A8944E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 w:type="pct"/>
                <w:trHeight w:val="397" w:hRule="atLeast"/>
                <w:jc w:val="center"/>
              </w:trPr>
              <w:tc>
                <w:tcPr>
                  <w:tcW w:w="1399" w:type="dxa"/>
                  <w:tcBorders>
                    <w:top w:val="single" w:color="000000" w:sz="4" w:space="0"/>
                    <w:bottom w:val="single" w:color="000000" w:sz="4" w:space="0"/>
                    <w:right w:val="single" w:color="000000" w:sz="4" w:space="0"/>
                  </w:tcBorders>
                  <w:noWrap w:val="0"/>
                  <w:vAlign w:val="center"/>
                </w:tcPr>
                <w:p w14:paraId="5C150DA0">
                  <w:pPr>
                    <w:pStyle w:val="29"/>
                    <w:keepNext w:val="0"/>
                    <w:keepLines w:val="0"/>
                    <w:pageBreakBefore w:val="0"/>
                    <w:kinsoku/>
                    <w:wordWrap/>
                    <w:overflowPunct/>
                    <w:topLinePunct w:val="0"/>
                    <w:autoSpaceDE/>
                    <w:autoSpaceDN/>
                    <w:bidi w:val="0"/>
                    <w:adjustRightInd/>
                    <w:ind w:firstLine="0" w:firstLineChars="0"/>
                    <w:rPr>
                      <w:rFonts w:ascii="Times New Roman" w:hAnsi="Times New Roman" w:eastAsia="宋体"/>
                      <w:color w:val="auto"/>
                      <w:sz w:val="21"/>
                      <w:szCs w:val="20"/>
                      <w:highlight w:val="none"/>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1223" w:type="dxa"/>
                  <w:tcBorders>
                    <w:top w:val="nil"/>
                    <w:left w:val="nil"/>
                    <w:bottom w:val="single" w:color="000000" w:sz="8" w:space="0"/>
                    <w:right w:val="single" w:color="000000" w:sz="8" w:space="0"/>
                  </w:tcBorders>
                  <w:noWrap w:val="0"/>
                  <w:vAlign w:val="center"/>
                </w:tcPr>
                <w:p w14:paraId="7BDAB4C4">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78.22%</w:t>
                  </w:r>
                </w:p>
              </w:tc>
              <w:tc>
                <w:tcPr>
                  <w:tcW w:w="1322" w:type="dxa"/>
                  <w:tcBorders>
                    <w:top w:val="nil"/>
                    <w:left w:val="nil"/>
                    <w:bottom w:val="single" w:color="000000" w:sz="8" w:space="0"/>
                    <w:right w:val="single" w:color="000000" w:sz="8" w:space="0"/>
                  </w:tcBorders>
                  <w:noWrap w:val="0"/>
                  <w:vAlign w:val="center"/>
                </w:tcPr>
                <w:p w14:paraId="40538301">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9.51%</w:t>
                  </w:r>
                </w:p>
              </w:tc>
              <w:tc>
                <w:tcPr>
                  <w:tcW w:w="1327" w:type="dxa"/>
                  <w:tcBorders>
                    <w:top w:val="nil"/>
                    <w:left w:val="nil"/>
                    <w:bottom w:val="single" w:color="000000" w:sz="8" w:space="0"/>
                    <w:right w:val="single" w:color="000000" w:sz="8" w:space="0"/>
                  </w:tcBorders>
                  <w:noWrap w:val="0"/>
                  <w:vAlign w:val="center"/>
                </w:tcPr>
                <w:p w14:paraId="1EE50A52">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3.44%</w:t>
                  </w:r>
                </w:p>
              </w:tc>
              <w:tc>
                <w:tcPr>
                  <w:tcW w:w="1652" w:type="dxa"/>
                  <w:tcBorders>
                    <w:top w:val="nil"/>
                    <w:left w:val="nil"/>
                    <w:bottom w:val="single" w:color="000000" w:sz="8" w:space="0"/>
                    <w:right w:val="single" w:color="000000" w:sz="8" w:space="0"/>
                  </w:tcBorders>
                  <w:noWrap w:val="0"/>
                  <w:vAlign w:val="center"/>
                </w:tcPr>
                <w:p w14:paraId="3AF9C806">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8.83%</w:t>
                  </w:r>
                </w:p>
              </w:tc>
              <w:tc>
                <w:tcPr>
                  <w:tcW w:w="1516" w:type="dxa"/>
                  <w:tcBorders>
                    <w:top w:val="nil"/>
                    <w:left w:val="nil"/>
                    <w:bottom w:val="single" w:color="000000" w:sz="8" w:space="0"/>
                  </w:tcBorders>
                  <w:noWrap w:val="0"/>
                  <w:vAlign w:val="center"/>
                </w:tcPr>
                <w:p w14:paraId="0BD96371">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100.00</w:t>
                  </w:r>
                </w:p>
              </w:tc>
            </w:tr>
            <w:tr w14:paraId="7BCE421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 w:type="pct"/>
                <w:trHeight w:val="397" w:hRule="atLeast"/>
                <w:jc w:val="center"/>
              </w:trPr>
              <w:tc>
                <w:tcPr>
                  <w:tcW w:w="1399" w:type="dxa"/>
                  <w:tcBorders>
                    <w:top w:val="single" w:color="000000" w:sz="4" w:space="0"/>
                    <w:right w:val="single" w:color="000000" w:sz="4" w:space="0"/>
                  </w:tcBorders>
                  <w:noWrap w:val="0"/>
                  <w:vAlign w:val="center"/>
                </w:tcPr>
                <w:p w14:paraId="5FE5D2AE">
                  <w:pPr>
                    <w:pStyle w:val="29"/>
                    <w:keepNext w:val="0"/>
                    <w:keepLines w:val="0"/>
                    <w:pageBreakBefore w:val="0"/>
                    <w:kinsoku/>
                    <w:wordWrap/>
                    <w:overflowPunct/>
                    <w:topLinePunct w:val="0"/>
                    <w:autoSpaceDE/>
                    <w:autoSpaceDN/>
                    <w:bidi w:val="0"/>
                    <w:adjustRightInd/>
                    <w:ind w:firstLine="0" w:firstLineChars="0"/>
                    <w:rPr>
                      <w:rFonts w:ascii="Times New Roman" w:hAnsi="Times New Roman" w:eastAsia="宋体"/>
                      <w:color w:val="auto"/>
                      <w:sz w:val="21"/>
                      <w:szCs w:val="20"/>
                      <w:highlight w:val="none"/>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1223" w:type="dxa"/>
                  <w:tcBorders>
                    <w:top w:val="nil"/>
                    <w:left w:val="nil"/>
                    <w:right w:val="single" w:color="000000" w:sz="8" w:space="0"/>
                  </w:tcBorders>
                  <w:noWrap w:val="0"/>
                  <w:vAlign w:val="center"/>
                </w:tcPr>
                <w:p w14:paraId="0FCF7BC1">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78.46%</w:t>
                  </w:r>
                </w:p>
              </w:tc>
              <w:tc>
                <w:tcPr>
                  <w:tcW w:w="1322" w:type="dxa"/>
                  <w:tcBorders>
                    <w:top w:val="nil"/>
                    <w:left w:val="nil"/>
                    <w:right w:val="single" w:color="000000" w:sz="8" w:space="0"/>
                  </w:tcBorders>
                  <w:noWrap w:val="0"/>
                  <w:vAlign w:val="center"/>
                </w:tcPr>
                <w:p w14:paraId="7911AA5C">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9.23%</w:t>
                  </w:r>
                </w:p>
              </w:tc>
              <w:tc>
                <w:tcPr>
                  <w:tcW w:w="1327" w:type="dxa"/>
                  <w:tcBorders>
                    <w:top w:val="nil"/>
                    <w:left w:val="nil"/>
                    <w:right w:val="single" w:color="000000" w:sz="8" w:space="0"/>
                  </w:tcBorders>
                  <w:noWrap w:val="0"/>
                  <w:vAlign w:val="center"/>
                </w:tcPr>
                <w:p w14:paraId="0930F46E">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3.84%</w:t>
                  </w:r>
                </w:p>
              </w:tc>
              <w:tc>
                <w:tcPr>
                  <w:tcW w:w="1652" w:type="dxa"/>
                  <w:tcBorders>
                    <w:top w:val="nil"/>
                    <w:left w:val="nil"/>
                    <w:right w:val="single" w:color="000000" w:sz="8" w:space="0"/>
                  </w:tcBorders>
                  <w:noWrap w:val="0"/>
                  <w:vAlign w:val="center"/>
                </w:tcPr>
                <w:p w14:paraId="4C301380">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8.47%</w:t>
                  </w:r>
                </w:p>
              </w:tc>
              <w:tc>
                <w:tcPr>
                  <w:tcW w:w="1516" w:type="dxa"/>
                  <w:tcBorders>
                    <w:top w:val="nil"/>
                    <w:left w:val="nil"/>
                  </w:tcBorders>
                  <w:noWrap w:val="0"/>
                  <w:vAlign w:val="center"/>
                </w:tcPr>
                <w:p w14:paraId="32629927">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100.00</w:t>
                  </w:r>
                </w:p>
              </w:tc>
            </w:tr>
          </w:tbl>
          <w:p w14:paraId="5F6F1FB0">
            <w:pPr>
              <w:pStyle w:val="28"/>
              <w:keepNext w:val="0"/>
              <w:keepLines w:val="0"/>
              <w:pageBreakBefore w:val="0"/>
              <w:widowControl w:val="0"/>
              <w:kinsoku/>
              <w:wordWrap/>
              <w:overflowPunct/>
              <w:topLinePunct w:val="0"/>
              <w:autoSpaceDE/>
              <w:autoSpaceDN/>
              <w:bidi w:val="0"/>
              <w:adjustRightInd/>
              <w:snapToGrid/>
              <w:spacing w:before="175" w:beforeLines="50"/>
              <w:textAlignment w:val="auto"/>
              <w:rPr>
                <w:color w:val="auto"/>
              </w:rPr>
            </w:pPr>
            <w:r>
              <w:rPr>
                <w:color w:val="auto"/>
              </w:rPr>
              <w:t>表2-</w:t>
            </w:r>
            <w:r>
              <w:rPr>
                <w:rFonts w:hint="eastAsia"/>
                <w:color w:val="auto"/>
                <w:lang w:val="en-US" w:eastAsia="zh-CN"/>
              </w:rPr>
              <w:t>6</w:t>
            </w:r>
            <w:r>
              <w:rPr>
                <w:color w:val="auto"/>
              </w:rPr>
              <w:t xml:space="preserve"> </w:t>
            </w:r>
            <w:r>
              <w:rPr>
                <w:rFonts w:hint="eastAsia"/>
                <w:color w:val="auto"/>
                <w:lang w:val="en-US" w:eastAsia="zh-CN"/>
              </w:rPr>
              <w:t xml:space="preserve"> </w:t>
            </w:r>
            <w:r>
              <w:rPr>
                <w:color w:val="auto"/>
              </w:rPr>
              <w:t>车流量昼夜比</w:t>
            </w:r>
          </w:p>
          <w:tbl>
            <w:tblPr>
              <w:tblStyle w:val="18"/>
              <w:tblW w:w="499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2861"/>
              <w:gridCol w:w="1555"/>
              <w:gridCol w:w="1555"/>
              <w:gridCol w:w="1558"/>
            </w:tblGrid>
            <w:tr w14:paraId="6AD4182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899" w:type="pct"/>
                  <w:noWrap w:val="0"/>
                  <w:vAlign w:val="center"/>
                </w:tcPr>
                <w:p w14:paraId="022FBF77">
                  <w:pPr>
                    <w:pStyle w:val="29"/>
                    <w:rPr>
                      <w:color w:val="auto"/>
                    </w:rPr>
                  </w:pPr>
                  <w:r>
                    <w:rPr>
                      <w:color w:val="auto"/>
                    </w:rPr>
                    <w:t>路段</w:t>
                  </w:r>
                </w:p>
              </w:tc>
              <w:tc>
                <w:tcPr>
                  <w:tcW w:w="1032" w:type="pct"/>
                  <w:noWrap w:val="0"/>
                  <w:vAlign w:val="center"/>
                </w:tcPr>
                <w:p w14:paraId="2997E677">
                  <w:pPr>
                    <w:pStyle w:val="29"/>
                    <w:rPr>
                      <w:color w:val="auto"/>
                    </w:rPr>
                  </w:pPr>
                  <w:r>
                    <w:rPr>
                      <w:color w:val="auto"/>
                    </w:rPr>
                    <w:t>昼间</w:t>
                  </w:r>
                  <w:r>
                    <w:rPr>
                      <w:rFonts w:hint="eastAsia"/>
                      <w:color w:val="auto"/>
                      <w:kern w:val="0"/>
                      <w:sz w:val="21"/>
                      <w:szCs w:val="20"/>
                      <w:lang w:eastAsia="zh-CN" w:bidi="ar"/>
                    </w:rPr>
                    <w:t>（</w:t>
                  </w:r>
                  <w:r>
                    <w:rPr>
                      <w:rFonts w:hint="eastAsia"/>
                      <w:color w:val="auto"/>
                      <w:sz w:val="21"/>
                      <w:szCs w:val="20"/>
                      <w:lang w:val="en-US" w:eastAsia="zh-CN"/>
                    </w:rPr>
                    <w:t>%</w:t>
                  </w:r>
                  <w:r>
                    <w:rPr>
                      <w:rFonts w:hint="eastAsia"/>
                      <w:color w:val="auto"/>
                      <w:kern w:val="0"/>
                      <w:sz w:val="21"/>
                      <w:szCs w:val="20"/>
                      <w:lang w:eastAsia="zh-CN" w:bidi="ar"/>
                    </w:rPr>
                    <w:t>）</w:t>
                  </w:r>
                </w:p>
              </w:tc>
              <w:tc>
                <w:tcPr>
                  <w:tcW w:w="1032" w:type="pct"/>
                  <w:noWrap w:val="0"/>
                  <w:vAlign w:val="center"/>
                </w:tcPr>
                <w:p w14:paraId="2AA9CAB2">
                  <w:pPr>
                    <w:pStyle w:val="29"/>
                    <w:rPr>
                      <w:color w:val="auto"/>
                    </w:rPr>
                  </w:pPr>
                  <w:r>
                    <w:rPr>
                      <w:color w:val="auto"/>
                    </w:rPr>
                    <w:t>夜间</w:t>
                  </w:r>
                  <w:r>
                    <w:rPr>
                      <w:rFonts w:hint="eastAsia"/>
                      <w:color w:val="auto"/>
                      <w:kern w:val="0"/>
                      <w:sz w:val="21"/>
                      <w:szCs w:val="20"/>
                      <w:lang w:eastAsia="zh-CN" w:bidi="ar"/>
                    </w:rPr>
                    <w:t>（</w:t>
                  </w:r>
                  <w:r>
                    <w:rPr>
                      <w:rFonts w:hint="eastAsia"/>
                      <w:color w:val="auto"/>
                      <w:sz w:val="21"/>
                      <w:szCs w:val="20"/>
                      <w:lang w:val="en-US" w:eastAsia="zh-CN"/>
                    </w:rPr>
                    <w:t>%</w:t>
                  </w:r>
                  <w:r>
                    <w:rPr>
                      <w:rFonts w:hint="eastAsia"/>
                      <w:color w:val="auto"/>
                      <w:kern w:val="0"/>
                      <w:sz w:val="21"/>
                      <w:szCs w:val="20"/>
                      <w:lang w:eastAsia="zh-CN" w:bidi="ar"/>
                    </w:rPr>
                    <w:t>）</w:t>
                  </w:r>
                </w:p>
              </w:tc>
              <w:tc>
                <w:tcPr>
                  <w:tcW w:w="1034" w:type="pct"/>
                  <w:noWrap w:val="0"/>
                  <w:vAlign w:val="center"/>
                </w:tcPr>
                <w:p w14:paraId="7BA9CC2D">
                  <w:pPr>
                    <w:pStyle w:val="29"/>
                    <w:rPr>
                      <w:color w:val="auto"/>
                    </w:rPr>
                  </w:pPr>
                  <w:r>
                    <w:rPr>
                      <w:color w:val="auto"/>
                    </w:rPr>
                    <w:t>合计</w:t>
                  </w:r>
                  <w:r>
                    <w:rPr>
                      <w:rFonts w:hint="eastAsia"/>
                      <w:color w:val="auto"/>
                      <w:kern w:val="0"/>
                      <w:sz w:val="21"/>
                      <w:szCs w:val="20"/>
                      <w:lang w:eastAsia="zh-CN" w:bidi="ar"/>
                    </w:rPr>
                    <w:t>（</w:t>
                  </w:r>
                  <w:r>
                    <w:rPr>
                      <w:rFonts w:hint="eastAsia"/>
                      <w:color w:val="auto"/>
                      <w:sz w:val="21"/>
                      <w:szCs w:val="20"/>
                      <w:lang w:val="en-US" w:eastAsia="zh-CN"/>
                    </w:rPr>
                    <w:t>%</w:t>
                  </w:r>
                  <w:r>
                    <w:rPr>
                      <w:rFonts w:hint="eastAsia"/>
                      <w:color w:val="auto"/>
                      <w:kern w:val="0"/>
                      <w:sz w:val="21"/>
                      <w:szCs w:val="20"/>
                      <w:lang w:eastAsia="zh-CN" w:bidi="ar"/>
                    </w:rPr>
                    <w:t>）</w:t>
                  </w:r>
                </w:p>
              </w:tc>
            </w:tr>
            <w:tr w14:paraId="659FF1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899" w:type="pct"/>
                  <w:noWrap w:val="0"/>
                  <w:vAlign w:val="center"/>
                </w:tcPr>
                <w:p w14:paraId="69C0316F">
                  <w:pPr>
                    <w:pStyle w:val="29"/>
                    <w:bidi w:val="0"/>
                    <w:rPr>
                      <w:color w:val="auto"/>
                    </w:rPr>
                  </w:pPr>
                  <w:r>
                    <w:rPr>
                      <w:rFonts w:hint="eastAsia"/>
                      <w:color w:val="auto"/>
                      <w:lang w:val="en-US" w:eastAsia="zh-CN"/>
                    </w:rPr>
                    <w:t>本项目</w:t>
                  </w:r>
                </w:p>
              </w:tc>
              <w:tc>
                <w:tcPr>
                  <w:tcW w:w="1032" w:type="pct"/>
                  <w:noWrap w:val="0"/>
                  <w:vAlign w:val="center"/>
                </w:tcPr>
                <w:p w14:paraId="7386C40C">
                  <w:pPr>
                    <w:pStyle w:val="29"/>
                    <w:rPr>
                      <w:rFonts w:hint="default"/>
                      <w:color w:val="auto"/>
                    </w:rPr>
                  </w:pPr>
                  <w:r>
                    <w:rPr>
                      <w:rFonts w:hint="default"/>
                      <w:color w:val="auto"/>
                    </w:rPr>
                    <w:t>90</w:t>
                  </w:r>
                </w:p>
              </w:tc>
              <w:tc>
                <w:tcPr>
                  <w:tcW w:w="1032" w:type="pct"/>
                  <w:noWrap w:val="0"/>
                  <w:vAlign w:val="center"/>
                </w:tcPr>
                <w:p w14:paraId="0A8180E6">
                  <w:pPr>
                    <w:pStyle w:val="29"/>
                    <w:rPr>
                      <w:rFonts w:hint="default"/>
                      <w:color w:val="auto"/>
                    </w:rPr>
                  </w:pPr>
                  <w:r>
                    <w:rPr>
                      <w:rFonts w:hint="default"/>
                      <w:color w:val="auto"/>
                    </w:rPr>
                    <w:t>10</w:t>
                  </w:r>
                </w:p>
              </w:tc>
              <w:tc>
                <w:tcPr>
                  <w:tcW w:w="1034" w:type="pct"/>
                  <w:noWrap w:val="0"/>
                  <w:vAlign w:val="center"/>
                </w:tcPr>
                <w:p w14:paraId="7B0262AD">
                  <w:pPr>
                    <w:pStyle w:val="29"/>
                    <w:rPr>
                      <w:rFonts w:hint="default"/>
                      <w:color w:val="auto"/>
                    </w:rPr>
                  </w:pPr>
                  <w:r>
                    <w:rPr>
                      <w:rFonts w:hint="default"/>
                      <w:color w:val="auto"/>
                    </w:rPr>
                    <w:t>100</w:t>
                  </w:r>
                </w:p>
              </w:tc>
            </w:tr>
          </w:tbl>
          <w:p w14:paraId="46AFF5FC">
            <w:pPr>
              <w:pStyle w:val="28"/>
              <w:keepNext w:val="0"/>
              <w:keepLines w:val="0"/>
              <w:pageBreakBefore w:val="0"/>
              <w:widowControl w:val="0"/>
              <w:kinsoku/>
              <w:wordWrap/>
              <w:overflowPunct/>
              <w:topLinePunct w:val="0"/>
              <w:autoSpaceDE/>
              <w:autoSpaceDN/>
              <w:bidi w:val="0"/>
              <w:adjustRightInd/>
              <w:snapToGrid/>
              <w:spacing w:before="175" w:beforeLines="50"/>
              <w:textAlignment w:val="auto"/>
              <w:rPr>
                <w:color w:val="auto"/>
                <w:highlight w:val="none"/>
              </w:rPr>
            </w:pPr>
            <w:r>
              <w:rPr>
                <w:color w:val="auto"/>
                <w:highlight w:val="none"/>
              </w:rPr>
              <w:t>表2-</w:t>
            </w:r>
            <w:r>
              <w:rPr>
                <w:rFonts w:hint="eastAsia"/>
                <w:color w:val="auto"/>
                <w:highlight w:val="none"/>
                <w:lang w:val="en-US" w:eastAsia="zh-CN"/>
              </w:rPr>
              <w:t>7</w:t>
            </w:r>
            <w:r>
              <w:rPr>
                <w:color w:val="auto"/>
                <w:highlight w:val="none"/>
              </w:rPr>
              <w:t xml:space="preserve"> </w:t>
            </w:r>
            <w:r>
              <w:rPr>
                <w:rFonts w:hint="eastAsia"/>
                <w:color w:val="auto"/>
                <w:highlight w:val="none"/>
                <w:lang w:val="en-US" w:eastAsia="zh-CN"/>
              </w:rPr>
              <w:t xml:space="preserve"> </w:t>
            </w:r>
            <w:r>
              <w:rPr>
                <w:color w:val="auto"/>
                <w:highlight w:val="none"/>
              </w:rPr>
              <w:t>本项目各特征年交通量预测结果汇总表</w:t>
            </w:r>
          </w:p>
          <w:tbl>
            <w:tblPr>
              <w:tblStyle w:val="1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470"/>
              <w:gridCol w:w="1390"/>
              <w:gridCol w:w="1558"/>
              <w:gridCol w:w="1558"/>
              <w:gridCol w:w="1558"/>
            </w:tblGrid>
            <w:tr w14:paraId="62210B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975" w:type="pct"/>
                  <w:vMerge w:val="restart"/>
                  <w:noWrap w:val="0"/>
                  <w:vAlign w:val="center"/>
                </w:tcPr>
                <w:p w14:paraId="390844E4">
                  <w:pPr>
                    <w:pStyle w:val="29"/>
                    <w:rPr>
                      <w:color w:val="auto"/>
                      <w:highlight w:val="none"/>
                    </w:rPr>
                  </w:pPr>
                  <w:r>
                    <w:rPr>
                      <w:color w:val="auto"/>
                      <w:highlight w:val="none"/>
                    </w:rPr>
                    <w:t>路段</w:t>
                  </w:r>
                </w:p>
              </w:tc>
              <w:tc>
                <w:tcPr>
                  <w:tcW w:w="922" w:type="pct"/>
                  <w:vMerge w:val="restart"/>
                  <w:noWrap w:val="0"/>
                  <w:vAlign w:val="center"/>
                </w:tcPr>
                <w:p w14:paraId="4E1ED4BB">
                  <w:pPr>
                    <w:pStyle w:val="29"/>
                    <w:rPr>
                      <w:rFonts w:hint="default"/>
                      <w:color w:val="auto"/>
                      <w:highlight w:val="none"/>
                    </w:rPr>
                  </w:pPr>
                  <w:r>
                    <w:rPr>
                      <w:color w:val="auto"/>
                      <w:highlight w:val="none"/>
                    </w:rPr>
                    <w:t>预测水平年</w:t>
                  </w:r>
                </w:p>
              </w:tc>
              <w:tc>
                <w:tcPr>
                  <w:tcW w:w="1033" w:type="pct"/>
                  <w:noWrap w:val="0"/>
                  <w:vAlign w:val="center"/>
                </w:tcPr>
                <w:p w14:paraId="4DCCBAD6">
                  <w:pPr>
                    <w:pStyle w:val="29"/>
                    <w:rPr>
                      <w:rFonts w:hint="default"/>
                      <w:color w:val="auto"/>
                      <w:highlight w:val="none"/>
                    </w:rPr>
                  </w:pPr>
                  <w:r>
                    <w:rPr>
                      <w:color w:val="auto"/>
                      <w:highlight w:val="none"/>
                    </w:rPr>
                    <w:t>全天交通量</w:t>
                  </w:r>
                </w:p>
              </w:tc>
              <w:tc>
                <w:tcPr>
                  <w:tcW w:w="1033" w:type="pct"/>
                  <w:noWrap w:val="0"/>
                  <w:vAlign w:val="center"/>
                </w:tcPr>
                <w:p w14:paraId="50541078">
                  <w:pPr>
                    <w:pStyle w:val="29"/>
                    <w:rPr>
                      <w:rFonts w:hint="default"/>
                      <w:color w:val="auto"/>
                      <w:highlight w:val="none"/>
                    </w:rPr>
                  </w:pPr>
                  <w:r>
                    <w:rPr>
                      <w:color w:val="auto"/>
                      <w:highlight w:val="none"/>
                    </w:rPr>
                    <w:t>昼间交通量</w:t>
                  </w:r>
                </w:p>
              </w:tc>
              <w:tc>
                <w:tcPr>
                  <w:tcW w:w="1033" w:type="pct"/>
                  <w:noWrap w:val="0"/>
                  <w:vAlign w:val="center"/>
                </w:tcPr>
                <w:p w14:paraId="5FD100AD">
                  <w:pPr>
                    <w:pStyle w:val="29"/>
                    <w:rPr>
                      <w:rFonts w:hint="default"/>
                      <w:color w:val="auto"/>
                      <w:highlight w:val="none"/>
                    </w:rPr>
                  </w:pPr>
                  <w:r>
                    <w:rPr>
                      <w:color w:val="auto"/>
                      <w:highlight w:val="none"/>
                    </w:rPr>
                    <w:t>夜间交通量</w:t>
                  </w:r>
                </w:p>
              </w:tc>
            </w:tr>
            <w:tr w14:paraId="06AF17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975" w:type="pct"/>
                  <w:vMerge w:val="continue"/>
                  <w:noWrap w:val="0"/>
                  <w:vAlign w:val="center"/>
                </w:tcPr>
                <w:p w14:paraId="2CB9BDEB">
                  <w:pPr>
                    <w:pStyle w:val="29"/>
                    <w:rPr>
                      <w:color w:val="auto"/>
                      <w:highlight w:val="none"/>
                    </w:rPr>
                  </w:pPr>
                </w:p>
              </w:tc>
              <w:tc>
                <w:tcPr>
                  <w:tcW w:w="922" w:type="pct"/>
                  <w:vMerge w:val="continue"/>
                  <w:noWrap w:val="0"/>
                  <w:vAlign w:val="center"/>
                </w:tcPr>
                <w:p w14:paraId="74E97D50">
                  <w:pPr>
                    <w:pStyle w:val="29"/>
                    <w:rPr>
                      <w:rFonts w:hint="default"/>
                      <w:color w:val="auto"/>
                      <w:highlight w:val="none"/>
                    </w:rPr>
                  </w:pPr>
                </w:p>
              </w:tc>
              <w:tc>
                <w:tcPr>
                  <w:tcW w:w="1033" w:type="pct"/>
                  <w:noWrap w:val="0"/>
                  <w:vAlign w:val="center"/>
                </w:tcPr>
                <w:p w14:paraId="33AD7225">
                  <w:pPr>
                    <w:pStyle w:val="29"/>
                    <w:rPr>
                      <w:rFonts w:hint="default"/>
                      <w:color w:val="auto"/>
                      <w:highlight w:val="none"/>
                    </w:rPr>
                  </w:pPr>
                  <w:r>
                    <w:rPr>
                      <w:color w:val="auto"/>
                      <w:highlight w:val="none"/>
                    </w:rPr>
                    <w:t>（辆/d）</w:t>
                  </w:r>
                </w:p>
              </w:tc>
              <w:tc>
                <w:tcPr>
                  <w:tcW w:w="1033" w:type="pct"/>
                  <w:noWrap w:val="0"/>
                  <w:vAlign w:val="center"/>
                </w:tcPr>
                <w:p w14:paraId="5761A580">
                  <w:pPr>
                    <w:pStyle w:val="29"/>
                    <w:rPr>
                      <w:rFonts w:hint="default"/>
                      <w:color w:val="auto"/>
                      <w:highlight w:val="none"/>
                    </w:rPr>
                  </w:pPr>
                  <w:r>
                    <w:rPr>
                      <w:color w:val="auto"/>
                      <w:highlight w:val="none"/>
                    </w:rPr>
                    <w:t>（辆/h）</w:t>
                  </w:r>
                </w:p>
              </w:tc>
              <w:tc>
                <w:tcPr>
                  <w:tcW w:w="1033" w:type="pct"/>
                  <w:noWrap w:val="0"/>
                  <w:vAlign w:val="center"/>
                </w:tcPr>
                <w:p w14:paraId="62C6C9D7">
                  <w:pPr>
                    <w:pStyle w:val="29"/>
                    <w:rPr>
                      <w:rFonts w:hint="default"/>
                      <w:color w:val="auto"/>
                      <w:highlight w:val="none"/>
                    </w:rPr>
                  </w:pPr>
                  <w:r>
                    <w:rPr>
                      <w:color w:val="auto"/>
                      <w:highlight w:val="none"/>
                    </w:rPr>
                    <w:t>（辆/h）</w:t>
                  </w:r>
                </w:p>
              </w:tc>
            </w:tr>
            <w:tr w14:paraId="5F6700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975" w:type="pct"/>
                  <w:vMerge w:val="restart"/>
                  <w:noWrap w:val="0"/>
                  <w:vAlign w:val="center"/>
                </w:tcPr>
                <w:p w14:paraId="243E4717">
                  <w:pPr>
                    <w:pStyle w:val="29"/>
                    <w:ind w:firstLine="0" w:firstLineChars="0"/>
                    <w:rPr>
                      <w:rFonts w:hint="eastAsia"/>
                      <w:color w:val="auto"/>
                      <w:highlight w:val="none"/>
                      <w:lang w:eastAsia="zh-CN"/>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922" w:type="pct"/>
                  <w:noWrap w:val="0"/>
                  <w:vAlign w:val="center"/>
                </w:tcPr>
                <w:p w14:paraId="75F749B2">
                  <w:pPr>
                    <w:pStyle w:val="29"/>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1033" w:type="pct"/>
                  <w:noWrap w:val="0"/>
                  <w:vAlign w:val="center"/>
                </w:tcPr>
                <w:p w14:paraId="36154C91">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989</w:t>
                  </w:r>
                </w:p>
              </w:tc>
              <w:tc>
                <w:tcPr>
                  <w:tcW w:w="1033" w:type="pct"/>
                  <w:noWrap w:val="0"/>
                  <w:vAlign w:val="center"/>
                </w:tcPr>
                <w:p w14:paraId="62650202">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56</w:t>
                  </w:r>
                </w:p>
              </w:tc>
              <w:tc>
                <w:tcPr>
                  <w:tcW w:w="1033" w:type="pct"/>
                  <w:noWrap w:val="0"/>
                  <w:vAlign w:val="center"/>
                </w:tcPr>
                <w:p w14:paraId="03DF41EA">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12</w:t>
                  </w:r>
                </w:p>
              </w:tc>
            </w:tr>
            <w:tr w14:paraId="355760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975" w:type="pct"/>
                  <w:vMerge w:val="continue"/>
                  <w:noWrap w:val="0"/>
                  <w:vAlign w:val="center"/>
                </w:tcPr>
                <w:p w14:paraId="10D97509">
                  <w:pPr>
                    <w:pStyle w:val="29"/>
                    <w:rPr>
                      <w:color w:val="auto"/>
                      <w:highlight w:val="none"/>
                    </w:rPr>
                  </w:pPr>
                </w:p>
              </w:tc>
              <w:tc>
                <w:tcPr>
                  <w:tcW w:w="922" w:type="pct"/>
                  <w:noWrap w:val="0"/>
                  <w:vAlign w:val="center"/>
                </w:tcPr>
                <w:p w14:paraId="6F8BE0D0">
                  <w:pPr>
                    <w:pStyle w:val="29"/>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1033" w:type="pct"/>
                  <w:noWrap w:val="0"/>
                  <w:vAlign w:val="center"/>
                </w:tcPr>
                <w:p w14:paraId="53357AE6">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1257</w:t>
                  </w:r>
                </w:p>
              </w:tc>
              <w:tc>
                <w:tcPr>
                  <w:tcW w:w="1033" w:type="pct"/>
                  <w:noWrap w:val="0"/>
                  <w:vAlign w:val="center"/>
                </w:tcPr>
                <w:p w14:paraId="5EA8CE43">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71</w:t>
                  </w:r>
                </w:p>
              </w:tc>
              <w:tc>
                <w:tcPr>
                  <w:tcW w:w="1033" w:type="pct"/>
                  <w:noWrap w:val="0"/>
                  <w:vAlign w:val="center"/>
                </w:tcPr>
                <w:p w14:paraId="26E0435D">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16</w:t>
                  </w:r>
                </w:p>
              </w:tc>
            </w:tr>
            <w:tr w14:paraId="068DB1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975" w:type="pct"/>
                  <w:vMerge w:val="continue"/>
                  <w:noWrap w:val="0"/>
                  <w:vAlign w:val="center"/>
                </w:tcPr>
                <w:p w14:paraId="3432C08B">
                  <w:pPr>
                    <w:pStyle w:val="29"/>
                    <w:rPr>
                      <w:color w:val="auto"/>
                      <w:highlight w:val="none"/>
                    </w:rPr>
                  </w:pPr>
                </w:p>
              </w:tc>
              <w:tc>
                <w:tcPr>
                  <w:tcW w:w="922" w:type="pct"/>
                  <w:noWrap w:val="0"/>
                  <w:vAlign w:val="center"/>
                </w:tcPr>
                <w:p w14:paraId="3F7E0EC8">
                  <w:pPr>
                    <w:pStyle w:val="29"/>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1033" w:type="pct"/>
                  <w:noWrap w:val="0"/>
                  <w:vAlign w:val="center"/>
                </w:tcPr>
                <w:p w14:paraId="46F8AE34">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1583</w:t>
                  </w:r>
                </w:p>
              </w:tc>
              <w:tc>
                <w:tcPr>
                  <w:tcW w:w="1033" w:type="pct"/>
                  <w:noWrap w:val="0"/>
                  <w:vAlign w:val="center"/>
                </w:tcPr>
                <w:p w14:paraId="5CE407D7">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89</w:t>
                  </w:r>
                </w:p>
              </w:tc>
              <w:tc>
                <w:tcPr>
                  <w:tcW w:w="1033" w:type="pct"/>
                  <w:noWrap w:val="0"/>
                  <w:vAlign w:val="center"/>
                </w:tcPr>
                <w:p w14:paraId="48CBCD19">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20</w:t>
                  </w:r>
                </w:p>
              </w:tc>
            </w:tr>
            <w:tr w14:paraId="5923D78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975" w:type="pct"/>
                  <w:vMerge w:val="restart"/>
                  <w:noWrap w:val="0"/>
                  <w:vAlign w:val="center"/>
                </w:tcPr>
                <w:p w14:paraId="223F77EE">
                  <w:pPr>
                    <w:pStyle w:val="29"/>
                    <w:ind w:firstLine="0" w:firstLineChars="0"/>
                    <w:rPr>
                      <w:color w:val="auto"/>
                      <w:highlight w:val="none"/>
                    </w:rPr>
                  </w:pPr>
                  <w:r>
                    <w:rPr>
                      <w:rFonts w:hint="eastAsia"/>
                      <w:color w:val="auto"/>
                      <w:highlight w:val="none"/>
                      <w:lang w:eastAsia="zh-CN"/>
                    </w:rPr>
                    <w:t>四级公路（</w:t>
                  </w:r>
                  <w:r>
                    <w:rPr>
                      <w:rFonts w:hint="eastAsia"/>
                      <w:color w:val="auto"/>
                      <w:szCs w:val="21"/>
                      <w:highlight w:val="none"/>
                      <w:lang w:val="en-US" w:eastAsia="zh-CN"/>
                    </w:rPr>
                    <w:t>K48+240</w:t>
                  </w:r>
                  <w:r>
                    <w:rPr>
                      <w:rFonts w:hint="eastAsia"/>
                      <w:color w:val="auto"/>
                      <w:szCs w:val="21"/>
                      <w:highlight w:val="none"/>
                      <w:lang w:eastAsia="zh-CN"/>
                    </w:rPr>
                    <w:t>～</w:t>
                  </w:r>
                  <w:r>
                    <w:rPr>
                      <w:rFonts w:hint="eastAsia"/>
                      <w:color w:val="auto"/>
                      <w:szCs w:val="21"/>
                      <w:highlight w:val="none"/>
                      <w:lang w:val="en-US" w:eastAsia="zh-CN"/>
                    </w:rPr>
                    <w:t>K55+161</w:t>
                  </w:r>
                  <w:r>
                    <w:rPr>
                      <w:rFonts w:hint="eastAsia"/>
                      <w:color w:val="auto"/>
                      <w:highlight w:val="none"/>
                      <w:lang w:eastAsia="zh-CN"/>
                    </w:rPr>
                    <w:t>）</w:t>
                  </w:r>
                </w:p>
              </w:tc>
              <w:tc>
                <w:tcPr>
                  <w:tcW w:w="922" w:type="pct"/>
                  <w:noWrap w:val="0"/>
                  <w:vAlign w:val="center"/>
                </w:tcPr>
                <w:p w14:paraId="2198ECE8">
                  <w:pPr>
                    <w:pStyle w:val="29"/>
                    <w:keepNext w:val="0"/>
                    <w:keepLines w:val="0"/>
                    <w:pageBreakBefore w:val="0"/>
                    <w:kinsoku/>
                    <w:wordWrap/>
                    <w:overflowPunct/>
                    <w:topLinePunct w:val="0"/>
                    <w:autoSpaceDE/>
                    <w:autoSpaceDN/>
                    <w:bidi w:val="0"/>
                    <w:adjustRightInd/>
                    <w:ind w:firstLine="0" w:firstLineChars="0"/>
                    <w:rPr>
                      <w:rFonts w:hint="eastAsia" w:ascii="Times New Roman" w:hAnsi="Times New Roman" w:eastAsia="宋体"/>
                      <w:color w:val="auto"/>
                      <w:sz w:val="21"/>
                      <w:szCs w:val="20"/>
                      <w:highlight w:val="none"/>
                      <w:lang w:val="en-US" w:eastAsia="zh-CN"/>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1033" w:type="pct"/>
                  <w:noWrap w:val="0"/>
                  <w:vAlign w:val="center"/>
                </w:tcPr>
                <w:p w14:paraId="565D0FCC">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335</w:t>
                  </w:r>
                </w:p>
              </w:tc>
              <w:tc>
                <w:tcPr>
                  <w:tcW w:w="1033" w:type="pct"/>
                  <w:noWrap w:val="0"/>
                  <w:vAlign w:val="center"/>
                </w:tcPr>
                <w:p w14:paraId="0C99F5CD">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19</w:t>
                  </w:r>
                </w:p>
              </w:tc>
              <w:tc>
                <w:tcPr>
                  <w:tcW w:w="1033" w:type="pct"/>
                  <w:noWrap w:val="0"/>
                  <w:vAlign w:val="center"/>
                </w:tcPr>
                <w:p w14:paraId="59535565">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4</w:t>
                  </w:r>
                </w:p>
              </w:tc>
            </w:tr>
            <w:tr w14:paraId="618D0B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975" w:type="pct"/>
                  <w:vMerge w:val="continue"/>
                  <w:noWrap w:val="0"/>
                  <w:vAlign w:val="center"/>
                </w:tcPr>
                <w:p w14:paraId="595D2D50">
                  <w:pPr>
                    <w:pStyle w:val="29"/>
                    <w:rPr>
                      <w:color w:val="auto"/>
                      <w:highlight w:val="none"/>
                    </w:rPr>
                  </w:pPr>
                </w:p>
              </w:tc>
              <w:tc>
                <w:tcPr>
                  <w:tcW w:w="922" w:type="pct"/>
                  <w:noWrap w:val="0"/>
                  <w:vAlign w:val="center"/>
                </w:tcPr>
                <w:p w14:paraId="31705218">
                  <w:pPr>
                    <w:pStyle w:val="29"/>
                    <w:keepNext w:val="0"/>
                    <w:keepLines w:val="0"/>
                    <w:pageBreakBefore w:val="0"/>
                    <w:kinsoku/>
                    <w:wordWrap/>
                    <w:overflowPunct/>
                    <w:topLinePunct w:val="0"/>
                    <w:autoSpaceDE/>
                    <w:autoSpaceDN/>
                    <w:bidi w:val="0"/>
                    <w:adjustRightInd/>
                    <w:ind w:firstLine="0" w:firstLineChars="0"/>
                    <w:rPr>
                      <w:rFonts w:hint="eastAsia" w:ascii="Times New Roman" w:hAnsi="Times New Roman" w:eastAsia="宋体"/>
                      <w:color w:val="auto"/>
                      <w:sz w:val="21"/>
                      <w:szCs w:val="20"/>
                      <w:highlight w:val="none"/>
                      <w:lang w:val="en-US" w:eastAsia="zh-CN"/>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1033" w:type="pct"/>
                  <w:noWrap w:val="0"/>
                  <w:vAlign w:val="center"/>
                </w:tcPr>
                <w:p w14:paraId="7E72D3DD">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427</w:t>
                  </w:r>
                </w:p>
              </w:tc>
              <w:tc>
                <w:tcPr>
                  <w:tcW w:w="1033" w:type="pct"/>
                  <w:noWrap w:val="0"/>
                  <w:vAlign w:val="center"/>
                </w:tcPr>
                <w:p w14:paraId="41974A95">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24</w:t>
                  </w:r>
                </w:p>
              </w:tc>
              <w:tc>
                <w:tcPr>
                  <w:tcW w:w="1033" w:type="pct"/>
                  <w:noWrap w:val="0"/>
                  <w:vAlign w:val="center"/>
                </w:tcPr>
                <w:p w14:paraId="346BB8C6">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5</w:t>
                  </w:r>
                </w:p>
              </w:tc>
            </w:tr>
            <w:tr w14:paraId="219317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975" w:type="pct"/>
                  <w:vMerge w:val="continue"/>
                  <w:noWrap w:val="0"/>
                  <w:vAlign w:val="center"/>
                </w:tcPr>
                <w:p w14:paraId="605027B7">
                  <w:pPr>
                    <w:pStyle w:val="29"/>
                    <w:rPr>
                      <w:color w:val="auto"/>
                      <w:highlight w:val="none"/>
                    </w:rPr>
                  </w:pPr>
                </w:p>
              </w:tc>
              <w:tc>
                <w:tcPr>
                  <w:tcW w:w="922" w:type="pct"/>
                  <w:noWrap w:val="0"/>
                  <w:vAlign w:val="center"/>
                </w:tcPr>
                <w:p w14:paraId="4936C252">
                  <w:pPr>
                    <w:pStyle w:val="29"/>
                    <w:keepNext w:val="0"/>
                    <w:keepLines w:val="0"/>
                    <w:pageBreakBefore w:val="0"/>
                    <w:kinsoku/>
                    <w:wordWrap/>
                    <w:overflowPunct/>
                    <w:topLinePunct w:val="0"/>
                    <w:autoSpaceDE/>
                    <w:autoSpaceDN/>
                    <w:bidi w:val="0"/>
                    <w:adjustRightInd/>
                    <w:ind w:firstLine="0" w:firstLineChars="0"/>
                    <w:rPr>
                      <w:rFonts w:hint="eastAsia" w:ascii="Times New Roman" w:hAnsi="Times New Roman" w:eastAsia="宋体"/>
                      <w:color w:val="auto"/>
                      <w:sz w:val="21"/>
                      <w:szCs w:val="20"/>
                      <w:highlight w:val="none"/>
                      <w:lang w:val="en-US" w:eastAsia="zh-CN"/>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1033" w:type="pct"/>
                  <w:noWrap w:val="0"/>
                  <w:vAlign w:val="center"/>
                </w:tcPr>
                <w:p w14:paraId="29AFECAA">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538</w:t>
                  </w:r>
                </w:p>
              </w:tc>
              <w:tc>
                <w:tcPr>
                  <w:tcW w:w="1033" w:type="pct"/>
                  <w:noWrap w:val="0"/>
                  <w:vAlign w:val="center"/>
                </w:tcPr>
                <w:p w14:paraId="6935C425">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30</w:t>
                  </w:r>
                </w:p>
              </w:tc>
              <w:tc>
                <w:tcPr>
                  <w:tcW w:w="1033" w:type="pct"/>
                  <w:noWrap w:val="0"/>
                  <w:vAlign w:val="center"/>
                </w:tcPr>
                <w:p w14:paraId="3A687654">
                  <w:pPr>
                    <w:pStyle w:val="29"/>
                    <w:bidi w:val="0"/>
                    <w:ind w:firstLine="0" w:firstLineChars="0"/>
                    <w:jc w:val="center"/>
                    <w:rPr>
                      <w:rFonts w:hint="default"/>
                      <w:color w:val="auto"/>
                      <w:highlight w:val="none"/>
                      <w:lang w:val="en-US" w:eastAsia="zh-CN"/>
                    </w:rPr>
                  </w:pPr>
                  <w:r>
                    <w:rPr>
                      <w:rFonts w:hint="eastAsia"/>
                      <w:color w:val="auto"/>
                      <w:highlight w:val="none"/>
                      <w:lang w:val="en-US" w:eastAsia="zh-CN"/>
                    </w:rPr>
                    <w:t>7</w:t>
                  </w:r>
                </w:p>
              </w:tc>
            </w:tr>
          </w:tbl>
          <w:p w14:paraId="16485FFD">
            <w:pPr>
              <w:pStyle w:val="28"/>
              <w:keepNext w:val="0"/>
              <w:keepLines w:val="0"/>
              <w:pageBreakBefore w:val="0"/>
              <w:widowControl w:val="0"/>
              <w:kinsoku/>
              <w:wordWrap/>
              <w:overflowPunct/>
              <w:topLinePunct w:val="0"/>
              <w:autoSpaceDE/>
              <w:autoSpaceDN/>
              <w:bidi w:val="0"/>
              <w:adjustRightInd/>
              <w:snapToGrid/>
              <w:spacing w:before="175" w:beforeLines="50"/>
              <w:textAlignment w:val="auto"/>
              <w:rPr>
                <w:color w:val="auto"/>
                <w:highlight w:val="none"/>
              </w:rPr>
            </w:pPr>
            <w:r>
              <w:rPr>
                <w:color w:val="auto"/>
                <w:highlight w:val="none"/>
              </w:rPr>
              <w:t>表2-</w:t>
            </w:r>
            <w:r>
              <w:rPr>
                <w:rFonts w:hint="eastAsia"/>
                <w:color w:val="auto"/>
                <w:highlight w:val="none"/>
                <w:lang w:val="en-US" w:eastAsia="zh-CN"/>
              </w:rPr>
              <w:t xml:space="preserve">8 </w:t>
            </w:r>
            <w:r>
              <w:rPr>
                <w:color w:val="auto"/>
                <w:highlight w:val="none"/>
              </w:rPr>
              <w:t xml:space="preserve"> 本项目各特征年不同车型交通量预测结果汇总表</w:t>
            </w:r>
          </w:p>
          <w:tbl>
            <w:tblPr>
              <w:tblStyle w:val="18"/>
              <w:tblW w:w="4994"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184"/>
              <w:gridCol w:w="935"/>
              <w:gridCol w:w="877"/>
              <w:gridCol w:w="775"/>
              <w:gridCol w:w="935"/>
              <w:gridCol w:w="941"/>
              <w:gridCol w:w="935"/>
              <w:gridCol w:w="944"/>
            </w:tblGrid>
            <w:tr w14:paraId="4F0FB9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397" w:hRule="atLeast"/>
                <w:jc w:val="center"/>
              </w:trPr>
              <w:tc>
                <w:tcPr>
                  <w:tcW w:w="786" w:type="pct"/>
                  <w:vMerge w:val="restart"/>
                  <w:noWrap w:val="0"/>
                  <w:vAlign w:val="center"/>
                </w:tcPr>
                <w:p w14:paraId="14EC1A23">
                  <w:pPr>
                    <w:pStyle w:val="29"/>
                    <w:rPr>
                      <w:color w:val="auto"/>
                      <w:highlight w:val="none"/>
                    </w:rPr>
                  </w:pPr>
                  <w:r>
                    <w:rPr>
                      <w:color w:val="auto"/>
                      <w:highlight w:val="none"/>
                    </w:rPr>
                    <w:t>路段</w:t>
                  </w:r>
                </w:p>
              </w:tc>
              <w:tc>
                <w:tcPr>
                  <w:tcW w:w="621" w:type="pct"/>
                  <w:vMerge w:val="restart"/>
                  <w:noWrap w:val="0"/>
                  <w:vAlign w:val="center"/>
                </w:tcPr>
                <w:p w14:paraId="5D1C114B">
                  <w:pPr>
                    <w:pStyle w:val="29"/>
                    <w:rPr>
                      <w:color w:val="auto"/>
                      <w:highlight w:val="none"/>
                    </w:rPr>
                  </w:pPr>
                  <w:r>
                    <w:rPr>
                      <w:color w:val="auto"/>
                      <w:highlight w:val="none"/>
                    </w:rPr>
                    <w:t>预测水平年</w:t>
                  </w:r>
                </w:p>
              </w:tc>
              <w:tc>
                <w:tcPr>
                  <w:tcW w:w="1097" w:type="pct"/>
                  <w:gridSpan w:val="2"/>
                  <w:noWrap w:val="0"/>
                  <w:vAlign w:val="center"/>
                </w:tcPr>
                <w:p w14:paraId="798B3C1B">
                  <w:pPr>
                    <w:pStyle w:val="29"/>
                    <w:rPr>
                      <w:color w:val="auto"/>
                      <w:highlight w:val="none"/>
                    </w:rPr>
                  </w:pPr>
                  <w:r>
                    <w:rPr>
                      <w:color w:val="auto"/>
                      <w:highlight w:val="none"/>
                    </w:rPr>
                    <w:t>小型车（辆</w:t>
                  </w:r>
                  <w:r>
                    <w:rPr>
                      <w:rFonts w:hint="default"/>
                      <w:color w:val="auto"/>
                      <w:highlight w:val="none"/>
                    </w:rPr>
                    <w:t>/h</w:t>
                  </w:r>
                  <w:r>
                    <w:rPr>
                      <w:color w:val="auto"/>
                      <w:highlight w:val="none"/>
                    </w:rPr>
                    <w:t>）</w:t>
                  </w:r>
                </w:p>
              </w:tc>
              <w:tc>
                <w:tcPr>
                  <w:tcW w:w="1246" w:type="pct"/>
                  <w:gridSpan w:val="2"/>
                  <w:noWrap w:val="0"/>
                  <w:vAlign w:val="center"/>
                </w:tcPr>
                <w:p w14:paraId="4327EC32">
                  <w:pPr>
                    <w:pStyle w:val="29"/>
                    <w:rPr>
                      <w:color w:val="auto"/>
                      <w:highlight w:val="none"/>
                    </w:rPr>
                  </w:pPr>
                  <w:r>
                    <w:rPr>
                      <w:color w:val="auto"/>
                      <w:highlight w:val="none"/>
                    </w:rPr>
                    <w:t>中型车（辆</w:t>
                  </w:r>
                  <w:r>
                    <w:rPr>
                      <w:rFonts w:hint="default"/>
                      <w:color w:val="auto"/>
                      <w:highlight w:val="none"/>
                    </w:rPr>
                    <w:t>/h</w:t>
                  </w:r>
                  <w:r>
                    <w:rPr>
                      <w:color w:val="auto"/>
                      <w:highlight w:val="none"/>
                    </w:rPr>
                    <w:t>）</w:t>
                  </w:r>
                </w:p>
              </w:tc>
              <w:tc>
                <w:tcPr>
                  <w:tcW w:w="1248" w:type="pct"/>
                  <w:gridSpan w:val="2"/>
                  <w:noWrap w:val="0"/>
                  <w:vAlign w:val="center"/>
                </w:tcPr>
                <w:p w14:paraId="072A2F46">
                  <w:pPr>
                    <w:pStyle w:val="29"/>
                    <w:rPr>
                      <w:color w:val="auto"/>
                      <w:highlight w:val="none"/>
                    </w:rPr>
                  </w:pPr>
                  <w:r>
                    <w:rPr>
                      <w:color w:val="auto"/>
                      <w:highlight w:val="none"/>
                    </w:rPr>
                    <w:t>大型车（辆</w:t>
                  </w:r>
                  <w:r>
                    <w:rPr>
                      <w:rFonts w:hint="default"/>
                      <w:color w:val="auto"/>
                      <w:highlight w:val="none"/>
                    </w:rPr>
                    <w:t>/h</w:t>
                  </w:r>
                  <w:r>
                    <w:rPr>
                      <w:color w:val="auto"/>
                      <w:highlight w:val="none"/>
                    </w:rPr>
                    <w:t>）</w:t>
                  </w:r>
                </w:p>
              </w:tc>
            </w:tr>
            <w:tr w14:paraId="368F948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continue"/>
                  <w:noWrap w:val="0"/>
                  <w:vAlign w:val="center"/>
                </w:tcPr>
                <w:p w14:paraId="5E50596E">
                  <w:pPr>
                    <w:pStyle w:val="29"/>
                    <w:rPr>
                      <w:color w:val="auto"/>
                      <w:highlight w:val="none"/>
                    </w:rPr>
                  </w:pPr>
                </w:p>
              </w:tc>
              <w:tc>
                <w:tcPr>
                  <w:tcW w:w="621" w:type="pct"/>
                  <w:vMerge w:val="continue"/>
                  <w:noWrap w:val="0"/>
                  <w:vAlign w:val="center"/>
                </w:tcPr>
                <w:p w14:paraId="348E9C3C">
                  <w:pPr>
                    <w:pStyle w:val="29"/>
                    <w:rPr>
                      <w:color w:val="auto"/>
                      <w:highlight w:val="none"/>
                    </w:rPr>
                  </w:pPr>
                </w:p>
              </w:tc>
              <w:tc>
                <w:tcPr>
                  <w:tcW w:w="582" w:type="pct"/>
                  <w:noWrap w:val="0"/>
                  <w:vAlign w:val="center"/>
                </w:tcPr>
                <w:p w14:paraId="1B8C0D2C">
                  <w:pPr>
                    <w:pStyle w:val="29"/>
                    <w:rPr>
                      <w:color w:val="auto"/>
                      <w:highlight w:val="none"/>
                    </w:rPr>
                  </w:pPr>
                  <w:r>
                    <w:rPr>
                      <w:color w:val="auto"/>
                      <w:highlight w:val="none"/>
                    </w:rPr>
                    <w:t>昼间</w:t>
                  </w:r>
                </w:p>
              </w:tc>
              <w:tc>
                <w:tcPr>
                  <w:tcW w:w="514" w:type="pct"/>
                  <w:noWrap w:val="0"/>
                  <w:vAlign w:val="center"/>
                </w:tcPr>
                <w:p w14:paraId="599D0AC5">
                  <w:pPr>
                    <w:pStyle w:val="29"/>
                    <w:rPr>
                      <w:color w:val="auto"/>
                      <w:highlight w:val="none"/>
                    </w:rPr>
                  </w:pPr>
                  <w:r>
                    <w:rPr>
                      <w:color w:val="auto"/>
                      <w:highlight w:val="none"/>
                    </w:rPr>
                    <w:t>夜间</w:t>
                  </w:r>
                </w:p>
              </w:tc>
              <w:tc>
                <w:tcPr>
                  <w:tcW w:w="621" w:type="pct"/>
                  <w:noWrap w:val="0"/>
                  <w:vAlign w:val="center"/>
                </w:tcPr>
                <w:p w14:paraId="2681ACBD">
                  <w:pPr>
                    <w:pStyle w:val="29"/>
                    <w:rPr>
                      <w:color w:val="auto"/>
                      <w:highlight w:val="none"/>
                    </w:rPr>
                  </w:pPr>
                  <w:r>
                    <w:rPr>
                      <w:color w:val="auto"/>
                      <w:highlight w:val="none"/>
                    </w:rPr>
                    <w:t>昼间</w:t>
                  </w:r>
                </w:p>
              </w:tc>
              <w:tc>
                <w:tcPr>
                  <w:tcW w:w="625" w:type="pct"/>
                  <w:noWrap w:val="0"/>
                  <w:vAlign w:val="center"/>
                </w:tcPr>
                <w:p w14:paraId="2563EFA2">
                  <w:pPr>
                    <w:pStyle w:val="29"/>
                    <w:rPr>
                      <w:color w:val="auto"/>
                      <w:highlight w:val="none"/>
                    </w:rPr>
                  </w:pPr>
                  <w:r>
                    <w:rPr>
                      <w:color w:val="auto"/>
                      <w:highlight w:val="none"/>
                    </w:rPr>
                    <w:t>夜间</w:t>
                  </w:r>
                </w:p>
              </w:tc>
              <w:tc>
                <w:tcPr>
                  <w:tcW w:w="621" w:type="pct"/>
                  <w:noWrap w:val="0"/>
                  <w:vAlign w:val="center"/>
                </w:tcPr>
                <w:p w14:paraId="1A34B651">
                  <w:pPr>
                    <w:pStyle w:val="29"/>
                    <w:rPr>
                      <w:color w:val="auto"/>
                      <w:highlight w:val="none"/>
                    </w:rPr>
                  </w:pPr>
                  <w:r>
                    <w:rPr>
                      <w:color w:val="auto"/>
                      <w:highlight w:val="none"/>
                    </w:rPr>
                    <w:t>昼间</w:t>
                  </w:r>
                </w:p>
              </w:tc>
              <w:tc>
                <w:tcPr>
                  <w:tcW w:w="627" w:type="pct"/>
                  <w:noWrap w:val="0"/>
                  <w:vAlign w:val="center"/>
                </w:tcPr>
                <w:p w14:paraId="700FD711">
                  <w:pPr>
                    <w:pStyle w:val="29"/>
                    <w:rPr>
                      <w:color w:val="auto"/>
                      <w:highlight w:val="none"/>
                    </w:rPr>
                  </w:pPr>
                  <w:r>
                    <w:rPr>
                      <w:color w:val="auto"/>
                      <w:highlight w:val="none"/>
                    </w:rPr>
                    <w:t>夜间</w:t>
                  </w:r>
                </w:p>
              </w:tc>
            </w:tr>
            <w:tr w14:paraId="57F4429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restart"/>
                  <w:noWrap w:val="0"/>
                  <w:vAlign w:val="center"/>
                </w:tcPr>
                <w:p w14:paraId="76FE4C5F">
                  <w:pPr>
                    <w:pStyle w:val="29"/>
                    <w:rPr>
                      <w:rFonts w:hint="eastAsia" w:eastAsia="宋体"/>
                      <w:color w:val="auto"/>
                      <w:highlight w:val="none"/>
                      <w:lang w:eastAsia="zh-CN"/>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621" w:type="pct"/>
                  <w:noWrap w:val="0"/>
                  <w:vAlign w:val="center"/>
                </w:tcPr>
                <w:p w14:paraId="741B2BC7">
                  <w:pPr>
                    <w:pStyle w:val="29"/>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582" w:type="pct"/>
                  <w:noWrap w:val="0"/>
                  <w:vAlign w:val="center"/>
                </w:tcPr>
                <w:p w14:paraId="2BF989DA">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43</w:t>
                  </w:r>
                </w:p>
              </w:tc>
              <w:tc>
                <w:tcPr>
                  <w:tcW w:w="514" w:type="pct"/>
                  <w:noWrap w:val="0"/>
                  <w:vAlign w:val="center"/>
                </w:tcPr>
                <w:p w14:paraId="4B46556C">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10</w:t>
                  </w:r>
                </w:p>
              </w:tc>
              <w:tc>
                <w:tcPr>
                  <w:tcW w:w="621" w:type="pct"/>
                  <w:noWrap w:val="0"/>
                  <w:vAlign w:val="center"/>
                </w:tcPr>
                <w:p w14:paraId="1C96E992">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6</w:t>
                  </w:r>
                </w:p>
              </w:tc>
              <w:tc>
                <w:tcPr>
                  <w:tcW w:w="625" w:type="pct"/>
                  <w:noWrap w:val="0"/>
                  <w:vAlign w:val="center"/>
                </w:tcPr>
                <w:p w14:paraId="0554DE3E">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6A5C0744">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7</w:t>
                  </w:r>
                </w:p>
              </w:tc>
              <w:tc>
                <w:tcPr>
                  <w:tcW w:w="627" w:type="pct"/>
                  <w:noWrap w:val="0"/>
                  <w:vAlign w:val="center"/>
                </w:tcPr>
                <w:p w14:paraId="54A84E48">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r>
            <w:tr w14:paraId="01D2A2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continue"/>
                  <w:noWrap w:val="0"/>
                  <w:vAlign w:val="center"/>
                </w:tcPr>
                <w:p w14:paraId="6FEA1F0C">
                  <w:pPr>
                    <w:pStyle w:val="29"/>
                    <w:rPr>
                      <w:rFonts w:hint="default"/>
                      <w:color w:val="auto"/>
                      <w:highlight w:val="none"/>
                    </w:rPr>
                  </w:pPr>
                </w:p>
              </w:tc>
              <w:tc>
                <w:tcPr>
                  <w:tcW w:w="621" w:type="pct"/>
                  <w:noWrap w:val="0"/>
                  <w:vAlign w:val="center"/>
                </w:tcPr>
                <w:p w14:paraId="2197EA2D">
                  <w:pPr>
                    <w:pStyle w:val="29"/>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582" w:type="pct"/>
                  <w:noWrap w:val="0"/>
                  <w:vAlign w:val="center"/>
                </w:tcPr>
                <w:p w14:paraId="0CA489C7">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55</w:t>
                  </w:r>
                </w:p>
              </w:tc>
              <w:tc>
                <w:tcPr>
                  <w:tcW w:w="514" w:type="pct"/>
                  <w:noWrap w:val="0"/>
                  <w:vAlign w:val="center"/>
                </w:tcPr>
                <w:p w14:paraId="6BF4A792">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13</w:t>
                  </w:r>
                </w:p>
              </w:tc>
              <w:tc>
                <w:tcPr>
                  <w:tcW w:w="621" w:type="pct"/>
                  <w:noWrap w:val="0"/>
                  <w:vAlign w:val="center"/>
                </w:tcPr>
                <w:p w14:paraId="0EAD0C40">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7</w:t>
                  </w:r>
                </w:p>
              </w:tc>
              <w:tc>
                <w:tcPr>
                  <w:tcW w:w="625" w:type="pct"/>
                  <w:noWrap w:val="0"/>
                  <w:vAlign w:val="center"/>
                </w:tcPr>
                <w:p w14:paraId="5DE749B8">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7C553736">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8</w:t>
                  </w:r>
                </w:p>
              </w:tc>
              <w:tc>
                <w:tcPr>
                  <w:tcW w:w="627" w:type="pct"/>
                  <w:noWrap w:val="0"/>
                  <w:vAlign w:val="center"/>
                </w:tcPr>
                <w:p w14:paraId="70CAA80F">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r>
            <w:tr w14:paraId="315DD4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continue"/>
                  <w:noWrap w:val="0"/>
                  <w:vAlign w:val="center"/>
                </w:tcPr>
                <w:p w14:paraId="2B8CE00C">
                  <w:pPr>
                    <w:pStyle w:val="29"/>
                    <w:rPr>
                      <w:rFonts w:hint="default"/>
                      <w:color w:val="auto"/>
                      <w:highlight w:val="none"/>
                    </w:rPr>
                  </w:pPr>
                </w:p>
              </w:tc>
              <w:tc>
                <w:tcPr>
                  <w:tcW w:w="621" w:type="pct"/>
                  <w:noWrap w:val="0"/>
                  <w:vAlign w:val="center"/>
                </w:tcPr>
                <w:p w14:paraId="14EDBC08">
                  <w:pPr>
                    <w:pStyle w:val="29"/>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582" w:type="pct"/>
                  <w:noWrap w:val="0"/>
                  <w:vAlign w:val="center"/>
                </w:tcPr>
                <w:p w14:paraId="143C5C22">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70</w:t>
                  </w:r>
                </w:p>
              </w:tc>
              <w:tc>
                <w:tcPr>
                  <w:tcW w:w="514" w:type="pct"/>
                  <w:noWrap w:val="0"/>
                  <w:vAlign w:val="center"/>
                </w:tcPr>
                <w:p w14:paraId="41730BCC">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16</w:t>
                  </w:r>
                </w:p>
              </w:tc>
              <w:tc>
                <w:tcPr>
                  <w:tcW w:w="621" w:type="pct"/>
                  <w:noWrap w:val="0"/>
                  <w:vAlign w:val="center"/>
                </w:tcPr>
                <w:p w14:paraId="0B4D32D1">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8</w:t>
                  </w:r>
                </w:p>
              </w:tc>
              <w:tc>
                <w:tcPr>
                  <w:tcW w:w="625" w:type="pct"/>
                  <w:noWrap w:val="0"/>
                  <w:vAlign w:val="center"/>
                </w:tcPr>
                <w:p w14:paraId="73018FA8">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2</w:t>
                  </w:r>
                </w:p>
              </w:tc>
              <w:tc>
                <w:tcPr>
                  <w:tcW w:w="621" w:type="pct"/>
                  <w:noWrap w:val="0"/>
                  <w:vAlign w:val="center"/>
                </w:tcPr>
                <w:p w14:paraId="20B996C9">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11</w:t>
                  </w:r>
                </w:p>
              </w:tc>
              <w:tc>
                <w:tcPr>
                  <w:tcW w:w="627" w:type="pct"/>
                  <w:noWrap w:val="0"/>
                  <w:vAlign w:val="center"/>
                </w:tcPr>
                <w:p w14:paraId="0837553D">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2</w:t>
                  </w:r>
                </w:p>
              </w:tc>
            </w:tr>
            <w:tr w14:paraId="67F15A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restart"/>
                  <w:shd w:val="clear" w:color="auto" w:fill="auto"/>
                  <w:noWrap w:val="0"/>
                  <w:vAlign w:val="center"/>
                </w:tcPr>
                <w:p w14:paraId="386D74B3">
                  <w:pPr>
                    <w:pStyle w:val="29"/>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eastAsia="zh-CN"/>
                    </w:rPr>
                    <w:t>四级公路（</w:t>
                  </w:r>
                  <w:r>
                    <w:rPr>
                      <w:rFonts w:hint="eastAsia"/>
                      <w:color w:val="auto"/>
                      <w:szCs w:val="21"/>
                      <w:highlight w:val="none"/>
                      <w:lang w:val="en-US" w:eastAsia="zh-CN"/>
                    </w:rPr>
                    <w:t>K48+240</w:t>
                  </w:r>
                  <w:r>
                    <w:rPr>
                      <w:rFonts w:hint="eastAsia"/>
                      <w:color w:val="auto"/>
                      <w:szCs w:val="21"/>
                      <w:highlight w:val="none"/>
                      <w:lang w:eastAsia="zh-CN"/>
                    </w:rPr>
                    <w:t>～</w:t>
                  </w:r>
                  <w:r>
                    <w:rPr>
                      <w:rFonts w:hint="eastAsia"/>
                      <w:color w:val="auto"/>
                      <w:szCs w:val="21"/>
                      <w:highlight w:val="none"/>
                      <w:lang w:val="en-US" w:eastAsia="zh-CN"/>
                    </w:rPr>
                    <w:t>K55+161</w:t>
                  </w:r>
                  <w:r>
                    <w:rPr>
                      <w:rFonts w:hint="eastAsia"/>
                      <w:color w:val="auto"/>
                      <w:highlight w:val="none"/>
                      <w:lang w:eastAsia="zh-CN"/>
                    </w:rPr>
                    <w:t>）</w:t>
                  </w:r>
                </w:p>
              </w:tc>
              <w:tc>
                <w:tcPr>
                  <w:tcW w:w="621" w:type="pct"/>
                  <w:noWrap w:val="0"/>
                  <w:vAlign w:val="center"/>
                </w:tcPr>
                <w:p w14:paraId="6E0E59A1">
                  <w:pPr>
                    <w:pStyle w:val="29"/>
                    <w:keepNext w:val="0"/>
                    <w:keepLines w:val="0"/>
                    <w:pageBreakBefore w:val="0"/>
                    <w:kinsoku/>
                    <w:wordWrap/>
                    <w:overflowPunct/>
                    <w:topLinePunct w:val="0"/>
                    <w:autoSpaceDE/>
                    <w:autoSpaceDN/>
                    <w:bidi w:val="0"/>
                    <w:adjustRightInd/>
                    <w:ind w:firstLine="0" w:firstLineChars="0"/>
                    <w:rPr>
                      <w:rFonts w:hint="eastAsia"/>
                      <w:color w:val="auto"/>
                      <w:highlight w:val="none"/>
                      <w:lang w:val="en-US" w:eastAsia="zh-CN"/>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582" w:type="pct"/>
                  <w:noWrap w:val="0"/>
                  <w:vAlign w:val="center"/>
                </w:tcPr>
                <w:p w14:paraId="646DCBDB">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15</w:t>
                  </w:r>
                </w:p>
              </w:tc>
              <w:tc>
                <w:tcPr>
                  <w:tcW w:w="514" w:type="pct"/>
                  <w:noWrap w:val="0"/>
                  <w:vAlign w:val="center"/>
                </w:tcPr>
                <w:p w14:paraId="63A05A69">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3</w:t>
                  </w:r>
                </w:p>
              </w:tc>
              <w:tc>
                <w:tcPr>
                  <w:tcW w:w="621" w:type="pct"/>
                  <w:noWrap w:val="0"/>
                  <w:vAlign w:val="center"/>
                </w:tcPr>
                <w:p w14:paraId="74F68F02">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2</w:t>
                  </w:r>
                </w:p>
              </w:tc>
              <w:tc>
                <w:tcPr>
                  <w:tcW w:w="625" w:type="pct"/>
                  <w:noWrap w:val="0"/>
                  <w:vAlign w:val="center"/>
                </w:tcPr>
                <w:p w14:paraId="2787D209">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0</w:t>
                  </w:r>
                </w:p>
              </w:tc>
              <w:tc>
                <w:tcPr>
                  <w:tcW w:w="621" w:type="pct"/>
                  <w:noWrap w:val="0"/>
                  <w:vAlign w:val="center"/>
                </w:tcPr>
                <w:p w14:paraId="7B050817">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2</w:t>
                  </w:r>
                </w:p>
              </w:tc>
              <w:tc>
                <w:tcPr>
                  <w:tcW w:w="627" w:type="pct"/>
                  <w:noWrap w:val="0"/>
                  <w:vAlign w:val="center"/>
                </w:tcPr>
                <w:p w14:paraId="3614B85F">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r>
            <w:tr w14:paraId="73B05E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continue"/>
                  <w:noWrap w:val="0"/>
                  <w:vAlign w:val="center"/>
                </w:tcPr>
                <w:p w14:paraId="40284684">
                  <w:pPr>
                    <w:pStyle w:val="29"/>
                    <w:rPr>
                      <w:rFonts w:hint="default"/>
                      <w:color w:val="auto"/>
                      <w:highlight w:val="none"/>
                    </w:rPr>
                  </w:pPr>
                </w:p>
              </w:tc>
              <w:tc>
                <w:tcPr>
                  <w:tcW w:w="621" w:type="pct"/>
                  <w:noWrap w:val="0"/>
                  <w:vAlign w:val="center"/>
                </w:tcPr>
                <w:p w14:paraId="3C108943">
                  <w:pPr>
                    <w:pStyle w:val="29"/>
                    <w:keepNext w:val="0"/>
                    <w:keepLines w:val="0"/>
                    <w:pageBreakBefore w:val="0"/>
                    <w:kinsoku/>
                    <w:wordWrap/>
                    <w:overflowPunct/>
                    <w:topLinePunct w:val="0"/>
                    <w:autoSpaceDE/>
                    <w:autoSpaceDN/>
                    <w:bidi w:val="0"/>
                    <w:adjustRightInd/>
                    <w:ind w:firstLine="0" w:firstLineChars="0"/>
                    <w:rPr>
                      <w:rFonts w:hint="eastAsia"/>
                      <w:color w:val="auto"/>
                      <w:highlight w:val="none"/>
                      <w:lang w:val="en-US" w:eastAsia="zh-CN"/>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582" w:type="pct"/>
                  <w:noWrap w:val="0"/>
                  <w:vAlign w:val="center"/>
                </w:tcPr>
                <w:p w14:paraId="2A753E63">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19</w:t>
                  </w:r>
                </w:p>
              </w:tc>
              <w:tc>
                <w:tcPr>
                  <w:tcW w:w="514" w:type="pct"/>
                  <w:noWrap w:val="0"/>
                  <w:vAlign w:val="center"/>
                </w:tcPr>
                <w:p w14:paraId="183A9F92">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3</w:t>
                  </w:r>
                </w:p>
              </w:tc>
              <w:tc>
                <w:tcPr>
                  <w:tcW w:w="621" w:type="pct"/>
                  <w:noWrap w:val="0"/>
                  <w:vAlign w:val="center"/>
                </w:tcPr>
                <w:p w14:paraId="47F5275B">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2</w:t>
                  </w:r>
                </w:p>
              </w:tc>
              <w:tc>
                <w:tcPr>
                  <w:tcW w:w="625" w:type="pct"/>
                  <w:noWrap w:val="0"/>
                  <w:vAlign w:val="center"/>
                </w:tcPr>
                <w:p w14:paraId="3C03DC2F">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062C6084">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3</w:t>
                  </w:r>
                </w:p>
              </w:tc>
              <w:tc>
                <w:tcPr>
                  <w:tcW w:w="627" w:type="pct"/>
                  <w:noWrap w:val="0"/>
                  <w:vAlign w:val="center"/>
                </w:tcPr>
                <w:p w14:paraId="196E7F77">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r>
            <w:tr w14:paraId="44F1BD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86" w:type="pct"/>
                  <w:vMerge w:val="continue"/>
                  <w:noWrap w:val="0"/>
                  <w:vAlign w:val="center"/>
                </w:tcPr>
                <w:p w14:paraId="36101BF7">
                  <w:pPr>
                    <w:pStyle w:val="29"/>
                    <w:rPr>
                      <w:rFonts w:hint="default"/>
                      <w:color w:val="auto"/>
                      <w:highlight w:val="none"/>
                    </w:rPr>
                  </w:pPr>
                </w:p>
              </w:tc>
              <w:tc>
                <w:tcPr>
                  <w:tcW w:w="621" w:type="pct"/>
                  <w:noWrap w:val="0"/>
                  <w:vAlign w:val="center"/>
                </w:tcPr>
                <w:p w14:paraId="437E24EB">
                  <w:pPr>
                    <w:pStyle w:val="29"/>
                    <w:keepNext w:val="0"/>
                    <w:keepLines w:val="0"/>
                    <w:pageBreakBefore w:val="0"/>
                    <w:kinsoku/>
                    <w:wordWrap/>
                    <w:overflowPunct/>
                    <w:topLinePunct w:val="0"/>
                    <w:autoSpaceDE/>
                    <w:autoSpaceDN/>
                    <w:bidi w:val="0"/>
                    <w:adjustRightInd/>
                    <w:ind w:firstLine="0" w:firstLineChars="0"/>
                    <w:rPr>
                      <w:rFonts w:hint="eastAsia"/>
                      <w:color w:val="auto"/>
                      <w:highlight w:val="none"/>
                      <w:lang w:val="en-US" w:eastAsia="zh-CN"/>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582" w:type="pct"/>
                  <w:noWrap w:val="0"/>
                  <w:vAlign w:val="center"/>
                </w:tcPr>
                <w:p w14:paraId="79AA7C77">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24</w:t>
                  </w:r>
                </w:p>
              </w:tc>
              <w:tc>
                <w:tcPr>
                  <w:tcW w:w="514" w:type="pct"/>
                  <w:noWrap w:val="0"/>
                  <w:vAlign w:val="center"/>
                </w:tcPr>
                <w:p w14:paraId="22160630">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5</w:t>
                  </w:r>
                </w:p>
              </w:tc>
              <w:tc>
                <w:tcPr>
                  <w:tcW w:w="621" w:type="pct"/>
                  <w:noWrap w:val="0"/>
                  <w:vAlign w:val="center"/>
                </w:tcPr>
                <w:p w14:paraId="08FBCCB3">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3</w:t>
                  </w:r>
                </w:p>
              </w:tc>
              <w:tc>
                <w:tcPr>
                  <w:tcW w:w="625" w:type="pct"/>
                  <w:noWrap w:val="0"/>
                  <w:vAlign w:val="center"/>
                </w:tcPr>
                <w:p w14:paraId="4D443E3A">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1BB96FAA">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3</w:t>
                  </w:r>
                </w:p>
              </w:tc>
              <w:tc>
                <w:tcPr>
                  <w:tcW w:w="627" w:type="pct"/>
                  <w:noWrap w:val="0"/>
                  <w:vAlign w:val="center"/>
                </w:tcPr>
                <w:p w14:paraId="3916DD3F">
                  <w:pPr>
                    <w:pStyle w:val="29"/>
                    <w:bidi w:val="0"/>
                    <w:ind w:firstLine="0" w:firstLineChars="0"/>
                    <w:jc w:val="center"/>
                    <w:rPr>
                      <w:rFonts w:hint="default" w:eastAsia="宋体"/>
                      <w:color w:val="auto"/>
                      <w:highlight w:val="none"/>
                      <w:lang w:val="en-US" w:eastAsia="zh-CN"/>
                    </w:rPr>
                  </w:pPr>
                  <w:r>
                    <w:rPr>
                      <w:rFonts w:hint="eastAsia"/>
                      <w:color w:val="auto"/>
                      <w:highlight w:val="none"/>
                      <w:lang w:val="en-US" w:eastAsia="zh-CN"/>
                    </w:rPr>
                    <w:t>1</w:t>
                  </w:r>
                </w:p>
              </w:tc>
            </w:tr>
          </w:tbl>
          <w:p w14:paraId="7020C517">
            <w:pPr>
              <w:ind w:firstLine="480"/>
              <w:rPr>
                <w:rFonts w:hint="eastAsia"/>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路基工程</w:t>
            </w:r>
          </w:p>
          <w:p w14:paraId="25B4FB1D">
            <w:pPr>
              <w:ind w:firstLine="480"/>
              <w:rPr>
                <w:rFonts w:hint="eastAsia"/>
                <w:color w:val="auto"/>
                <w:highlight w:val="none"/>
                <w:lang w:eastAsia="zh-CN"/>
              </w:rPr>
            </w:pPr>
            <w:r>
              <w:rPr>
                <w:rFonts w:eastAsia="宋体"/>
                <w:color w:val="auto"/>
                <w:highlight w:val="none"/>
              </w:rPr>
              <w:t>本项目在既有旧路路基范围内施工，路基范围保持不变，不进行路基帮宽。</w:t>
            </w:r>
          </w:p>
          <w:p w14:paraId="205FF853">
            <w:pPr>
              <w:ind w:firstLine="480"/>
              <w:rPr>
                <w:rFonts w:hint="eastAsia"/>
                <w:color w:val="auto"/>
                <w:highlight w:val="none"/>
                <w:lang w:eastAsia="zh-CN"/>
              </w:rPr>
            </w:pPr>
            <w:r>
              <w:rPr>
                <w:rFonts w:hint="eastAsia"/>
                <w:color w:val="auto"/>
                <w:highlight w:val="none"/>
                <w:lang w:eastAsia="zh-CN"/>
              </w:rPr>
              <w:t>①路基宽度横断面布置</w:t>
            </w:r>
          </w:p>
          <w:p w14:paraId="157E916C">
            <w:pPr>
              <w:pStyle w:val="5"/>
              <w:spacing w:line="360" w:lineRule="auto"/>
              <w:ind w:left="0" w:leftChars="0" w:firstLine="480" w:firstLineChars="200"/>
              <w:rPr>
                <w:rFonts w:hint="eastAsia"/>
                <w:color w:val="auto"/>
                <w:highlight w:val="none"/>
              </w:rPr>
            </w:pPr>
            <w:r>
              <w:rPr>
                <w:rFonts w:hint="eastAsia"/>
                <w:color w:val="auto"/>
                <w:highlight w:val="none"/>
                <w:lang w:eastAsia="zh-CN"/>
              </w:rPr>
              <w:t>三级公路</w:t>
            </w:r>
            <w:r>
              <w:rPr>
                <w:rFonts w:hint="eastAsia"/>
                <w:color w:val="auto"/>
                <w:highlight w:val="none"/>
              </w:rPr>
              <w:t>路基全宽</w:t>
            </w:r>
            <w:r>
              <w:rPr>
                <w:rFonts w:hint="eastAsia"/>
                <w:color w:val="auto"/>
                <w:highlight w:val="none"/>
                <w:lang w:val="en-US" w:eastAsia="zh-CN"/>
              </w:rPr>
              <w:t>7.5</w:t>
            </w:r>
            <w:r>
              <w:rPr>
                <w:rFonts w:hint="eastAsia"/>
                <w:color w:val="auto"/>
                <w:highlight w:val="none"/>
              </w:rPr>
              <w:t>m整体式断面，行车道2×</w:t>
            </w:r>
            <w:r>
              <w:rPr>
                <w:rFonts w:hint="eastAsia"/>
                <w:color w:val="auto"/>
                <w:highlight w:val="none"/>
                <w:lang w:val="en-US" w:eastAsia="zh-CN"/>
              </w:rPr>
              <w:t>3.25</w:t>
            </w:r>
            <w:r>
              <w:rPr>
                <w:rFonts w:hint="eastAsia"/>
                <w:color w:val="auto"/>
                <w:highlight w:val="none"/>
              </w:rPr>
              <w:t>m</w:t>
            </w:r>
            <w:r>
              <w:rPr>
                <w:rFonts w:hint="eastAsia"/>
                <w:color w:val="auto"/>
                <w:highlight w:val="none"/>
                <w:lang w:val="en-US" w:eastAsia="zh-CN"/>
              </w:rPr>
              <w:t>/2</w:t>
            </w:r>
            <w:r>
              <w:rPr>
                <w:rFonts w:hint="eastAsia"/>
                <w:color w:val="auto"/>
                <w:highlight w:val="none"/>
              </w:rPr>
              <w:t>×</w:t>
            </w:r>
            <w:r>
              <w:rPr>
                <w:rFonts w:hint="eastAsia"/>
                <w:color w:val="auto"/>
                <w:highlight w:val="none"/>
                <w:lang w:val="en-US" w:eastAsia="zh-CN"/>
              </w:rPr>
              <w:t>3m</w:t>
            </w:r>
            <w:r>
              <w:rPr>
                <w:rFonts w:hint="eastAsia"/>
                <w:color w:val="auto"/>
                <w:highlight w:val="none"/>
              </w:rPr>
              <w:t>，土路肩2×0.</w:t>
            </w:r>
            <w:r>
              <w:rPr>
                <w:rFonts w:hint="eastAsia"/>
                <w:color w:val="auto"/>
                <w:highlight w:val="none"/>
                <w:lang w:val="en-US" w:eastAsia="zh-CN"/>
              </w:rPr>
              <w:t>5</w:t>
            </w:r>
            <w:r>
              <w:rPr>
                <w:rFonts w:hint="eastAsia"/>
                <w:color w:val="auto"/>
                <w:highlight w:val="none"/>
              </w:rPr>
              <w:t>m</w:t>
            </w:r>
            <w:r>
              <w:rPr>
                <w:rFonts w:hint="eastAsia"/>
                <w:color w:val="auto"/>
                <w:highlight w:val="none"/>
                <w:lang w:val="en-US" w:eastAsia="zh-CN"/>
              </w:rPr>
              <w:t>/</w:t>
            </w:r>
            <w:r>
              <w:rPr>
                <w:rFonts w:hint="eastAsia"/>
                <w:color w:val="auto"/>
                <w:highlight w:val="none"/>
              </w:rPr>
              <w:t>2×0.</w:t>
            </w:r>
            <w:r>
              <w:rPr>
                <w:rFonts w:hint="eastAsia"/>
                <w:color w:val="auto"/>
                <w:highlight w:val="none"/>
                <w:lang w:val="en-US" w:eastAsia="zh-CN"/>
              </w:rPr>
              <w:t>75</w:t>
            </w:r>
            <w:r>
              <w:rPr>
                <w:rFonts w:hint="eastAsia"/>
                <w:color w:val="auto"/>
                <w:highlight w:val="none"/>
              </w:rPr>
              <w:t>m。</w:t>
            </w:r>
          </w:p>
          <w:p w14:paraId="10FDD07B">
            <w:pPr>
              <w:ind w:firstLine="480"/>
              <w:rPr>
                <w:rFonts w:hint="eastAsia"/>
                <w:color w:val="auto"/>
                <w:highlight w:val="none"/>
              </w:rPr>
            </w:pPr>
            <w:r>
              <w:rPr>
                <w:rFonts w:hint="eastAsia"/>
                <w:color w:val="auto"/>
                <w:highlight w:val="none"/>
                <w:lang w:eastAsia="zh-CN"/>
              </w:rPr>
              <w:t>三级公路</w:t>
            </w:r>
            <w:r>
              <w:rPr>
                <w:rFonts w:hint="eastAsia"/>
                <w:color w:val="auto"/>
                <w:highlight w:val="none"/>
              </w:rPr>
              <w:t>断面具体组成为：</w:t>
            </w:r>
          </w:p>
          <w:p w14:paraId="632016EA">
            <w:pPr>
              <w:ind w:firstLine="480"/>
              <w:rPr>
                <w:rFonts w:hint="eastAsia"/>
                <w:color w:val="auto"/>
                <w:highlight w:val="none"/>
              </w:rPr>
            </w:pPr>
            <w:r>
              <w:rPr>
                <w:rFonts w:hint="eastAsia"/>
                <w:color w:val="auto"/>
                <w:highlight w:val="none"/>
              </w:rPr>
              <w:t>0.5m（土路肩）+3.</w:t>
            </w:r>
            <w:r>
              <w:rPr>
                <w:rFonts w:hint="eastAsia"/>
                <w:color w:val="auto"/>
                <w:highlight w:val="none"/>
                <w:lang w:val="en-US" w:eastAsia="zh-CN"/>
              </w:rPr>
              <w:t>2</w:t>
            </w:r>
            <w:r>
              <w:rPr>
                <w:rFonts w:hint="eastAsia"/>
                <w:color w:val="auto"/>
                <w:highlight w:val="none"/>
              </w:rPr>
              <w:t>5m（行车道）+3.</w:t>
            </w:r>
            <w:r>
              <w:rPr>
                <w:rFonts w:hint="eastAsia"/>
                <w:color w:val="auto"/>
                <w:highlight w:val="none"/>
                <w:lang w:val="en-US" w:eastAsia="zh-CN"/>
              </w:rPr>
              <w:t>2</w:t>
            </w:r>
            <w:r>
              <w:rPr>
                <w:rFonts w:hint="eastAsia"/>
                <w:color w:val="auto"/>
                <w:highlight w:val="none"/>
              </w:rPr>
              <w:t>5m（行车道）+0.5m（土路肩）</w:t>
            </w:r>
          </w:p>
          <w:p w14:paraId="1A69C8D5">
            <w:pPr>
              <w:ind w:firstLine="480"/>
              <w:rPr>
                <w:rFonts w:hint="eastAsia"/>
                <w:color w:val="auto"/>
                <w:highlight w:val="none"/>
              </w:rPr>
            </w:pPr>
            <w:r>
              <w:rPr>
                <w:rFonts w:hint="eastAsia"/>
                <w:color w:val="auto"/>
                <w:highlight w:val="none"/>
              </w:rPr>
              <w:t>0.</w:t>
            </w:r>
            <w:r>
              <w:rPr>
                <w:rFonts w:hint="eastAsia"/>
                <w:color w:val="auto"/>
                <w:highlight w:val="none"/>
                <w:lang w:val="en-US" w:eastAsia="zh-CN"/>
              </w:rPr>
              <w:t>7</w:t>
            </w:r>
            <w:r>
              <w:rPr>
                <w:rFonts w:hint="eastAsia"/>
                <w:color w:val="auto"/>
                <w:highlight w:val="none"/>
              </w:rPr>
              <w:t>5m（土路肩）+3m（行车道）+3m（行车道）+0.</w:t>
            </w:r>
            <w:r>
              <w:rPr>
                <w:rFonts w:hint="eastAsia"/>
                <w:color w:val="auto"/>
                <w:highlight w:val="none"/>
                <w:lang w:val="en-US" w:eastAsia="zh-CN"/>
              </w:rPr>
              <w:t>7</w:t>
            </w:r>
            <w:r>
              <w:rPr>
                <w:rFonts w:hint="eastAsia"/>
                <w:color w:val="auto"/>
                <w:highlight w:val="none"/>
              </w:rPr>
              <w:t>5m（土路肩）</w:t>
            </w:r>
          </w:p>
          <w:p w14:paraId="22554E73">
            <w:pPr>
              <w:pStyle w:val="5"/>
              <w:ind w:left="0" w:leftChars="0" w:firstLine="0" w:firstLineChars="0"/>
              <w:jc w:val="center"/>
              <w:rPr>
                <w:rFonts w:hint="default"/>
                <w:color w:val="auto"/>
                <w:highlight w:val="none"/>
                <w:lang w:val="en-US" w:eastAsia="zh-CN"/>
              </w:rPr>
            </w:pPr>
            <w:r>
              <w:rPr>
                <w:color w:val="auto"/>
              </w:rPr>
              <w:drawing>
                <wp:inline distT="0" distB="0" distL="114300" distR="114300">
                  <wp:extent cx="4779645" cy="2565400"/>
                  <wp:effectExtent l="0" t="0" r="1905" b="6350"/>
                  <wp:docPr id="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
                          <pic:cNvPicPr>
                            <a:picLocks noChangeAspect="1"/>
                          </pic:cNvPicPr>
                        </pic:nvPicPr>
                        <pic:blipFill>
                          <a:blip r:embed="rId12"/>
                          <a:stretch>
                            <a:fillRect/>
                          </a:stretch>
                        </pic:blipFill>
                        <pic:spPr>
                          <a:xfrm>
                            <a:off x="0" y="0"/>
                            <a:ext cx="4779645" cy="2565400"/>
                          </a:xfrm>
                          <a:prstGeom prst="rect">
                            <a:avLst/>
                          </a:prstGeom>
                          <a:noFill/>
                          <a:ln>
                            <a:noFill/>
                          </a:ln>
                        </pic:spPr>
                      </pic:pic>
                    </a:graphicData>
                  </a:graphic>
                </wp:inline>
              </w:drawing>
            </w:r>
          </w:p>
          <w:p w14:paraId="3686CCE1">
            <w:pPr>
              <w:ind w:left="0" w:leftChars="0" w:firstLine="0" w:firstLineChars="0"/>
              <w:jc w:val="center"/>
              <w:rPr>
                <w:rFonts w:hint="eastAsia"/>
                <w:color w:val="auto"/>
                <w:highlight w:val="none"/>
                <w:lang w:eastAsia="zh-CN"/>
              </w:rPr>
            </w:pPr>
            <w:r>
              <w:rPr>
                <w:rFonts w:hint="eastAsia" w:eastAsia="黑体"/>
                <w:color w:val="auto"/>
                <w:sz w:val="24"/>
                <w:highlight w:val="none"/>
                <w:lang w:val="en-US" w:eastAsia="zh-CN"/>
              </w:rPr>
              <w:t>图2-1  路基宽度横断面布置图（三级公路）</w:t>
            </w:r>
          </w:p>
          <w:p w14:paraId="348FEA34">
            <w:pPr>
              <w:ind w:firstLine="480"/>
              <w:rPr>
                <w:rFonts w:hint="eastAsia"/>
                <w:color w:val="auto"/>
                <w:highlight w:val="none"/>
              </w:rPr>
            </w:pPr>
            <w:r>
              <w:rPr>
                <w:rFonts w:hint="eastAsia"/>
                <w:color w:val="auto"/>
                <w:highlight w:val="none"/>
                <w:lang w:eastAsia="zh-CN"/>
              </w:rPr>
              <w:t>四级公路</w:t>
            </w:r>
            <w:r>
              <w:rPr>
                <w:rFonts w:hint="eastAsia"/>
                <w:color w:val="auto"/>
                <w:highlight w:val="none"/>
              </w:rPr>
              <w:t>路基全宽</w:t>
            </w:r>
            <w:r>
              <w:rPr>
                <w:rFonts w:hint="eastAsia"/>
                <w:color w:val="auto"/>
                <w:highlight w:val="none"/>
                <w:lang w:val="en-US" w:eastAsia="zh-CN"/>
              </w:rPr>
              <w:t>6</w:t>
            </w:r>
            <w:r>
              <w:rPr>
                <w:rFonts w:hint="eastAsia"/>
                <w:color w:val="auto"/>
                <w:highlight w:val="none"/>
              </w:rPr>
              <w:t>m整体式断面，行车道</w:t>
            </w:r>
            <w:r>
              <w:rPr>
                <w:rFonts w:hint="eastAsia"/>
                <w:color w:val="auto"/>
                <w:highlight w:val="none"/>
                <w:lang w:val="en-US" w:eastAsia="zh-CN"/>
              </w:rPr>
              <w:t>1</w:t>
            </w:r>
            <w:r>
              <w:rPr>
                <w:rFonts w:hint="eastAsia"/>
                <w:color w:val="auto"/>
                <w:highlight w:val="none"/>
              </w:rPr>
              <w:t>×</w:t>
            </w:r>
            <w:r>
              <w:rPr>
                <w:rFonts w:hint="eastAsia"/>
                <w:color w:val="auto"/>
                <w:highlight w:val="none"/>
                <w:lang w:val="en-US" w:eastAsia="zh-CN"/>
              </w:rPr>
              <w:t>4.5</w:t>
            </w:r>
            <w:r>
              <w:rPr>
                <w:rFonts w:hint="eastAsia"/>
                <w:color w:val="auto"/>
                <w:highlight w:val="none"/>
              </w:rPr>
              <w:t>m</w:t>
            </w:r>
            <w:r>
              <w:rPr>
                <w:rFonts w:hint="eastAsia"/>
                <w:color w:val="auto"/>
                <w:highlight w:val="none"/>
                <w:lang w:val="en-US" w:eastAsia="zh-CN"/>
              </w:rPr>
              <w:t>/1</w:t>
            </w:r>
            <w:r>
              <w:rPr>
                <w:rFonts w:hint="eastAsia"/>
                <w:color w:val="auto"/>
                <w:highlight w:val="none"/>
              </w:rPr>
              <w:t>×</w:t>
            </w:r>
            <w:r>
              <w:rPr>
                <w:rFonts w:hint="eastAsia"/>
                <w:color w:val="auto"/>
                <w:highlight w:val="none"/>
                <w:lang w:val="en-US" w:eastAsia="zh-CN"/>
              </w:rPr>
              <w:t>3.5</w:t>
            </w:r>
            <w:r>
              <w:rPr>
                <w:rFonts w:hint="eastAsia"/>
                <w:color w:val="auto"/>
                <w:highlight w:val="none"/>
              </w:rPr>
              <w:t>m，土路肩2×</w:t>
            </w:r>
            <w:r>
              <w:rPr>
                <w:rFonts w:hint="eastAsia"/>
                <w:color w:val="auto"/>
                <w:highlight w:val="none"/>
                <w:lang w:val="en-US" w:eastAsia="zh-CN"/>
              </w:rPr>
              <w:t>0.75</w:t>
            </w:r>
            <w:r>
              <w:rPr>
                <w:rFonts w:hint="eastAsia"/>
                <w:color w:val="auto"/>
                <w:highlight w:val="none"/>
              </w:rPr>
              <w:t>m</w:t>
            </w:r>
            <w:r>
              <w:rPr>
                <w:rFonts w:hint="eastAsia"/>
                <w:color w:val="auto"/>
                <w:highlight w:val="none"/>
                <w:lang w:val="en-US" w:eastAsia="zh-CN"/>
              </w:rPr>
              <w:t>/</w:t>
            </w:r>
            <w:r>
              <w:rPr>
                <w:rFonts w:hint="eastAsia"/>
                <w:color w:val="auto"/>
                <w:highlight w:val="none"/>
              </w:rPr>
              <w:t>2×</w:t>
            </w:r>
            <w:r>
              <w:rPr>
                <w:rFonts w:hint="eastAsia"/>
                <w:color w:val="auto"/>
                <w:highlight w:val="none"/>
                <w:lang w:val="en-US" w:eastAsia="zh-CN"/>
              </w:rPr>
              <w:t>1.25</w:t>
            </w:r>
            <w:r>
              <w:rPr>
                <w:rFonts w:hint="eastAsia"/>
                <w:color w:val="auto"/>
                <w:highlight w:val="none"/>
              </w:rPr>
              <w:t>m。</w:t>
            </w:r>
          </w:p>
          <w:p w14:paraId="4DEC10F0">
            <w:pPr>
              <w:ind w:firstLine="480"/>
              <w:rPr>
                <w:rFonts w:hint="eastAsia"/>
                <w:color w:val="auto"/>
                <w:highlight w:val="none"/>
              </w:rPr>
            </w:pPr>
            <w:r>
              <w:rPr>
                <w:rFonts w:hint="eastAsia"/>
                <w:color w:val="auto"/>
                <w:highlight w:val="none"/>
                <w:lang w:eastAsia="zh-CN"/>
              </w:rPr>
              <w:t>四级公路</w:t>
            </w:r>
            <w:r>
              <w:rPr>
                <w:rFonts w:hint="eastAsia"/>
                <w:color w:val="auto"/>
                <w:highlight w:val="none"/>
              </w:rPr>
              <w:t>断面</w:t>
            </w:r>
            <w:r>
              <w:rPr>
                <w:rFonts w:hint="eastAsia" w:ascii="Times New Roman" w:hAnsi="Times New Roman" w:eastAsia="宋体" w:cs="Times New Roman"/>
                <w:color w:val="auto"/>
                <w:highlight w:val="none"/>
                <w:lang w:eastAsia="zh-CN"/>
              </w:rPr>
              <w:t>具体</w:t>
            </w:r>
            <w:r>
              <w:rPr>
                <w:rFonts w:hint="eastAsia"/>
                <w:color w:val="auto"/>
                <w:highlight w:val="none"/>
              </w:rPr>
              <w:t>组成为：</w:t>
            </w:r>
          </w:p>
          <w:p w14:paraId="49DB5DF6">
            <w:pPr>
              <w:ind w:firstLine="480"/>
              <w:rPr>
                <w:rFonts w:hint="eastAsia"/>
                <w:color w:val="auto"/>
                <w:highlight w:val="none"/>
              </w:rPr>
            </w:pPr>
            <w:r>
              <w:rPr>
                <w:rFonts w:hint="eastAsia"/>
                <w:color w:val="auto"/>
                <w:highlight w:val="none"/>
              </w:rPr>
              <w:t>0.</w:t>
            </w:r>
            <w:r>
              <w:rPr>
                <w:rFonts w:hint="eastAsia"/>
                <w:color w:val="auto"/>
                <w:highlight w:val="none"/>
                <w:lang w:val="en-US" w:eastAsia="zh-CN"/>
              </w:rPr>
              <w:t>7</w:t>
            </w:r>
            <w:r>
              <w:rPr>
                <w:rFonts w:hint="eastAsia"/>
                <w:color w:val="auto"/>
                <w:highlight w:val="none"/>
              </w:rPr>
              <w:t>5m（土路肩）+</w:t>
            </w:r>
            <w:r>
              <w:rPr>
                <w:rFonts w:hint="eastAsia"/>
                <w:color w:val="auto"/>
                <w:highlight w:val="none"/>
                <w:lang w:val="en-US" w:eastAsia="zh-CN"/>
              </w:rPr>
              <w:t>4.5</w:t>
            </w:r>
            <w:r>
              <w:rPr>
                <w:rFonts w:hint="eastAsia"/>
                <w:color w:val="auto"/>
                <w:highlight w:val="none"/>
              </w:rPr>
              <w:t>m（行车道）+0.</w:t>
            </w:r>
            <w:r>
              <w:rPr>
                <w:rFonts w:hint="eastAsia"/>
                <w:color w:val="auto"/>
                <w:highlight w:val="none"/>
                <w:lang w:val="en-US" w:eastAsia="zh-CN"/>
              </w:rPr>
              <w:t>7</w:t>
            </w:r>
            <w:r>
              <w:rPr>
                <w:rFonts w:hint="eastAsia"/>
                <w:color w:val="auto"/>
                <w:highlight w:val="none"/>
              </w:rPr>
              <w:t>5m（土路肩）</w:t>
            </w:r>
          </w:p>
          <w:p w14:paraId="083DA848">
            <w:pPr>
              <w:ind w:firstLine="480"/>
              <w:rPr>
                <w:rFonts w:hint="eastAsia"/>
                <w:color w:val="auto"/>
                <w:highlight w:val="none"/>
              </w:rPr>
            </w:pPr>
            <w:r>
              <w:rPr>
                <w:rFonts w:hint="eastAsia"/>
                <w:color w:val="auto"/>
                <w:highlight w:val="none"/>
                <w:lang w:val="en-US" w:eastAsia="zh-CN"/>
              </w:rPr>
              <w:t>1.25</w:t>
            </w:r>
            <w:r>
              <w:rPr>
                <w:rFonts w:hint="eastAsia"/>
                <w:color w:val="auto"/>
                <w:highlight w:val="none"/>
              </w:rPr>
              <w:t>m（土路肩）+</w:t>
            </w:r>
            <w:r>
              <w:rPr>
                <w:rFonts w:hint="eastAsia"/>
                <w:color w:val="auto"/>
                <w:highlight w:val="none"/>
                <w:lang w:val="en-US" w:eastAsia="zh-CN"/>
              </w:rPr>
              <w:t>3.5</w:t>
            </w:r>
            <w:r>
              <w:rPr>
                <w:rFonts w:hint="eastAsia"/>
                <w:color w:val="auto"/>
                <w:highlight w:val="none"/>
              </w:rPr>
              <w:t>m（行车道）+</w:t>
            </w:r>
            <w:r>
              <w:rPr>
                <w:rFonts w:hint="eastAsia"/>
                <w:color w:val="auto"/>
                <w:highlight w:val="none"/>
                <w:lang w:val="en-US" w:eastAsia="zh-CN"/>
              </w:rPr>
              <w:t>1.25</w:t>
            </w:r>
            <w:r>
              <w:rPr>
                <w:rFonts w:hint="eastAsia"/>
                <w:color w:val="auto"/>
                <w:highlight w:val="none"/>
              </w:rPr>
              <w:t>m（土路肩）</w:t>
            </w:r>
          </w:p>
          <w:p w14:paraId="1F9C58D5">
            <w:pPr>
              <w:pStyle w:val="5"/>
              <w:ind w:left="0" w:leftChars="0" w:firstLine="0" w:firstLineChars="0"/>
              <w:jc w:val="center"/>
              <w:rPr>
                <w:rFonts w:hint="eastAsia" w:eastAsia="黑体"/>
                <w:color w:val="auto"/>
                <w:sz w:val="24"/>
                <w:lang w:val="en-US" w:eastAsia="zh-CN"/>
              </w:rPr>
            </w:pPr>
            <w:r>
              <w:rPr>
                <w:color w:val="auto"/>
              </w:rPr>
              <w:drawing>
                <wp:inline distT="0" distB="0" distL="114300" distR="114300">
                  <wp:extent cx="4782185" cy="3066415"/>
                  <wp:effectExtent l="0" t="0" r="18415" b="635"/>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
                          <pic:cNvPicPr>
                            <a:picLocks noChangeAspect="1"/>
                          </pic:cNvPicPr>
                        </pic:nvPicPr>
                        <pic:blipFill>
                          <a:blip r:embed="rId13"/>
                          <a:stretch>
                            <a:fillRect/>
                          </a:stretch>
                        </pic:blipFill>
                        <pic:spPr>
                          <a:xfrm>
                            <a:off x="0" y="0"/>
                            <a:ext cx="4782185" cy="3066415"/>
                          </a:xfrm>
                          <a:prstGeom prst="rect">
                            <a:avLst/>
                          </a:prstGeom>
                          <a:noFill/>
                          <a:ln>
                            <a:noFill/>
                          </a:ln>
                        </pic:spPr>
                      </pic:pic>
                    </a:graphicData>
                  </a:graphic>
                </wp:inline>
              </w:drawing>
            </w:r>
          </w:p>
          <w:p w14:paraId="287A0822">
            <w:pPr>
              <w:ind w:left="0" w:leftChars="0" w:firstLine="0" w:firstLineChars="0"/>
              <w:jc w:val="center"/>
              <w:rPr>
                <w:rFonts w:hint="eastAsia" w:eastAsia="黑体"/>
                <w:color w:val="auto"/>
                <w:sz w:val="24"/>
                <w:lang w:val="en-US" w:eastAsia="zh-CN"/>
              </w:rPr>
            </w:pPr>
            <w:r>
              <w:rPr>
                <w:rFonts w:hint="eastAsia" w:eastAsia="黑体"/>
                <w:color w:val="auto"/>
                <w:sz w:val="24"/>
                <w:lang w:val="en-US" w:eastAsia="zh-CN"/>
              </w:rPr>
              <w:t>图2-2  路基宽度横断面布置图（四级公路）</w:t>
            </w:r>
          </w:p>
          <w:p w14:paraId="09A5411A">
            <w:pPr>
              <w:ind w:firstLine="480"/>
              <w:rPr>
                <w:rFonts w:hint="default" w:ascii="Times New Roman" w:hAnsi="Times New Roman" w:cs="Times New Roman"/>
                <w:color w:val="auto"/>
                <w:lang w:eastAsia="zh-CN"/>
              </w:rPr>
            </w:pPr>
            <w:r>
              <w:rPr>
                <w:rFonts w:hint="default" w:ascii="Times New Roman" w:hAnsi="Times New Roman" w:cs="Times New Roman"/>
                <w:color w:val="auto"/>
                <w:lang w:eastAsia="zh-CN"/>
              </w:rPr>
              <w:t>②路基高度</w:t>
            </w:r>
          </w:p>
          <w:p w14:paraId="31EB9CA7">
            <w:pPr>
              <w:keepNext w:val="0"/>
              <w:keepLines w:val="0"/>
              <w:widowControl/>
              <w:suppressLineNumbers w:val="0"/>
              <w:jc w:val="left"/>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
              </w:rPr>
              <w:t>路基高度按工程地质、水文地质、路基填筑材料、桥涵构造物净高等要求进行设计，其中穿越村屯段应以村屯的规划控制高进行设计，便于远期与村屯内的道路网合理衔接。</w:t>
            </w:r>
          </w:p>
          <w:p w14:paraId="56C56563">
            <w:pPr>
              <w:ind w:firstLine="480"/>
              <w:rPr>
                <w:rFonts w:hint="default" w:ascii="Times New Roman" w:hAnsi="Times New Roman" w:cs="Times New Roman"/>
                <w:color w:val="auto"/>
                <w:lang w:eastAsia="zh-CN"/>
              </w:rPr>
            </w:pPr>
            <w:r>
              <w:rPr>
                <w:rFonts w:hint="default" w:ascii="Times New Roman" w:hAnsi="Times New Roman" w:cs="Times New Roman"/>
                <w:color w:val="auto"/>
                <w:lang w:eastAsia="zh-CN"/>
              </w:rPr>
              <w:t>③路基边坡坡率</w:t>
            </w:r>
          </w:p>
          <w:p w14:paraId="37A60547">
            <w:pPr>
              <w:keepNext w:val="0"/>
              <w:keepLines w:val="0"/>
              <w:widowControl/>
              <w:suppressLineNumbers w:val="0"/>
              <w:jc w:val="both"/>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
              </w:rPr>
              <w:t>填方路段根据填料种类、填土高度等情况，参照《公路路基设计规范》选用边坡坡率。本项目路基填高均小于6m，所以填方边坡均</w:t>
            </w:r>
            <w:r>
              <w:rPr>
                <w:rFonts w:hint="eastAsia" w:cs="Times New Roman"/>
                <w:color w:val="auto"/>
                <w:kern w:val="0"/>
                <w:sz w:val="24"/>
                <w:szCs w:val="24"/>
                <w:lang w:val="en-US" w:eastAsia="zh-CN" w:bidi="ar"/>
              </w:rPr>
              <w:t>采用</w:t>
            </w:r>
            <w:r>
              <w:rPr>
                <w:rFonts w:hint="default" w:ascii="Times New Roman" w:hAnsi="Times New Roman" w:eastAsia="宋体" w:cs="Times New Roman"/>
                <w:color w:val="auto"/>
                <w:kern w:val="0"/>
                <w:sz w:val="24"/>
                <w:szCs w:val="24"/>
                <w:lang w:val="en-US" w:eastAsia="zh-CN" w:bidi="ar"/>
              </w:rPr>
              <w:t>1:1.5；本项目的挖深不大，路堑边坡均采用为1∶1。</w:t>
            </w:r>
          </w:p>
          <w:p w14:paraId="3AD98D59">
            <w:pPr>
              <w:ind w:firstLine="480"/>
              <w:rPr>
                <w:rFonts w:hint="default" w:ascii="Times New Roman" w:hAnsi="Times New Roman" w:cs="Times New Roman"/>
                <w:color w:val="auto"/>
              </w:rPr>
            </w:pPr>
            <w:r>
              <w:rPr>
                <w:rFonts w:hint="default" w:ascii="Times New Roman" w:hAnsi="Times New Roman" w:cs="Times New Roman"/>
                <w:color w:val="auto"/>
                <w:lang w:eastAsia="zh-CN"/>
              </w:rPr>
              <w:t>④</w:t>
            </w:r>
            <w:r>
              <w:rPr>
                <w:rFonts w:hint="default" w:ascii="Times New Roman" w:hAnsi="Times New Roman" w:cs="Times New Roman"/>
                <w:color w:val="auto"/>
              </w:rPr>
              <w:t>路基防护</w:t>
            </w:r>
          </w:p>
          <w:p w14:paraId="53F95C8B">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lang w:val="en-US" w:eastAsia="zh-CN" w:bidi="ar"/>
              </w:rPr>
              <w:t>路基防护主要是依据工程地质、水文条件及填挖高度来处理，全线路堤采</w:t>
            </w:r>
            <w:r>
              <w:rPr>
                <w:rFonts w:hint="default" w:ascii="Times New Roman" w:hAnsi="Times New Roman" w:eastAsia="宋体" w:cs="Times New Roman"/>
                <w:color w:val="auto"/>
                <w:kern w:val="0"/>
                <w:sz w:val="24"/>
                <w:szCs w:val="24"/>
                <w:highlight w:val="none"/>
                <w:lang w:val="en-US" w:eastAsia="zh-CN" w:bidi="ar"/>
              </w:rPr>
              <w:t>用</w:t>
            </w:r>
            <w:r>
              <w:rPr>
                <w:rFonts w:hint="eastAsia" w:cs="Times New Roman"/>
                <w:color w:val="auto"/>
                <w:kern w:val="0"/>
                <w:sz w:val="24"/>
                <w:szCs w:val="24"/>
                <w:highlight w:val="none"/>
                <w:lang w:val="en-US" w:eastAsia="zh-CN" w:bidi="ar"/>
              </w:rPr>
              <w:t>植草</w:t>
            </w:r>
            <w:r>
              <w:rPr>
                <w:rFonts w:hint="default" w:ascii="Times New Roman" w:hAnsi="Times New Roman" w:eastAsia="宋体" w:cs="Times New Roman"/>
                <w:color w:val="auto"/>
                <w:kern w:val="0"/>
                <w:sz w:val="24"/>
                <w:szCs w:val="24"/>
                <w:highlight w:val="none"/>
                <w:lang w:val="en-US" w:eastAsia="zh-CN" w:bidi="ar"/>
              </w:rPr>
              <w:t>防护型式。</w:t>
            </w:r>
          </w:p>
          <w:p w14:paraId="64510668">
            <w:pPr>
              <w:keepNext w:val="0"/>
              <w:keepLines w:val="0"/>
              <w:widowControl/>
              <w:suppressLineNumbers w:val="0"/>
              <w:jc w:val="left"/>
              <w:rPr>
                <w:rFonts w:hint="default" w:ascii="Times New Roman" w:hAnsi="Times New Roman" w:cs="Times New Roman"/>
                <w:color w:val="auto"/>
              </w:rPr>
            </w:pPr>
            <w:r>
              <w:rPr>
                <w:rFonts w:hint="default" w:ascii="Times New Roman" w:hAnsi="Times New Roman" w:cs="Times New Roman"/>
                <w:color w:val="auto"/>
                <w:lang w:eastAsia="zh-CN"/>
              </w:rPr>
              <w:t>⑤</w:t>
            </w:r>
            <w:r>
              <w:rPr>
                <w:rFonts w:hint="default" w:ascii="Times New Roman" w:hAnsi="Times New Roman" w:cs="Times New Roman"/>
                <w:color w:val="auto"/>
              </w:rPr>
              <w:t>路基、路面排水</w:t>
            </w:r>
          </w:p>
          <w:p w14:paraId="0DFC66D9">
            <w:pPr>
              <w:keepNext w:val="0"/>
              <w:keepLines w:val="0"/>
              <w:widowControl/>
              <w:suppressLineNumbers w:val="0"/>
              <w:jc w:val="left"/>
              <w:rPr>
                <w:color w:val="auto"/>
              </w:rPr>
            </w:pPr>
            <w:r>
              <w:rPr>
                <w:rFonts w:hint="eastAsia" w:ascii="宋体" w:hAnsi="宋体" w:eastAsia="宋体" w:cs="宋体"/>
                <w:color w:val="auto"/>
                <w:kern w:val="0"/>
                <w:sz w:val="24"/>
                <w:szCs w:val="24"/>
                <w:lang w:val="en-US" w:eastAsia="zh-CN" w:bidi="ar"/>
              </w:rPr>
              <w:t>路基路面排水采用边沟、排水沟等设施，主要考虑利用旧路边沟，原有砖砌排水沟村屯段利用原沟排水。</w:t>
            </w:r>
          </w:p>
          <w:p w14:paraId="40CB8171">
            <w:pPr>
              <w:ind w:firstLine="480"/>
              <w:rPr>
                <w:rFonts w:hint="eastAsia"/>
                <w:color w:val="auto"/>
                <w:highlight w:val="none"/>
              </w:rPr>
            </w:pPr>
            <w:r>
              <w:rPr>
                <w:rFonts w:hint="eastAsia"/>
                <w:color w:val="auto"/>
                <w:highlight w:val="none"/>
                <w:lang w:val="en-US" w:eastAsia="zh-CN"/>
              </w:rPr>
              <w:t>（4）</w:t>
            </w:r>
            <w:r>
              <w:rPr>
                <w:rFonts w:hint="eastAsia"/>
                <w:color w:val="auto"/>
                <w:highlight w:val="none"/>
              </w:rPr>
              <w:t>路面工程</w:t>
            </w:r>
          </w:p>
          <w:p w14:paraId="430C0987">
            <w:pPr>
              <w:snapToGrid w:val="0"/>
              <w:ind w:firstLine="640"/>
              <w:rPr>
                <w:rFonts w:hint="eastAsia" w:ascii="Times New Roman" w:hAnsi="Times New Roman" w:eastAsia="宋体" w:cs="Times New Roman"/>
                <w:color w:val="auto"/>
                <w:highlight w:val="none"/>
                <w:lang w:val="en-US" w:eastAsia="zh-CN"/>
              </w:rPr>
            </w:pPr>
            <w:r>
              <w:rPr>
                <w:color w:val="auto"/>
                <w:sz w:val="24"/>
                <w:szCs w:val="24"/>
                <w:highlight w:val="none"/>
              </w:rPr>
              <w:t>本项目</w:t>
            </w:r>
            <w:r>
              <w:rPr>
                <w:rFonts w:hint="eastAsia"/>
                <w:color w:val="auto"/>
                <w:highlight w:val="none"/>
                <w:lang w:val="en-US" w:eastAsia="zh-CN"/>
              </w:rPr>
              <w:t>线路桩号K18+920</w:t>
            </w:r>
            <w:r>
              <w:rPr>
                <w:rFonts w:hint="eastAsia" w:ascii="Times New Roman" w:hAnsi="Times New Roman" w:eastAsia="宋体" w:cs="Times New Roman"/>
                <w:color w:val="auto"/>
                <w:highlight w:val="none"/>
                <w:lang w:val="en-US" w:eastAsia="zh-CN"/>
              </w:rPr>
              <w:t>～</w:t>
            </w:r>
            <w:r>
              <w:rPr>
                <w:rFonts w:hint="eastAsia"/>
                <w:color w:val="auto"/>
                <w:highlight w:val="none"/>
                <w:lang w:val="en-US" w:eastAsia="zh-CN"/>
              </w:rPr>
              <w:t>K20+680</w:t>
            </w:r>
            <w:r>
              <w:rPr>
                <w:rFonts w:hint="eastAsia"/>
                <w:color w:val="auto"/>
                <w:sz w:val="24"/>
                <w:szCs w:val="24"/>
                <w:highlight w:val="none"/>
                <w:lang w:val="en-US" w:eastAsia="zh-CN"/>
              </w:rPr>
              <w:t>段约1.76km</w:t>
            </w:r>
            <w:r>
              <w:rPr>
                <w:color w:val="auto"/>
                <w:sz w:val="24"/>
                <w:szCs w:val="24"/>
                <w:highlight w:val="none"/>
              </w:rPr>
              <w:t>穿越生态保护</w:t>
            </w:r>
            <w:r>
              <w:rPr>
                <w:rFonts w:hint="eastAsia" w:ascii="Times New Roman" w:hAnsi="Times New Roman" w:eastAsia="宋体" w:cs="Times New Roman"/>
                <w:color w:val="auto"/>
                <w:highlight w:val="none"/>
                <w:lang w:val="en-US" w:eastAsia="zh-CN"/>
              </w:rPr>
              <w:t>红线，本项目线路桩号</w:t>
            </w:r>
            <w:r>
              <w:rPr>
                <w:rFonts w:hint="eastAsia"/>
                <w:color w:val="auto"/>
                <w:sz w:val="24"/>
                <w:szCs w:val="24"/>
                <w:highlight w:val="none"/>
                <w:lang w:val="en-US" w:eastAsia="zh-CN"/>
              </w:rPr>
              <w:t>K19+150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w:t>
            </w:r>
            <w:r>
              <w:rPr>
                <w:rFonts w:hint="eastAsia" w:ascii="Times New Roman" w:hAnsi="Times New Roman" w:eastAsia="宋体" w:cs="Times New Roman"/>
                <w:color w:val="auto"/>
                <w:highlight w:val="none"/>
                <w:lang w:val="en-US" w:eastAsia="zh-CN"/>
              </w:rPr>
              <w:t>段约1.53km穿越黑龙江东升省级自然</w:t>
            </w:r>
            <w:r>
              <w:rPr>
                <w:rFonts w:hint="eastAsia"/>
                <w:color w:val="auto"/>
                <w:kern w:val="0"/>
                <w:szCs w:val="21"/>
                <w:highlight w:val="none"/>
              </w:rPr>
              <w:t>保护区</w:t>
            </w:r>
            <w:r>
              <w:rPr>
                <w:rFonts w:hint="eastAsia"/>
                <w:color w:val="auto"/>
                <w:kern w:val="0"/>
                <w:szCs w:val="21"/>
                <w:highlight w:val="none"/>
                <w:lang w:eastAsia="zh-CN"/>
              </w:rPr>
              <w:t>，</w:t>
            </w:r>
            <w:r>
              <w:rPr>
                <w:rFonts w:hint="eastAsia"/>
                <w:color w:val="auto"/>
                <w:highlight w:val="none"/>
                <w:lang w:val="en-US" w:eastAsia="zh-CN"/>
              </w:rPr>
              <w:t>线路桩号K40+900～K51+600段约10.7km穿越黑龙江完达山国家级森林公园，项目</w:t>
            </w:r>
            <w:r>
              <w:rPr>
                <w:rFonts w:ascii="宋体" w:hAnsi="宋体" w:eastAsia="宋体" w:cs="宋体"/>
                <w:color w:val="auto"/>
                <w:sz w:val="24"/>
                <w:szCs w:val="24"/>
              </w:rPr>
              <w:t>穿越</w:t>
            </w:r>
            <w:r>
              <w:rPr>
                <w:rFonts w:hint="eastAsia" w:ascii="宋体" w:hAnsi="宋体" w:eastAsia="宋体" w:cs="宋体"/>
                <w:color w:val="auto"/>
                <w:sz w:val="24"/>
                <w:szCs w:val="24"/>
                <w:lang w:eastAsia="zh-CN"/>
              </w:rPr>
              <w:t>上述生态敏感区</w:t>
            </w:r>
            <w:r>
              <w:rPr>
                <w:rFonts w:ascii="宋体" w:hAnsi="宋体" w:eastAsia="宋体" w:cs="宋体"/>
                <w:color w:val="auto"/>
                <w:sz w:val="24"/>
                <w:szCs w:val="24"/>
              </w:rPr>
              <w:t>路段对现状既有路面进</w:t>
            </w:r>
            <w:r>
              <w:rPr>
                <w:rFonts w:ascii="宋体" w:hAnsi="宋体" w:eastAsia="宋体" w:cs="宋体"/>
                <w:color w:val="auto"/>
                <w:sz w:val="24"/>
                <w:szCs w:val="24"/>
                <w:highlight w:val="none"/>
              </w:rPr>
              <w:t>行</w:t>
            </w:r>
            <w:r>
              <w:rPr>
                <w:rFonts w:hint="eastAsia" w:ascii="宋体" w:hAnsi="宋体" w:eastAsia="宋体" w:cs="宋体"/>
                <w:color w:val="auto"/>
                <w:sz w:val="24"/>
                <w:szCs w:val="24"/>
                <w:highlight w:val="none"/>
                <w:lang w:eastAsia="zh-CN"/>
              </w:rPr>
              <w:t>维护</w:t>
            </w:r>
            <w:r>
              <w:rPr>
                <w:rFonts w:ascii="宋体" w:hAnsi="宋体" w:eastAsia="宋体" w:cs="宋体"/>
                <w:color w:val="auto"/>
                <w:sz w:val="24"/>
                <w:szCs w:val="24"/>
                <w:highlight w:val="none"/>
              </w:rPr>
              <w:t>，不拓宽路面</w:t>
            </w:r>
            <w:r>
              <w:rPr>
                <w:rFonts w:hint="eastAsia" w:ascii="Times New Roman" w:hAnsi="Times New Roman"/>
                <w:color w:val="auto"/>
                <w:sz w:val="24"/>
                <w:szCs w:val="24"/>
                <w:highlight w:val="none"/>
                <w:lang w:eastAsia="zh-CN"/>
              </w:rPr>
              <w:t>。三级</w:t>
            </w:r>
            <w:r>
              <w:rPr>
                <w:rFonts w:hint="eastAsia" w:ascii="Times New Roman" w:hAnsi="Times New Roman" w:eastAsia="宋体" w:cs="Times New Roman"/>
                <w:color w:val="auto"/>
                <w:highlight w:val="none"/>
                <w:lang w:val="en-US" w:eastAsia="zh-CN"/>
              </w:rPr>
              <w:t>公路</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lang w:val="en-US" w:eastAsia="zh-CN"/>
              </w:rPr>
              <w:t>K12+391～K18+920、K20+680～K40+900路段路面宽度6.5m，</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18+920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20+680</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40+900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48+240</w:t>
            </w:r>
            <w:r>
              <w:rPr>
                <w:rFonts w:hint="eastAsia" w:ascii="Times New Roman" w:hAnsi="Times New Roman" w:eastAsia="宋体" w:cs="Times New Roman"/>
                <w:color w:val="auto"/>
                <w:highlight w:val="none"/>
                <w:lang w:val="en-US" w:eastAsia="zh-CN"/>
              </w:rPr>
              <w:t>路段路面宽度6.</w:t>
            </w:r>
            <w:r>
              <w:rPr>
                <w:rFonts w:hint="eastAsia" w:cs="Times New Roman"/>
                <w:color w:val="auto"/>
                <w:highlight w:val="none"/>
                <w:lang w:val="en-US" w:eastAsia="zh-CN"/>
              </w:rPr>
              <w:t>0</w:t>
            </w:r>
            <w:r>
              <w:rPr>
                <w:rFonts w:hint="eastAsia" w:ascii="Times New Roman" w:hAnsi="Times New Roman" w:eastAsia="宋体" w:cs="Times New Roman"/>
                <w:color w:val="auto"/>
                <w:highlight w:val="none"/>
                <w:lang w:val="en-US" w:eastAsia="zh-CN"/>
              </w:rPr>
              <w:t>m；四级公路</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48+240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51+600</w:t>
            </w:r>
            <w:r>
              <w:rPr>
                <w:rFonts w:hint="eastAsia" w:ascii="Times New Roman" w:hAnsi="Times New Roman" w:eastAsia="宋体" w:cs="Times New Roman"/>
                <w:color w:val="auto"/>
                <w:highlight w:val="none"/>
              </w:rPr>
              <w:t>路段</w:t>
            </w:r>
            <w:r>
              <w:rPr>
                <w:rFonts w:hint="eastAsia" w:ascii="Times New Roman" w:hAnsi="Times New Roman" w:eastAsia="宋体" w:cs="Times New Roman"/>
                <w:color w:val="auto"/>
                <w:highlight w:val="none"/>
                <w:lang w:val="en-US" w:eastAsia="zh-CN"/>
              </w:rPr>
              <w:t>路面宽度3.5m，</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51+600</w:t>
            </w:r>
            <w:r>
              <w:rPr>
                <w:rFonts w:hint="eastAsia" w:ascii="Times New Roman" w:hAnsi="Times New Roman" w:eastAsia="宋体" w:cs="Times New Roman"/>
                <w:color w:val="auto"/>
                <w:highlight w:val="none"/>
              </w:rPr>
              <w:t>～K55+161路段</w:t>
            </w:r>
            <w:r>
              <w:rPr>
                <w:rFonts w:hint="eastAsia" w:ascii="Times New Roman" w:hAnsi="Times New Roman" w:eastAsia="宋体" w:cs="Times New Roman"/>
                <w:color w:val="auto"/>
                <w:highlight w:val="none"/>
                <w:lang w:val="en-US" w:eastAsia="zh-CN"/>
              </w:rPr>
              <w:t>路面宽度4.5m。</w:t>
            </w:r>
          </w:p>
          <w:p w14:paraId="026B9655">
            <w:pPr>
              <w:keepNext w:val="0"/>
              <w:keepLines w:val="0"/>
              <w:widowControl/>
              <w:suppressLineNumbers w:val="0"/>
              <w:jc w:val="left"/>
              <w:rPr>
                <w:rFonts w:hint="eastAsia"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项目采用的路面类型及组合设计具体方案如下：</w:t>
            </w:r>
          </w:p>
          <w:p w14:paraId="475560E9">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①一般路段（结构性修复）：</w:t>
            </w:r>
          </w:p>
          <w:p w14:paraId="64DB6709">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上面层：22cm水泥混凝土</w:t>
            </w:r>
          </w:p>
          <w:p w14:paraId="25B764A6">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下基层：18cm5%水泥稳定级配碎石</w:t>
            </w:r>
          </w:p>
          <w:p w14:paraId="6565057C">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帮  宽：20cm贫混凝土</w:t>
            </w:r>
          </w:p>
          <w:p w14:paraId="4DD94F24">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旧水泥混凝土路面与帮宽部位碎石化</w:t>
            </w:r>
          </w:p>
          <w:p w14:paraId="6BBFBBA0">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②特殊路基处理新建路面结构：</w:t>
            </w:r>
          </w:p>
          <w:p w14:paraId="5AD97AC8">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上面层：22cm水泥混凝土</w:t>
            </w:r>
          </w:p>
          <w:p w14:paraId="76BCF309">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上基层：18cm5%水泥稳定级配碎石</w:t>
            </w:r>
          </w:p>
          <w:p w14:paraId="60A85F10">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下基层：18cm4.5%水泥稳定级配碎石</w:t>
            </w:r>
          </w:p>
          <w:p w14:paraId="2FC917AE">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③K</w:t>
            </w:r>
            <w:r>
              <w:rPr>
                <w:rFonts w:hint="default" w:ascii="Times New Roman" w:hAnsi="Times New Roman" w:eastAsia="宋体" w:cs="Times New Roman"/>
                <w:color w:val="auto"/>
                <w:kern w:val="0"/>
                <w:sz w:val="24"/>
                <w:szCs w:val="24"/>
                <w:highlight w:val="none"/>
                <w:lang w:val="en-US" w:eastAsia="zh-CN" w:bidi="ar"/>
              </w:rPr>
              <w:t>18+920</w:t>
            </w:r>
            <w:r>
              <w:rPr>
                <w:rFonts w:hint="eastAsia" w:cs="Times New Roman"/>
                <w:color w:val="auto"/>
                <w:kern w:val="0"/>
                <w:sz w:val="24"/>
                <w:szCs w:val="24"/>
                <w:highlight w:val="none"/>
                <w:lang w:val="en-US" w:eastAsia="zh-CN" w:bidi="ar"/>
              </w:rPr>
              <w:t>-</w:t>
            </w:r>
            <w:r>
              <w:rPr>
                <w:rFonts w:hint="eastAsia" w:ascii="Times New Roman" w:hAnsi="Times New Roman" w:eastAsia="宋体" w:cs="Times New Roman"/>
                <w:color w:val="auto"/>
                <w:kern w:val="0"/>
                <w:sz w:val="24"/>
                <w:szCs w:val="24"/>
                <w:highlight w:val="none"/>
                <w:lang w:val="en-US" w:eastAsia="zh-CN" w:bidi="ar"/>
              </w:rPr>
              <w:t>K20+6</w:t>
            </w:r>
            <w:r>
              <w:rPr>
                <w:rFonts w:hint="eastAsia" w:cs="Times New Roman"/>
                <w:color w:val="auto"/>
                <w:kern w:val="0"/>
                <w:sz w:val="24"/>
                <w:szCs w:val="24"/>
                <w:highlight w:val="none"/>
                <w:lang w:val="en-US" w:eastAsia="zh-CN" w:bidi="ar"/>
              </w:rPr>
              <w:t>8</w:t>
            </w:r>
            <w:r>
              <w:rPr>
                <w:rFonts w:hint="eastAsia" w:ascii="Times New Roman" w:hAnsi="Times New Roman" w:eastAsia="宋体" w:cs="Times New Roman"/>
                <w:color w:val="auto"/>
                <w:kern w:val="0"/>
                <w:sz w:val="24"/>
                <w:szCs w:val="24"/>
                <w:highlight w:val="none"/>
                <w:lang w:val="en-US" w:eastAsia="zh-CN" w:bidi="ar"/>
              </w:rPr>
              <w:t>0及K40+900</w:t>
            </w:r>
            <w:r>
              <w:rPr>
                <w:rFonts w:hint="eastAsia" w:cs="Times New Roman"/>
                <w:color w:val="auto"/>
                <w:kern w:val="0"/>
                <w:sz w:val="24"/>
                <w:szCs w:val="24"/>
                <w:highlight w:val="none"/>
                <w:lang w:val="en-US" w:eastAsia="zh-CN" w:bidi="ar"/>
              </w:rPr>
              <w:t>-</w:t>
            </w:r>
            <w:r>
              <w:rPr>
                <w:rFonts w:hint="eastAsia" w:ascii="Times New Roman" w:hAnsi="Times New Roman" w:eastAsia="宋体" w:cs="Times New Roman"/>
                <w:color w:val="auto"/>
                <w:kern w:val="0"/>
                <w:sz w:val="24"/>
                <w:szCs w:val="24"/>
                <w:highlight w:val="none"/>
                <w:lang w:val="en-US" w:eastAsia="zh-CN" w:bidi="ar"/>
              </w:rPr>
              <w:t>K51+600段路面结构（</w:t>
            </w:r>
            <w:r>
              <w:rPr>
                <w:rFonts w:hint="eastAsia" w:cs="Times New Roman"/>
                <w:color w:val="auto"/>
                <w:kern w:val="0"/>
                <w:sz w:val="24"/>
                <w:szCs w:val="24"/>
                <w:highlight w:val="none"/>
                <w:lang w:val="en-US" w:eastAsia="zh-CN" w:bidi="ar"/>
              </w:rPr>
              <w:t>生态</w:t>
            </w:r>
            <w:r>
              <w:rPr>
                <w:rFonts w:hint="eastAsia" w:ascii="Times New Roman" w:hAnsi="Times New Roman" w:eastAsia="宋体" w:cs="Times New Roman"/>
                <w:color w:val="auto"/>
                <w:kern w:val="0"/>
                <w:sz w:val="24"/>
                <w:szCs w:val="24"/>
                <w:highlight w:val="none"/>
                <w:lang w:val="en-US" w:eastAsia="zh-CN" w:bidi="ar"/>
              </w:rPr>
              <w:t>敏感区路段）：</w:t>
            </w:r>
          </w:p>
          <w:p w14:paraId="136DACFF">
            <w:pPr>
              <w:keepNext w:val="0"/>
              <w:keepLines w:val="0"/>
              <w:widowControl/>
              <w:suppressLineNumbers w:val="0"/>
              <w:jc w:val="left"/>
              <w:rPr>
                <w:rFonts w:hint="default" w:ascii="Times New Roman" w:hAnsi="Times New Roman" w:eastAsia="宋体" w:cs="Times New Roman"/>
                <w:color w:val="auto"/>
                <w:kern w:val="0"/>
                <w:sz w:val="24"/>
                <w:szCs w:val="24"/>
                <w:highlight w:val="none"/>
                <w:lang w:val="en-US" w:eastAsia="zh-CN" w:bidi="ar"/>
              </w:rPr>
            </w:pPr>
            <w:r>
              <w:rPr>
                <w:rFonts w:hint="eastAsia" w:ascii="Times New Roman" w:hAnsi="Times New Roman" w:eastAsia="宋体" w:cs="Times New Roman"/>
                <w:color w:val="auto"/>
                <w:kern w:val="0"/>
                <w:sz w:val="24"/>
                <w:szCs w:val="24"/>
                <w:highlight w:val="none"/>
                <w:lang w:val="en-US" w:eastAsia="zh-CN" w:bidi="ar"/>
              </w:rPr>
              <w:t>面层：22cm水泥混凝土</w:t>
            </w:r>
          </w:p>
          <w:p w14:paraId="5C3C2738">
            <w:pPr>
              <w:rPr>
                <w:rFonts w:hint="eastAsia"/>
                <w:color w:val="auto"/>
                <w:lang w:val="en-US" w:eastAsia="zh-CN"/>
              </w:rPr>
            </w:pPr>
            <w:r>
              <w:rPr>
                <w:rFonts w:hint="eastAsia"/>
                <w:color w:val="auto"/>
                <w:lang w:eastAsia="zh-CN"/>
              </w:rPr>
              <w:t>详见图</w:t>
            </w:r>
            <w:r>
              <w:rPr>
                <w:rFonts w:hint="eastAsia"/>
                <w:color w:val="auto"/>
                <w:lang w:val="en-US" w:eastAsia="zh-CN"/>
              </w:rPr>
              <w:t>2-3至图2-6。</w:t>
            </w:r>
          </w:p>
          <w:p w14:paraId="51720A5C">
            <w:pPr>
              <w:ind w:left="0" w:leftChars="0" w:firstLine="0" w:firstLineChars="0"/>
              <w:jc w:val="center"/>
              <w:rPr>
                <w:color w:val="auto"/>
              </w:rPr>
            </w:pPr>
            <w:r>
              <w:rPr>
                <w:color w:val="auto"/>
              </w:rPr>
              <w:drawing>
                <wp:inline distT="0" distB="0" distL="114300" distR="114300">
                  <wp:extent cx="4336415" cy="2741295"/>
                  <wp:effectExtent l="0" t="0" r="6985" b="190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4"/>
                          <a:stretch>
                            <a:fillRect/>
                          </a:stretch>
                        </pic:blipFill>
                        <pic:spPr>
                          <a:xfrm>
                            <a:off x="0" y="0"/>
                            <a:ext cx="4336415" cy="2741295"/>
                          </a:xfrm>
                          <a:prstGeom prst="rect">
                            <a:avLst/>
                          </a:prstGeom>
                          <a:noFill/>
                          <a:ln>
                            <a:noFill/>
                          </a:ln>
                        </pic:spPr>
                      </pic:pic>
                    </a:graphicData>
                  </a:graphic>
                </wp:inline>
              </w:drawing>
            </w:r>
          </w:p>
          <w:p w14:paraId="0A2A0739">
            <w:pPr>
              <w:pStyle w:val="5"/>
              <w:ind w:left="0" w:leftChars="0" w:firstLine="0" w:firstLineChars="0"/>
              <w:jc w:val="center"/>
              <w:rPr>
                <w:rFonts w:hint="default" w:ascii="Times New Roman" w:hAnsi="Times New Roman" w:eastAsia="黑体" w:cs="Times New Roman"/>
                <w:color w:val="auto"/>
                <w:highlight w:val="none"/>
              </w:rPr>
            </w:pPr>
            <w:r>
              <w:rPr>
                <w:rFonts w:hint="default" w:ascii="Times New Roman" w:hAnsi="Times New Roman" w:eastAsia="黑体" w:cs="Times New Roman"/>
                <w:color w:val="auto"/>
                <w:highlight w:val="none"/>
                <w:lang w:val="en-US" w:eastAsia="zh-CN"/>
              </w:rPr>
              <w:t>图2-3  路面结构图</w:t>
            </w:r>
            <w:r>
              <w:rPr>
                <w:rFonts w:hint="eastAsia" w:eastAsia="黑体" w:cs="Times New Roman"/>
                <w:color w:val="auto"/>
                <w:highlight w:val="none"/>
                <w:lang w:val="en-US" w:eastAsia="zh-CN"/>
              </w:rPr>
              <w:t>（1）</w:t>
            </w:r>
          </w:p>
          <w:p w14:paraId="4BC31558">
            <w:pPr>
              <w:pStyle w:val="5"/>
              <w:ind w:left="0" w:leftChars="0" w:firstLine="0" w:firstLineChars="0"/>
              <w:jc w:val="center"/>
              <w:rPr>
                <w:rFonts w:hint="default"/>
                <w:color w:val="auto"/>
                <w:lang w:val="en-US" w:eastAsia="zh-CN"/>
              </w:rPr>
            </w:pPr>
            <w:r>
              <w:rPr>
                <w:color w:val="auto"/>
              </w:rPr>
              <w:drawing>
                <wp:inline distT="0" distB="0" distL="114300" distR="114300">
                  <wp:extent cx="3412490" cy="2459355"/>
                  <wp:effectExtent l="0" t="0" r="16510" b="1714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5"/>
                          <a:stretch>
                            <a:fillRect/>
                          </a:stretch>
                        </pic:blipFill>
                        <pic:spPr>
                          <a:xfrm>
                            <a:off x="0" y="0"/>
                            <a:ext cx="3412490" cy="2459355"/>
                          </a:xfrm>
                          <a:prstGeom prst="rect">
                            <a:avLst/>
                          </a:prstGeom>
                          <a:noFill/>
                          <a:ln>
                            <a:noFill/>
                          </a:ln>
                        </pic:spPr>
                      </pic:pic>
                    </a:graphicData>
                  </a:graphic>
                </wp:inline>
              </w:drawing>
            </w:r>
          </w:p>
          <w:p w14:paraId="0147793E">
            <w:pPr>
              <w:pStyle w:val="5"/>
              <w:ind w:left="0" w:leftChars="0" w:firstLine="0" w:firstLineChars="0"/>
              <w:jc w:val="center"/>
              <w:rPr>
                <w:rFonts w:hint="default" w:ascii="Times New Roman" w:hAnsi="Times New Roman" w:eastAsia="黑体" w:cs="Times New Roman"/>
                <w:color w:val="auto"/>
                <w:highlight w:val="none"/>
                <w:lang w:val="en-US" w:eastAsia="zh-CN"/>
              </w:rPr>
            </w:pPr>
            <w:r>
              <w:rPr>
                <w:rFonts w:hint="default" w:ascii="Times New Roman" w:hAnsi="Times New Roman" w:eastAsia="黑体" w:cs="Times New Roman"/>
                <w:color w:val="auto"/>
                <w:highlight w:val="none"/>
                <w:lang w:val="en-US" w:eastAsia="zh-CN"/>
              </w:rPr>
              <w:t>图2-</w:t>
            </w:r>
            <w:r>
              <w:rPr>
                <w:rFonts w:hint="eastAsia" w:eastAsia="黑体" w:cs="Times New Roman"/>
                <w:color w:val="auto"/>
                <w:highlight w:val="none"/>
                <w:lang w:val="en-US" w:eastAsia="zh-CN"/>
              </w:rPr>
              <w:t>4</w:t>
            </w:r>
            <w:r>
              <w:rPr>
                <w:rFonts w:hint="default" w:ascii="Times New Roman" w:hAnsi="Times New Roman" w:eastAsia="黑体" w:cs="Times New Roman"/>
                <w:color w:val="auto"/>
                <w:highlight w:val="none"/>
                <w:lang w:val="en-US" w:eastAsia="zh-CN"/>
              </w:rPr>
              <w:t xml:space="preserve">  路面结构图</w:t>
            </w:r>
            <w:r>
              <w:rPr>
                <w:rFonts w:hint="eastAsia" w:eastAsia="黑体" w:cs="Times New Roman"/>
                <w:color w:val="auto"/>
                <w:highlight w:val="none"/>
                <w:lang w:val="en-US" w:eastAsia="zh-CN"/>
              </w:rPr>
              <w:t>（2）</w:t>
            </w:r>
          </w:p>
          <w:p w14:paraId="4A76DC56">
            <w:pPr>
              <w:ind w:left="0" w:leftChars="0" w:firstLine="0" w:firstLineChars="0"/>
              <w:jc w:val="center"/>
              <w:rPr>
                <w:color w:val="auto"/>
                <w:highlight w:val="none"/>
              </w:rPr>
            </w:pPr>
            <w:r>
              <w:rPr>
                <w:color w:val="auto"/>
                <w:highlight w:val="none"/>
              </w:rPr>
              <w:drawing>
                <wp:inline distT="0" distB="0" distL="114300" distR="114300">
                  <wp:extent cx="3553460" cy="2536190"/>
                  <wp:effectExtent l="0" t="0" r="8890" b="1651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6"/>
                          <a:stretch>
                            <a:fillRect/>
                          </a:stretch>
                        </pic:blipFill>
                        <pic:spPr>
                          <a:xfrm>
                            <a:off x="0" y="0"/>
                            <a:ext cx="3553460" cy="2536190"/>
                          </a:xfrm>
                          <a:prstGeom prst="rect">
                            <a:avLst/>
                          </a:prstGeom>
                          <a:noFill/>
                          <a:ln>
                            <a:noFill/>
                          </a:ln>
                        </pic:spPr>
                      </pic:pic>
                    </a:graphicData>
                  </a:graphic>
                </wp:inline>
              </w:drawing>
            </w:r>
          </w:p>
          <w:p w14:paraId="20E7BE78">
            <w:pPr>
              <w:pStyle w:val="5"/>
              <w:ind w:left="0" w:leftChars="0" w:firstLine="0" w:firstLineChars="0"/>
              <w:jc w:val="center"/>
              <w:rPr>
                <w:rFonts w:hint="default" w:ascii="Times New Roman" w:hAnsi="Times New Roman" w:eastAsia="黑体" w:cs="Times New Roman"/>
                <w:color w:val="auto"/>
                <w:highlight w:val="none"/>
                <w:lang w:val="en-US" w:eastAsia="zh-CN"/>
              </w:rPr>
            </w:pPr>
            <w:r>
              <w:rPr>
                <w:rFonts w:hint="default" w:ascii="Times New Roman" w:hAnsi="Times New Roman" w:eastAsia="黑体" w:cs="Times New Roman"/>
                <w:color w:val="auto"/>
                <w:highlight w:val="none"/>
                <w:lang w:val="en-US" w:eastAsia="zh-CN"/>
              </w:rPr>
              <w:t>图2-</w:t>
            </w:r>
            <w:r>
              <w:rPr>
                <w:rFonts w:hint="eastAsia" w:eastAsia="黑体" w:cs="Times New Roman"/>
                <w:color w:val="auto"/>
                <w:highlight w:val="none"/>
                <w:lang w:val="en-US" w:eastAsia="zh-CN"/>
              </w:rPr>
              <w:t>5</w:t>
            </w:r>
            <w:r>
              <w:rPr>
                <w:rFonts w:hint="default" w:ascii="Times New Roman" w:hAnsi="Times New Roman" w:eastAsia="黑体" w:cs="Times New Roman"/>
                <w:color w:val="auto"/>
                <w:highlight w:val="none"/>
                <w:lang w:val="en-US" w:eastAsia="zh-CN"/>
              </w:rPr>
              <w:t xml:space="preserve">  路面结构图</w:t>
            </w:r>
            <w:r>
              <w:rPr>
                <w:rFonts w:hint="eastAsia" w:eastAsia="黑体" w:cs="Times New Roman"/>
                <w:color w:val="auto"/>
                <w:highlight w:val="none"/>
                <w:lang w:val="en-US" w:eastAsia="zh-CN"/>
              </w:rPr>
              <w:t>（3）</w:t>
            </w:r>
          </w:p>
          <w:p w14:paraId="59AD4446">
            <w:pPr>
              <w:ind w:left="0" w:leftChars="0" w:firstLine="0" w:firstLineChars="0"/>
              <w:jc w:val="center"/>
              <w:rPr>
                <w:color w:val="auto"/>
              </w:rPr>
            </w:pPr>
            <w:r>
              <w:rPr>
                <w:color w:val="auto"/>
              </w:rPr>
              <w:drawing>
                <wp:inline distT="0" distB="0" distL="114300" distR="114300">
                  <wp:extent cx="3523615" cy="2588260"/>
                  <wp:effectExtent l="0" t="0" r="63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3523615" cy="2588260"/>
                          </a:xfrm>
                          <a:prstGeom prst="rect">
                            <a:avLst/>
                          </a:prstGeom>
                          <a:noFill/>
                          <a:ln>
                            <a:noFill/>
                          </a:ln>
                        </pic:spPr>
                      </pic:pic>
                    </a:graphicData>
                  </a:graphic>
                </wp:inline>
              </w:drawing>
            </w:r>
          </w:p>
          <w:p w14:paraId="6A3B763F">
            <w:pPr>
              <w:pStyle w:val="5"/>
              <w:ind w:left="0" w:leftChars="0" w:firstLine="0" w:firstLineChars="0"/>
              <w:jc w:val="center"/>
              <w:rPr>
                <w:rFonts w:hint="default" w:ascii="Times New Roman" w:hAnsi="Times New Roman" w:eastAsia="黑体" w:cs="Times New Roman"/>
                <w:color w:val="auto"/>
                <w:highlight w:val="none"/>
                <w:lang w:val="en-US" w:eastAsia="zh-CN"/>
              </w:rPr>
            </w:pPr>
            <w:r>
              <w:rPr>
                <w:rFonts w:hint="default" w:ascii="Times New Roman" w:hAnsi="Times New Roman" w:eastAsia="黑体" w:cs="Times New Roman"/>
                <w:color w:val="auto"/>
                <w:highlight w:val="none"/>
                <w:lang w:val="en-US" w:eastAsia="zh-CN"/>
              </w:rPr>
              <w:t>图2-</w:t>
            </w:r>
            <w:r>
              <w:rPr>
                <w:rFonts w:hint="eastAsia" w:eastAsia="黑体" w:cs="Times New Roman"/>
                <w:color w:val="auto"/>
                <w:highlight w:val="none"/>
                <w:lang w:val="en-US" w:eastAsia="zh-CN"/>
              </w:rPr>
              <w:t>6</w:t>
            </w:r>
            <w:r>
              <w:rPr>
                <w:rFonts w:hint="default" w:ascii="Times New Roman" w:hAnsi="Times New Roman" w:eastAsia="黑体" w:cs="Times New Roman"/>
                <w:color w:val="auto"/>
                <w:highlight w:val="none"/>
                <w:lang w:val="en-US" w:eastAsia="zh-CN"/>
              </w:rPr>
              <w:t xml:space="preserve"> 路面结构图</w:t>
            </w:r>
            <w:r>
              <w:rPr>
                <w:rFonts w:hint="eastAsia" w:eastAsia="黑体" w:cs="Times New Roman"/>
                <w:color w:val="auto"/>
                <w:highlight w:val="none"/>
                <w:lang w:val="en-US" w:eastAsia="zh-CN"/>
              </w:rPr>
              <w:t>（4）</w:t>
            </w:r>
          </w:p>
          <w:p w14:paraId="47E51FF1">
            <w:pPr>
              <w:ind w:firstLine="480"/>
              <w:rPr>
                <w:rFonts w:hint="eastAsia"/>
                <w:color w:val="auto"/>
                <w:lang w:eastAsia="zh-CN"/>
              </w:rPr>
            </w:pPr>
            <w:r>
              <w:rPr>
                <w:rFonts w:hint="eastAsia"/>
                <w:color w:val="auto"/>
                <w:lang w:eastAsia="zh-CN"/>
              </w:rPr>
              <w:t>（</w:t>
            </w:r>
            <w:r>
              <w:rPr>
                <w:rFonts w:hint="eastAsia"/>
                <w:color w:val="auto"/>
                <w:lang w:val="en-US" w:eastAsia="zh-CN"/>
              </w:rPr>
              <w:t>5</w:t>
            </w:r>
            <w:r>
              <w:rPr>
                <w:rFonts w:hint="eastAsia"/>
                <w:color w:val="auto"/>
                <w:lang w:eastAsia="zh-CN"/>
              </w:rPr>
              <w:t>）桥梁工程</w:t>
            </w:r>
          </w:p>
          <w:p w14:paraId="6D70C766">
            <w:pPr>
              <w:rPr>
                <w:rFonts w:hint="default" w:ascii="Times New Roman" w:hAnsi="Times New Roman" w:cs="Times New Roman"/>
                <w:color w:val="auto"/>
                <w:sz w:val="24"/>
                <w:szCs w:val="24"/>
                <w:lang w:val="en-US" w:eastAsia="zh-CN"/>
              </w:rPr>
            </w:pPr>
            <w:r>
              <w:rPr>
                <w:rFonts w:hint="default" w:ascii="Times New Roman" w:hAnsi="Times New Roman" w:eastAsia="宋体" w:cs="Times New Roman"/>
                <w:color w:val="auto"/>
                <w:sz w:val="24"/>
                <w:szCs w:val="24"/>
              </w:rPr>
              <w:t>现有桥梁均符合现行道路通行标准，仅K53+756银龙桥存在护栏破损问题，本次对该桥护栏维修完成后予以继续利用，其余桥梁均直接保留</w:t>
            </w:r>
            <w:r>
              <w:rPr>
                <w:rFonts w:hint="default" w:ascii="Times New Roman" w:hAnsi="Times New Roman" w:cs="Times New Roman"/>
                <w:color w:val="auto"/>
                <w:szCs w:val="21"/>
                <w:lang w:val="en-US" w:eastAsia="zh-CN"/>
              </w:rPr>
              <w:t>利用。</w:t>
            </w:r>
            <w:r>
              <w:rPr>
                <w:rFonts w:hint="default" w:ascii="Times New Roman" w:hAnsi="Times New Roman" w:cs="Times New Roman"/>
                <w:color w:val="auto"/>
                <w:szCs w:val="21"/>
                <w:lang w:eastAsia="zh-CN"/>
              </w:rPr>
              <w:t>具体情况见</w:t>
            </w:r>
            <w:r>
              <w:rPr>
                <w:rFonts w:hint="default" w:ascii="Times New Roman" w:hAnsi="Times New Roman" w:cs="Times New Roman"/>
                <w:color w:val="auto"/>
                <w:sz w:val="24"/>
                <w:szCs w:val="24"/>
                <w:lang w:eastAsia="zh-CN"/>
              </w:rPr>
              <w:t>表</w:t>
            </w:r>
            <w:r>
              <w:rPr>
                <w:rFonts w:hint="default" w:ascii="Times New Roman" w:hAnsi="Times New Roman" w:cs="Times New Roman"/>
                <w:color w:val="auto"/>
                <w:sz w:val="24"/>
                <w:szCs w:val="24"/>
                <w:lang w:val="en-US" w:eastAsia="zh-CN"/>
              </w:rPr>
              <w:t>2-9。</w:t>
            </w:r>
          </w:p>
          <w:p w14:paraId="776E454A">
            <w:pPr>
              <w:widowControl w:val="0"/>
              <w:spacing w:before="120" w:beforeLines="50" w:line="360" w:lineRule="auto"/>
              <w:jc w:val="center"/>
              <w:rPr>
                <w:rFonts w:hint="default" w:ascii="Times New Roman" w:hAnsi="Times New Roman" w:eastAsia="黑体" w:cs="Times New Roman"/>
                <w:color w:val="auto"/>
                <w:kern w:val="2"/>
                <w:sz w:val="24"/>
                <w:szCs w:val="24"/>
                <w:lang w:val="en-US" w:eastAsia="zh-CN" w:bidi="ar-SA"/>
              </w:rPr>
            </w:pPr>
            <w:r>
              <w:rPr>
                <w:rFonts w:hint="eastAsia" w:ascii="Times New Roman" w:hAnsi="Times New Roman" w:eastAsia="黑体" w:cs="Times New Roman"/>
                <w:color w:val="auto"/>
                <w:kern w:val="2"/>
                <w:sz w:val="24"/>
                <w:szCs w:val="24"/>
                <w:lang w:val="en-US" w:eastAsia="zh-CN" w:bidi="ar-SA"/>
              </w:rPr>
              <w:t>表2-</w:t>
            </w:r>
            <w:r>
              <w:rPr>
                <w:rFonts w:hint="eastAsia" w:eastAsia="黑体" w:cs="Times New Roman"/>
                <w:color w:val="auto"/>
                <w:kern w:val="2"/>
                <w:sz w:val="24"/>
                <w:szCs w:val="24"/>
                <w:lang w:val="en-US" w:eastAsia="zh-CN" w:bidi="ar-SA"/>
              </w:rPr>
              <w:t>9</w:t>
            </w:r>
            <w:r>
              <w:rPr>
                <w:rFonts w:hint="eastAsia" w:ascii="Times New Roman" w:hAnsi="Times New Roman" w:eastAsia="黑体" w:cs="Times New Roman"/>
                <w:color w:val="auto"/>
                <w:kern w:val="2"/>
                <w:sz w:val="24"/>
                <w:szCs w:val="24"/>
                <w:lang w:val="en-US" w:eastAsia="zh-CN" w:bidi="ar-SA"/>
              </w:rPr>
              <w:t xml:space="preserve">  本项目</w:t>
            </w:r>
            <w:r>
              <w:rPr>
                <w:rFonts w:hint="eastAsia" w:eastAsia="黑体" w:cs="Times New Roman"/>
                <w:color w:val="auto"/>
                <w:kern w:val="2"/>
                <w:sz w:val="24"/>
                <w:szCs w:val="24"/>
                <w:lang w:val="en-US" w:eastAsia="zh-CN" w:bidi="ar-SA"/>
              </w:rPr>
              <w:t>桥梁</w:t>
            </w:r>
            <w:r>
              <w:rPr>
                <w:rFonts w:hint="eastAsia" w:ascii="Times New Roman" w:hAnsi="Times New Roman" w:eastAsia="黑体" w:cs="Times New Roman"/>
                <w:color w:val="auto"/>
                <w:kern w:val="2"/>
                <w:sz w:val="24"/>
                <w:szCs w:val="24"/>
                <w:lang w:val="en-US" w:eastAsia="zh-CN" w:bidi="ar-SA"/>
              </w:rPr>
              <w:t>工程统计情况一览表</w:t>
            </w:r>
          </w:p>
          <w:tbl>
            <w:tblPr>
              <w:tblStyle w:val="18"/>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50"/>
              <w:gridCol w:w="1244"/>
              <w:gridCol w:w="1115"/>
              <w:gridCol w:w="1168"/>
              <w:gridCol w:w="1295"/>
              <w:gridCol w:w="1203"/>
              <w:gridCol w:w="1053"/>
            </w:tblGrid>
            <w:tr w14:paraId="621B8D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9" w:type="pct"/>
                  <w:tcBorders>
                    <w:tl2br w:val="nil"/>
                    <w:tr2bl w:val="nil"/>
                  </w:tcBorders>
                  <w:noWrap w:val="0"/>
                  <w:vAlign w:val="center"/>
                </w:tcPr>
                <w:p w14:paraId="42E04C53">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序号</w:t>
                  </w:r>
                </w:p>
              </w:tc>
              <w:tc>
                <w:tcPr>
                  <w:tcW w:w="826" w:type="pct"/>
                  <w:tcBorders>
                    <w:tl2br w:val="nil"/>
                    <w:tr2bl w:val="nil"/>
                  </w:tcBorders>
                  <w:noWrap w:val="0"/>
                  <w:vAlign w:val="center"/>
                </w:tcPr>
                <w:p w14:paraId="5B23556B">
                  <w:pPr>
                    <w:spacing w:line="240" w:lineRule="auto"/>
                    <w:ind w:firstLine="0" w:firstLineChars="0"/>
                    <w:jc w:val="center"/>
                    <w:rPr>
                      <w:rFonts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pacing w:val="0"/>
                      <w:sz w:val="21"/>
                      <w:szCs w:val="21"/>
                    </w:rPr>
                    <w:t>中心</w:t>
                  </w:r>
                  <w:r>
                    <w:rPr>
                      <w:rFonts w:ascii="Times New Roman" w:hAnsi="Times New Roman" w:eastAsia="宋体" w:cs="Times New Roman"/>
                      <w:snapToGrid w:val="0"/>
                      <w:color w:val="auto"/>
                      <w:spacing w:val="0"/>
                      <w:sz w:val="21"/>
                      <w:szCs w:val="21"/>
                    </w:rPr>
                    <w:t>桩号</w:t>
                  </w:r>
                </w:p>
              </w:tc>
              <w:tc>
                <w:tcPr>
                  <w:tcW w:w="740" w:type="pct"/>
                  <w:tcBorders>
                    <w:tl2br w:val="nil"/>
                    <w:tr2bl w:val="nil"/>
                  </w:tcBorders>
                  <w:noWrap w:val="0"/>
                  <w:vAlign w:val="center"/>
                </w:tcPr>
                <w:p w14:paraId="76F32AB4">
                  <w:pPr>
                    <w:spacing w:line="240" w:lineRule="auto"/>
                    <w:ind w:firstLine="0" w:firstLineChars="0"/>
                    <w:jc w:val="center"/>
                    <w:rPr>
                      <w:rFonts w:hint="default"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桥梁名称</w:t>
                  </w:r>
                </w:p>
              </w:tc>
              <w:tc>
                <w:tcPr>
                  <w:tcW w:w="775" w:type="pct"/>
                  <w:tcBorders>
                    <w:tl2br w:val="nil"/>
                    <w:tr2bl w:val="nil"/>
                  </w:tcBorders>
                  <w:noWrap w:val="0"/>
                  <w:vAlign w:val="center"/>
                </w:tcPr>
                <w:p w14:paraId="66E0D0D8">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交角</w:t>
                  </w:r>
                  <w:r>
                    <w:rPr>
                      <w:rFonts w:hint="eastAsia" w:ascii="Times New Roman" w:hAnsi="Times New Roman" w:eastAsia="宋体" w:cs="Times New Roman"/>
                      <w:snapToGrid w:val="0"/>
                      <w:color w:val="auto"/>
                      <w:spacing w:val="0"/>
                      <w:sz w:val="21"/>
                      <w:szCs w:val="21"/>
                    </w:rPr>
                    <w:t>（°）</w:t>
                  </w:r>
                </w:p>
              </w:tc>
              <w:tc>
                <w:tcPr>
                  <w:tcW w:w="860" w:type="pct"/>
                  <w:tcBorders>
                    <w:tl2br w:val="nil"/>
                    <w:tr2bl w:val="nil"/>
                  </w:tcBorders>
                  <w:noWrap w:val="0"/>
                  <w:vAlign w:val="center"/>
                </w:tcPr>
                <w:p w14:paraId="22CFBDDA">
                  <w:pPr>
                    <w:spacing w:line="240" w:lineRule="auto"/>
                    <w:ind w:firstLine="0" w:firstLineChars="0"/>
                    <w:jc w:val="center"/>
                    <w:rPr>
                      <w:rFonts w:hint="eastAsia" w:ascii="Times New Roman" w:hAnsi="Times New Roman" w:eastAsia="宋体" w:cs="Times New Roman"/>
                      <w:snapToGrid w:val="0"/>
                      <w:color w:val="auto"/>
                      <w:sz w:val="21"/>
                      <w:szCs w:val="21"/>
                      <w:lang w:eastAsia="zh-CN"/>
                    </w:rPr>
                  </w:pPr>
                  <w:r>
                    <w:rPr>
                      <w:rFonts w:hint="eastAsia" w:cs="Times New Roman"/>
                      <w:snapToGrid w:val="0"/>
                      <w:color w:val="auto"/>
                      <w:sz w:val="21"/>
                      <w:szCs w:val="21"/>
                      <w:lang w:eastAsia="zh-CN"/>
                    </w:rPr>
                    <w:t>桥梁全长（</w:t>
                  </w:r>
                  <w:r>
                    <w:rPr>
                      <w:rFonts w:hint="eastAsia" w:cs="Times New Roman"/>
                      <w:snapToGrid w:val="0"/>
                      <w:color w:val="auto"/>
                      <w:sz w:val="21"/>
                      <w:szCs w:val="21"/>
                      <w:lang w:val="en-US" w:eastAsia="zh-CN"/>
                    </w:rPr>
                    <w:t>m</w:t>
                  </w:r>
                  <w:r>
                    <w:rPr>
                      <w:rFonts w:hint="eastAsia" w:cs="Times New Roman"/>
                      <w:snapToGrid w:val="0"/>
                      <w:color w:val="auto"/>
                      <w:sz w:val="21"/>
                      <w:szCs w:val="21"/>
                      <w:lang w:eastAsia="zh-CN"/>
                    </w:rPr>
                    <w:t>）</w:t>
                  </w:r>
                </w:p>
              </w:tc>
              <w:tc>
                <w:tcPr>
                  <w:tcW w:w="799" w:type="pct"/>
                  <w:tcBorders>
                    <w:tl2br w:val="nil"/>
                    <w:tr2bl w:val="nil"/>
                  </w:tcBorders>
                  <w:noWrap w:val="0"/>
                  <w:vAlign w:val="center"/>
                </w:tcPr>
                <w:p w14:paraId="750D4954">
                  <w:pPr>
                    <w:spacing w:line="240" w:lineRule="auto"/>
                    <w:ind w:firstLine="0" w:firstLineChars="0"/>
                    <w:jc w:val="center"/>
                    <w:rPr>
                      <w:rFonts w:hint="default" w:cs="Times New Roman"/>
                      <w:snapToGrid w:val="0"/>
                      <w:color w:val="auto"/>
                      <w:sz w:val="21"/>
                      <w:szCs w:val="21"/>
                      <w:lang w:val="en-US" w:eastAsia="zh-CN"/>
                    </w:rPr>
                  </w:pPr>
                  <w:r>
                    <w:rPr>
                      <w:rFonts w:hint="eastAsia" w:cs="Times New Roman"/>
                      <w:snapToGrid w:val="0"/>
                      <w:color w:val="auto"/>
                      <w:sz w:val="21"/>
                      <w:szCs w:val="21"/>
                      <w:lang w:eastAsia="zh-CN"/>
                    </w:rPr>
                    <w:t>桥梁宽度（</w:t>
                  </w:r>
                  <w:r>
                    <w:rPr>
                      <w:rFonts w:hint="eastAsia" w:cs="Times New Roman"/>
                      <w:snapToGrid w:val="0"/>
                      <w:color w:val="auto"/>
                      <w:sz w:val="21"/>
                      <w:szCs w:val="21"/>
                      <w:lang w:val="en-US" w:eastAsia="zh-CN"/>
                    </w:rPr>
                    <w:t>m</w:t>
                  </w:r>
                  <w:r>
                    <w:rPr>
                      <w:rFonts w:hint="eastAsia" w:cs="Times New Roman"/>
                      <w:snapToGrid w:val="0"/>
                      <w:color w:val="auto"/>
                      <w:sz w:val="21"/>
                      <w:szCs w:val="21"/>
                      <w:lang w:eastAsia="zh-CN"/>
                    </w:rPr>
                    <w:t>）</w:t>
                  </w:r>
                </w:p>
              </w:tc>
              <w:tc>
                <w:tcPr>
                  <w:tcW w:w="699" w:type="pct"/>
                  <w:tcBorders>
                    <w:tl2br w:val="nil"/>
                    <w:tr2bl w:val="nil"/>
                  </w:tcBorders>
                  <w:noWrap w:val="0"/>
                  <w:vAlign w:val="center"/>
                </w:tcPr>
                <w:p w14:paraId="39311607">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备注</w:t>
                  </w:r>
                </w:p>
              </w:tc>
            </w:tr>
            <w:tr w14:paraId="5C2C1A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9" w:type="pct"/>
                  <w:tcBorders>
                    <w:tl2br w:val="nil"/>
                    <w:tr2bl w:val="nil"/>
                  </w:tcBorders>
                  <w:noWrap w:val="0"/>
                  <w:vAlign w:val="center"/>
                </w:tcPr>
                <w:p w14:paraId="05C5B679">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1</w:t>
                  </w:r>
                </w:p>
              </w:tc>
              <w:tc>
                <w:tcPr>
                  <w:tcW w:w="826" w:type="pct"/>
                  <w:tcBorders>
                    <w:tl2br w:val="nil"/>
                    <w:tr2bl w:val="nil"/>
                  </w:tcBorders>
                  <w:noWrap w:val="0"/>
                  <w:vAlign w:val="center"/>
                </w:tcPr>
                <w:p w14:paraId="1134AAF9">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K17+038.0</w:t>
                  </w:r>
                </w:p>
              </w:tc>
              <w:tc>
                <w:tcPr>
                  <w:tcW w:w="740" w:type="pct"/>
                  <w:tcBorders>
                    <w:tl2br w:val="nil"/>
                    <w:tr2bl w:val="nil"/>
                  </w:tcBorders>
                  <w:noWrap w:val="0"/>
                  <w:vAlign w:val="center"/>
                </w:tcPr>
                <w:p w14:paraId="2F64FE9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人工河桥</w:t>
                  </w:r>
                </w:p>
              </w:tc>
              <w:tc>
                <w:tcPr>
                  <w:tcW w:w="775" w:type="pct"/>
                  <w:tcBorders>
                    <w:tl2br w:val="nil"/>
                    <w:tr2bl w:val="nil"/>
                  </w:tcBorders>
                  <w:noWrap w:val="0"/>
                  <w:vAlign w:val="center"/>
                </w:tcPr>
                <w:p w14:paraId="0B7EBAE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860" w:type="pct"/>
                  <w:tcBorders>
                    <w:tl2br w:val="nil"/>
                    <w:tr2bl w:val="nil"/>
                  </w:tcBorders>
                  <w:noWrap w:val="0"/>
                  <w:vAlign w:val="center"/>
                </w:tcPr>
                <w:p w14:paraId="486180A5">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26</w:t>
                  </w:r>
                </w:p>
              </w:tc>
              <w:tc>
                <w:tcPr>
                  <w:tcW w:w="799" w:type="pct"/>
                  <w:tcBorders>
                    <w:tl2br w:val="nil"/>
                    <w:tr2bl w:val="nil"/>
                  </w:tcBorders>
                  <w:noWrap w:val="0"/>
                  <w:vAlign w:val="center"/>
                </w:tcPr>
                <w:p w14:paraId="17569933">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w:t>
                  </w:r>
                </w:p>
              </w:tc>
              <w:tc>
                <w:tcPr>
                  <w:tcW w:w="699" w:type="pct"/>
                  <w:tcBorders>
                    <w:tl2br w:val="nil"/>
                    <w:tr2bl w:val="nil"/>
                  </w:tcBorders>
                  <w:noWrap w:val="0"/>
                  <w:vAlign w:val="center"/>
                </w:tcPr>
                <w:p w14:paraId="64AA8A0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完全利用</w:t>
                  </w:r>
                </w:p>
              </w:tc>
            </w:tr>
            <w:tr w14:paraId="4CA5D9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9" w:type="pct"/>
                  <w:tcBorders>
                    <w:tl2br w:val="nil"/>
                    <w:tr2bl w:val="nil"/>
                  </w:tcBorders>
                  <w:noWrap w:val="0"/>
                  <w:vAlign w:val="center"/>
                </w:tcPr>
                <w:p w14:paraId="57914872">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2</w:t>
                  </w:r>
                </w:p>
              </w:tc>
              <w:tc>
                <w:tcPr>
                  <w:tcW w:w="826" w:type="pct"/>
                  <w:tcBorders>
                    <w:tl2br w:val="nil"/>
                    <w:tr2bl w:val="nil"/>
                  </w:tcBorders>
                  <w:noWrap w:val="0"/>
                  <w:vAlign w:val="center"/>
                </w:tcPr>
                <w:p w14:paraId="39F1BEC2">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K19+725.5</w:t>
                  </w:r>
                </w:p>
              </w:tc>
              <w:tc>
                <w:tcPr>
                  <w:tcW w:w="740" w:type="pct"/>
                  <w:tcBorders>
                    <w:tl2br w:val="nil"/>
                    <w:tr2bl w:val="nil"/>
                  </w:tcBorders>
                  <w:noWrap w:val="0"/>
                  <w:vAlign w:val="center"/>
                </w:tcPr>
                <w:p w14:paraId="264FF15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挠力河桥</w:t>
                  </w:r>
                </w:p>
              </w:tc>
              <w:tc>
                <w:tcPr>
                  <w:tcW w:w="775" w:type="pct"/>
                  <w:tcBorders>
                    <w:tl2br w:val="nil"/>
                    <w:tr2bl w:val="nil"/>
                  </w:tcBorders>
                  <w:noWrap w:val="0"/>
                  <w:vAlign w:val="center"/>
                </w:tcPr>
                <w:p w14:paraId="0CC9CC5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860" w:type="pct"/>
                  <w:tcBorders>
                    <w:tl2br w:val="nil"/>
                    <w:tr2bl w:val="nil"/>
                  </w:tcBorders>
                  <w:noWrap w:val="0"/>
                  <w:vAlign w:val="center"/>
                </w:tcPr>
                <w:p w14:paraId="3FCBC2C1">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106</w:t>
                  </w:r>
                </w:p>
              </w:tc>
              <w:tc>
                <w:tcPr>
                  <w:tcW w:w="799" w:type="pct"/>
                  <w:tcBorders>
                    <w:tl2br w:val="nil"/>
                    <w:tr2bl w:val="nil"/>
                  </w:tcBorders>
                  <w:noWrap w:val="0"/>
                  <w:vAlign w:val="center"/>
                </w:tcPr>
                <w:p w14:paraId="45080372">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w:t>
                  </w:r>
                </w:p>
              </w:tc>
              <w:tc>
                <w:tcPr>
                  <w:tcW w:w="699" w:type="pct"/>
                  <w:tcBorders>
                    <w:tl2br w:val="nil"/>
                    <w:tr2bl w:val="nil"/>
                  </w:tcBorders>
                  <w:noWrap w:val="0"/>
                  <w:vAlign w:val="center"/>
                </w:tcPr>
                <w:p w14:paraId="52DEE81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完全利用</w:t>
                  </w:r>
                </w:p>
              </w:tc>
            </w:tr>
            <w:tr w14:paraId="40D61B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9" w:type="pct"/>
                  <w:tcBorders>
                    <w:tl2br w:val="nil"/>
                    <w:tr2bl w:val="nil"/>
                  </w:tcBorders>
                  <w:noWrap w:val="0"/>
                  <w:vAlign w:val="center"/>
                </w:tcPr>
                <w:p w14:paraId="5C797300">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3</w:t>
                  </w:r>
                </w:p>
              </w:tc>
              <w:tc>
                <w:tcPr>
                  <w:tcW w:w="826" w:type="pct"/>
                  <w:tcBorders>
                    <w:tl2br w:val="nil"/>
                    <w:tr2bl w:val="nil"/>
                  </w:tcBorders>
                  <w:noWrap w:val="0"/>
                  <w:vAlign w:val="center"/>
                </w:tcPr>
                <w:p w14:paraId="3890212B">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K51+677.0</w:t>
                  </w:r>
                </w:p>
              </w:tc>
              <w:tc>
                <w:tcPr>
                  <w:tcW w:w="740" w:type="pct"/>
                  <w:tcBorders>
                    <w:tl2br w:val="nil"/>
                    <w:tr2bl w:val="nil"/>
                  </w:tcBorders>
                  <w:noWrap w:val="0"/>
                  <w:vAlign w:val="center"/>
                </w:tcPr>
                <w:p w14:paraId="7D9121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柳毛岗桥</w:t>
                  </w:r>
                </w:p>
              </w:tc>
              <w:tc>
                <w:tcPr>
                  <w:tcW w:w="775" w:type="pct"/>
                  <w:tcBorders>
                    <w:tl2br w:val="nil"/>
                    <w:tr2bl w:val="nil"/>
                  </w:tcBorders>
                  <w:noWrap w:val="0"/>
                  <w:vAlign w:val="center"/>
                </w:tcPr>
                <w:p w14:paraId="0C3B993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860" w:type="pct"/>
                  <w:tcBorders>
                    <w:tl2br w:val="nil"/>
                    <w:tr2bl w:val="nil"/>
                  </w:tcBorders>
                  <w:noWrap w:val="0"/>
                  <w:vAlign w:val="center"/>
                </w:tcPr>
                <w:p w14:paraId="718CEAF1">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w:t>
                  </w:r>
                </w:p>
              </w:tc>
              <w:tc>
                <w:tcPr>
                  <w:tcW w:w="799" w:type="pct"/>
                  <w:tcBorders>
                    <w:tl2br w:val="nil"/>
                    <w:tr2bl w:val="nil"/>
                  </w:tcBorders>
                  <w:noWrap w:val="0"/>
                  <w:vAlign w:val="center"/>
                </w:tcPr>
                <w:p w14:paraId="34BD28F0">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8.5</w:t>
                  </w:r>
                </w:p>
              </w:tc>
              <w:tc>
                <w:tcPr>
                  <w:tcW w:w="699" w:type="pct"/>
                  <w:tcBorders>
                    <w:tl2br w:val="nil"/>
                    <w:tr2bl w:val="nil"/>
                  </w:tcBorders>
                  <w:noWrap w:val="0"/>
                  <w:vAlign w:val="center"/>
                </w:tcPr>
                <w:p w14:paraId="29504E8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完全利用</w:t>
                  </w:r>
                </w:p>
              </w:tc>
            </w:tr>
            <w:tr w14:paraId="5F46A7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9" w:type="pct"/>
                  <w:tcBorders>
                    <w:tl2br w:val="nil"/>
                    <w:tr2bl w:val="nil"/>
                  </w:tcBorders>
                  <w:noWrap w:val="0"/>
                  <w:vAlign w:val="center"/>
                </w:tcPr>
                <w:p w14:paraId="458B777C">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4</w:t>
                  </w:r>
                </w:p>
              </w:tc>
              <w:tc>
                <w:tcPr>
                  <w:tcW w:w="826" w:type="pct"/>
                  <w:tcBorders>
                    <w:tl2br w:val="nil"/>
                    <w:tr2bl w:val="nil"/>
                  </w:tcBorders>
                  <w:noWrap w:val="0"/>
                  <w:vAlign w:val="center"/>
                </w:tcPr>
                <w:p w14:paraId="5038DEDF">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K53+756.0</w:t>
                  </w:r>
                </w:p>
              </w:tc>
              <w:tc>
                <w:tcPr>
                  <w:tcW w:w="740" w:type="pct"/>
                  <w:tcBorders>
                    <w:tl2br w:val="nil"/>
                    <w:tr2bl w:val="nil"/>
                  </w:tcBorders>
                  <w:noWrap w:val="0"/>
                  <w:vAlign w:val="center"/>
                </w:tcPr>
                <w:p w14:paraId="3A7198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银龙桥</w:t>
                  </w:r>
                </w:p>
              </w:tc>
              <w:tc>
                <w:tcPr>
                  <w:tcW w:w="775" w:type="pct"/>
                  <w:tcBorders>
                    <w:tl2br w:val="nil"/>
                    <w:tr2bl w:val="nil"/>
                  </w:tcBorders>
                  <w:noWrap w:val="0"/>
                  <w:vAlign w:val="center"/>
                </w:tcPr>
                <w:p w14:paraId="58971FB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860" w:type="pct"/>
                  <w:tcBorders>
                    <w:tl2br w:val="nil"/>
                    <w:tr2bl w:val="nil"/>
                  </w:tcBorders>
                  <w:noWrap w:val="0"/>
                  <w:vAlign w:val="center"/>
                </w:tcPr>
                <w:p w14:paraId="136DE9A0">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w:t>
                  </w:r>
                </w:p>
              </w:tc>
              <w:tc>
                <w:tcPr>
                  <w:tcW w:w="799" w:type="pct"/>
                  <w:tcBorders>
                    <w:tl2br w:val="nil"/>
                    <w:tr2bl w:val="nil"/>
                  </w:tcBorders>
                  <w:noWrap w:val="0"/>
                  <w:vAlign w:val="center"/>
                </w:tcPr>
                <w:p w14:paraId="1621194D">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6.6</w:t>
                  </w:r>
                </w:p>
              </w:tc>
              <w:tc>
                <w:tcPr>
                  <w:tcW w:w="699" w:type="pct"/>
                  <w:tcBorders>
                    <w:tl2br w:val="nil"/>
                    <w:tr2bl w:val="nil"/>
                  </w:tcBorders>
                  <w:noWrap w:val="0"/>
                  <w:vAlign w:val="center"/>
                </w:tcPr>
                <w:p w14:paraId="0778904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维修利用</w:t>
                  </w:r>
                </w:p>
              </w:tc>
            </w:tr>
          </w:tbl>
          <w:p w14:paraId="33639CE4">
            <w:pPr>
              <w:ind w:firstLine="480"/>
              <w:rPr>
                <w:rFonts w:hint="eastAsia"/>
                <w:color w:val="auto"/>
              </w:rPr>
            </w:pPr>
            <w:r>
              <w:rPr>
                <w:rFonts w:hint="eastAsia"/>
                <w:color w:val="auto"/>
                <w:lang w:eastAsia="zh-CN"/>
              </w:rPr>
              <w:t>（</w:t>
            </w:r>
            <w:r>
              <w:rPr>
                <w:rFonts w:hint="eastAsia"/>
                <w:color w:val="auto"/>
                <w:lang w:val="en-US" w:eastAsia="zh-CN"/>
              </w:rPr>
              <w:t>6</w:t>
            </w:r>
            <w:r>
              <w:rPr>
                <w:rFonts w:hint="eastAsia"/>
                <w:color w:val="auto"/>
                <w:lang w:eastAsia="zh-CN"/>
              </w:rPr>
              <w:t>）</w:t>
            </w:r>
            <w:r>
              <w:rPr>
                <w:rFonts w:hint="eastAsia"/>
                <w:color w:val="auto"/>
              </w:rPr>
              <w:t>涵</w:t>
            </w:r>
            <w:r>
              <w:rPr>
                <w:rFonts w:hint="eastAsia"/>
                <w:color w:val="auto"/>
                <w:lang w:eastAsia="zh-CN"/>
              </w:rPr>
              <w:t>洞</w:t>
            </w:r>
            <w:r>
              <w:rPr>
                <w:rFonts w:hint="eastAsia"/>
                <w:color w:val="auto"/>
              </w:rPr>
              <w:t>工程</w:t>
            </w:r>
          </w:p>
          <w:p w14:paraId="1284BF8F">
            <w:pPr>
              <w:rPr>
                <w:rFonts w:hint="eastAsia" w:ascii="Times New Roman" w:hAnsi="Times New Roman"/>
                <w:color w:val="auto"/>
                <w:sz w:val="24"/>
                <w:szCs w:val="24"/>
                <w:lang w:val="en-US" w:eastAsia="zh-CN"/>
              </w:rPr>
            </w:pPr>
            <w:r>
              <w:rPr>
                <w:rFonts w:hint="eastAsia"/>
                <w:color w:val="auto"/>
                <w:szCs w:val="21"/>
                <w:lang w:eastAsia="zh-CN"/>
              </w:rPr>
              <w:t>本项目共设置涵洞</w:t>
            </w:r>
            <w:r>
              <w:rPr>
                <w:rFonts w:hint="eastAsia"/>
                <w:color w:val="auto"/>
                <w:szCs w:val="21"/>
                <w:lang w:val="en-US" w:eastAsia="zh-CN"/>
              </w:rPr>
              <w:t>8道，均为拆除重建，为</w:t>
            </w:r>
            <w:r>
              <w:rPr>
                <w:rFonts w:hint="eastAsia"/>
                <w:color w:val="auto"/>
                <w:szCs w:val="21"/>
                <w:lang w:eastAsia="zh-CN"/>
              </w:rPr>
              <w:t>钢筋混凝土箱涵</w:t>
            </w:r>
            <w:r>
              <w:rPr>
                <w:rFonts w:hint="eastAsia"/>
                <w:color w:val="auto"/>
                <w:szCs w:val="21"/>
                <w:lang w:val="en-US" w:eastAsia="zh-CN"/>
              </w:rPr>
              <w:t>。</w:t>
            </w:r>
            <w:r>
              <w:rPr>
                <w:rFonts w:hint="eastAsia"/>
                <w:color w:val="auto"/>
                <w:szCs w:val="21"/>
                <w:lang w:eastAsia="zh-CN"/>
              </w:rPr>
              <w:t>具体情况见</w:t>
            </w:r>
            <w:r>
              <w:rPr>
                <w:rFonts w:hint="eastAsia" w:ascii="Times New Roman" w:hAnsi="Times New Roman"/>
                <w:color w:val="auto"/>
                <w:sz w:val="24"/>
                <w:szCs w:val="24"/>
                <w:lang w:eastAsia="zh-CN"/>
              </w:rPr>
              <w:t>表</w:t>
            </w:r>
            <w:r>
              <w:rPr>
                <w:rFonts w:hint="eastAsia" w:ascii="Times New Roman" w:hAnsi="Times New Roman"/>
                <w:color w:val="auto"/>
                <w:sz w:val="24"/>
                <w:szCs w:val="24"/>
                <w:lang w:val="en-US" w:eastAsia="zh-CN"/>
              </w:rPr>
              <w:t>2-</w:t>
            </w:r>
            <w:r>
              <w:rPr>
                <w:rFonts w:hint="eastAsia"/>
                <w:color w:val="auto"/>
                <w:sz w:val="24"/>
                <w:szCs w:val="24"/>
                <w:lang w:val="en-US" w:eastAsia="zh-CN"/>
              </w:rPr>
              <w:t>10</w:t>
            </w:r>
            <w:r>
              <w:rPr>
                <w:rFonts w:hint="eastAsia" w:ascii="Times New Roman" w:hAnsi="Times New Roman"/>
                <w:color w:val="auto"/>
                <w:sz w:val="24"/>
                <w:szCs w:val="24"/>
                <w:lang w:val="en-US" w:eastAsia="zh-CN"/>
              </w:rPr>
              <w:t>。</w:t>
            </w:r>
          </w:p>
          <w:p w14:paraId="107583E9">
            <w:pPr>
              <w:widowControl w:val="0"/>
              <w:spacing w:before="120" w:beforeLines="50" w:line="360" w:lineRule="auto"/>
              <w:jc w:val="center"/>
              <w:rPr>
                <w:rFonts w:hint="default" w:ascii="Times New Roman" w:hAnsi="Times New Roman" w:eastAsia="黑体" w:cs="Times New Roman"/>
                <w:color w:val="auto"/>
                <w:kern w:val="2"/>
                <w:sz w:val="24"/>
                <w:szCs w:val="24"/>
                <w:lang w:val="en-US" w:eastAsia="zh-CN" w:bidi="ar-SA"/>
              </w:rPr>
            </w:pPr>
            <w:r>
              <w:rPr>
                <w:rFonts w:hint="eastAsia" w:ascii="Times New Roman" w:hAnsi="Times New Roman" w:eastAsia="黑体" w:cs="Times New Roman"/>
                <w:color w:val="auto"/>
                <w:kern w:val="2"/>
                <w:sz w:val="24"/>
                <w:szCs w:val="24"/>
                <w:lang w:val="en-US" w:eastAsia="zh-CN" w:bidi="ar-SA"/>
              </w:rPr>
              <w:t>表2-10  本项目涵洞工程统计情况一览表</w:t>
            </w:r>
          </w:p>
          <w:tbl>
            <w:tblPr>
              <w:tblStyle w:val="18"/>
              <w:tblW w:w="4978" w:type="pct"/>
              <w:tblInd w:w="0" w:type="dxa"/>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39"/>
              <w:gridCol w:w="1182"/>
              <w:gridCol w:w="1386"/>
              <w:gridCol w:w="973"/>
              <w:gridCol w:w="1956"/>
              <w:gridCol w:w="1460"/>
            </w:tblGrid>
            <w:tr w14:paraId="42CF1474">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5F1F4D2A">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序号</w:t>
                  </w:r>
                </w:p>
              </w:tc>
              <w:tc>
                <w:tcPr>
                  <w:tcW w:w="788" w:type="pct"/>
                  <w:noWrap w:val="0"/>
                  <w:vAlign w:val="center"/>
                </w:tcPr>
                <w:p w14:paraId="4E307E13">
                  <w:pPr>
                    <w:spacing w:line="240" w:lineRule="auto"/>
                    <w:ind w:firstLine="0" w:firstLineChars="0"/>
                    <w:jc w:val="center"/>
                    <w:rPr>
                      <w:rFonts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pacing w:val="0"/>
                      <w:sz w:val="21"/>
                      <w:szCs w:val="21"/>
                    </w:rPr>
                    <w:t>中心</w:t>
                  </w:r>
                  <w:r>
                    <w:rPr>
                      <w:rFonts w:ascii="Times New Roman" w:hAnsi="Times New Roman" w:eastAsia="宋体" w:cs="Times New Roman"/>
                      <w:snapToGrid w:val="0"/>
                      <w:color w:val="auto"/>
                      <w:spacing w:val="0"/>
                      <w:sz w:val="21"/>
                      <w:szCs w:val="21"/>
                    </w:rPr>
                    <w:t>桩号</w:t>
                  </w:r>
                </w:p>
              </w:tc>
              <w:tc>
                <w:tcPr>
                  <w:tcW w:w="924" w:type="pct"/>
                  <w:noWrap w:val="0"/>
                  <w:vAlign w:val="center"/>
                </w:tcPr>
                <w:p w14:paraId="4A9857B8">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结构</w:t>
                  </w:r>
                  <w:r>
                    <w:rPr>
                      <w:rFonts w:hint="eastAsia" w:ascii="Times New Roman" w:hAnsi="Times New Roman" w:eastAsia="宋体" w:cs="Times New Roman"/>
                      <w:snapToGrid w:val="0"/>
                      <w:color w:val="auto"/>
                      <w:spacing w:val="0"/>
                      <w:sz w:val="21"/>
                      <w:szCs w:val="21"/>
                    </w:rPr>
                    <w:t>类型</w:t>
                  </w:r>
                </w:p>
              </w:tc>
              <w:tc>
                <w:tcPr>
                  <w:tcW w:w="648" w:type="pct"/>
                  <w:noWrap w:val="0"/>
                  <w:vAlign w:val="center"/>
                </w:tcPr>
                <w:p w14:paraId="34B868F9">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交角</w:t>
                  </w:r>
                  <w:r>
                    <w:rPr>
                      <w:rFonts w:hint="eastAsia" w:ascii="Times New Roman" w:hAnsi="Times New Roman" w:eastAsia="宋体" w:cs="Times New Roman"/>
                      <w:snapToGrid w:val="0"/>
                      <w:color w:val="auto"/>
                      <w:spacing w:val="0"/>
                      <w:sz w:val="21"/>
                      <w:szCs w:val="21"/>
                    </w:rPr>
                    <w:t>（°）</w:t>
                  </w:r>
                </w:p>
              </w:tc>
              <w:tc>
                <w:tcPr>
                  <w:tcW w:w="1305" w:type="pct"/>
                  <w:noWrap w:val="0"/>
                  <w:vAlign w:val="center"/>
                </w:tcPr>
                <w:p w14:paraId="7FEA9DC7">
                  <w:pPr>
                    <w:spacing w:line="240" w:lineRule="auto"/>
                    <w:ind w:firstLine="0" w:firstLineChars="0"/>
                    <w:jc w:val="center"/>
                    <w:rPr>
                      <w:rFonts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pacing w:val="0"/>
                      <w:position w:val="4"/>
                      <w:sz w:val="21"/>
                      <w:szCs w:val="21"/>
                    </w:rPr>
                    <w:t>孔数及孔径</w:t>
                  </w:r>
                </w:p>
              </w:tc>
              <w:tc>
                <w:tcPr>
                  <w:tcW w:w="973" w:type="pct"/>
                  <w:tcBorders>
                    <w:right w:val="nil"/>
                  </w:tcBorders>
                  <w:noWrap w:val="0"/>
                  <w:vAlign w:val="center"/>
                </w:tcPr>
                <w:p w14:paraId="44801052">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备注</w:t>
                  </w:r>
                </w:p>
              </w:tc>
            </w:tr>
            <w:tr w14:paraId="28F1BA20">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4D6FA6CC">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1</w:t>
                  </w:r>
                </w:p>
              </w:tc>
              <w:tc>
                <w:tcPr>
                  <w:tcW w:w="788" w:type="pct"/>
                  <w:noWrap w:val="0"/>
                  <w:vAlign w:val="center"/>
                </w:tcPr>
                <w:p w14:paraId="152F1436">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K14+697</w:t>
                  </w:r>
                </w:p>
              </w:tc>
              <w:tc>
                <w:tcPr>
                  <w:tcW w:w="924" w:type="pct"/>
                  <w:noWrap w:val="0"/>
                  <w:vAlign w:val="center"/>
                </w:tcPr>
                <w:p w14:paraId="12AB2D4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2ACEFF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32E492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1-2.0m×1.5m</w:t>
                  </w:r>
                </w:p>
              </w:tc>
              <w:tc>
                <w:tcPr>
                  <w:tcW w:w="973" w:type="pct"/>
                  <w:tcBorders>
                    <w:right w:val="nil"/>
                  </w:tcBorders>
                  <w:noWrap w:val="0"/>
                  <w:vAlign w:val="center"/>
                </w:tcPr>
                <w:p w14:paraId="1176915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6072D1D7">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1C517C4F">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2</w:t>
                  </w:r>
                </w:p>
              </w:tc>
              <w:tc>
                <w:tcPr>
                  <w:tcW w:w="788" w:type="pct"/>
                  <w:noWrap w:val="0"/>
                  <w:vAlign w:val="center"/>
                </w:tcPr>
                <w:p w14:paraId="65FA4FFD">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K24+826</w:t>
                  </w:r>
                </w:p>
              </w:tc>
              <w:tc>
                <w:tcPr>
                  <w:tcW w:w="924" w:type="pct"/>
                  <w:noWrap w:val="0"/>
                  <w:vAlign w:val="center"/>
                </w:tcPr>
                <w:p w14:paraId="0A04A18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447948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53C16CD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1-2.0mx1.5m</w:t>
                  </w:r>
                </w:p>
              </w:tc>
              <w:tc>
                <w:tcPr>
                  <w:tcW w:w="973" w:type="pct"/>
                  <w:tcBorders>
                    <w:right w:val="nil"/>
                  </w:tcBorders>
                  <w:noWrap w:val="0"/>
                  <w:vAlign w:val="center"/>
                </w:tcPr>
                <w:p w14:paraId="6AB793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3D1C157A">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650C24C0">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3</w:t>
                  </w:r>
                </w:p>
              </w:tc>
              <w:tc>
                <w:tcPr>
                  <w:tcW w:w="788" w:type="pct"/>
                  <w:noWrap w:val="0"/>
                  <w:vAlign w:val="center"/>
                </w:tcPr>
                <w:p w14:paraId="75768B9D">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K29+442</w:t>
                  </w:r>
                </w:p>
              </w:tc>
              <w:tc>
                <w:tcPr>
                  <w:tcW w:w="924" w:type="pct"/>
                  <w:noWrap w:val="0"/>
                  <w:vAlign w:val="center"/>
                </w:tcPr>
                <w:p w14:paraId="50DDE4E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554044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4DBADC1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1-2.0mx1.5m</w:t>
                  </w:r>
                </w:p>
              </w:tc>
              <w:tc>
                <w:tcPr>
                  <w:tcW w:w="973" w:type="pct"/>
                  <w:tcBorders>
                    <w:right w:val="nil"/>
                  </w:tcBorders>
                  <w:noWrap w:val="0"/>
                  <w:vAlign w:val="center"/>
                </w:tcPr>
                <w:p w14:paraId="559BA1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524A317F">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768F087B">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4</w:t>
                  </w:r>
                </w:p>
              </w:tc>
              <w:tc>
                <w:tcPr>
                  <w:tcW w:w="788" w:type="pct"/>
                  <w:noWrap w:val="0"/>
                  <w:vAlign w:val="center"/>
                </w:tcPr>
                <w:p w14:paraId="77694B11">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K30+490</w:t>
                  </w:r>
                </w:p>
              </w:tc>
              <w:tc>
                <w:tcPr>
                  <w:tcW w:w="924" w:type="pct"/>
                  <w:noWrap w:val="0"/>
                  <w:vAlign w:val="center"/>
                </w:tcPr>
                <w:p w14:paraId="71AFDF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6A5F389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28FE3E5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1-2.0mx1.0</w:t>
                  </w:r>
                </w:p>
              </w:tc>
              <w:tc>
                <w:tcPr>
                  <w:tcW w:w="973" w:type="pct"/>
                  <w:tcBorders>
                    <w:right w:val="nil"/>
                  </w:tcBorders>
                  <w:noWrap w:val="0"/>
                  <w:vAlign w:val="center"/>
                </w:tcPr>
                <w:p w14:paraId="62C8C80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5DA713D2">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45E0DD38">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5</w:t>
                  </w:r>
                </w:p>
              </w:tc>
              <w:tc>
                <w:tcPr>
                  <w:tcW w:w="788" w:type="pct"/>
                  <w:noWrap w:val="0"/>
                  <w:vAlign w:val="center"/>
                </w:tcPr>
                <w:p w14:paraId="5BC266E7">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K38+295</w:t>
                  </w:r>
                </w:p>
              </w:tc>
              <w:tc>
                <w:tcPr>
                  <w:tcW w:w="924" w:type="pct"/>
                  <w:noWrap w:val="0"/>
                  <w:vAlign w:val="center"/>
                </w:tcPr>
                <w:p w14:paraId="3C9FCE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7F3C345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527D74D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1-2.0mx1.5m</w:t>
                  </w:r>
                </w:p>
              </w:tc>
              <w:tc>
                <w:tcPr>
                  <w:tcW w:w="973" w:type="pct"/>
                  <w:tcBorders>
                    <w:right w:val="nil"/>
                  </w:tcBorders>
                  <w:noWrap w:val="0"/>
                  <w:vAlign w:val="center"/>
                </w:tcPr>
                <w:p w14:paraId="4293826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154FAC7E">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205F39B5">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6</w:t>
                  </w:r>
                </w:p>
              </w:tc>
              <w:tc>
                <w:tcPr>
                  <w:tcW w:w="788" w:type="pct"/>
                  <w:noWrap w:val="0"/>
                  <w:vAlign w:val="center"/>
                </w:tcPr>
                <w:p w14:paraId="3DB5C01D">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K40+897</w:t>
                  </w:r>
                </w:p>
              </w:tc>
              <w:tc>
                <w:tcPr>
                  <w:tcW w:w="924" w:type="pct"/>
                  <w:noWrap w:val="0"/>
                  <w:vAlign w:val="center"/>
                </w:tcPr>
                <w:p w14:paraId="3813269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578FB47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469415C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1-2.0mx1.5m</w:t>
                  </w:r>
                </w:p>
              </w:tc>
              <w:tc>
                <w:tcPr>
                  <w:tcW w:w="973" w:type="pct"/>
                  <w:tcBorders>
                    <w:right w:val="nil"/>
                  </w:tcBorders>
                  <w:noWrap w:val="0"/>
                  <w:vAlign w:val="center"/>
                </w:tcPr>
                <w:p w14:paraId="1B2148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2B7EF1EE">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65EC75EC">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7</w:t>
                  </w:r>
                </w:p>
              </w:tc>
              <w:tc>
                <w:tcPr>
                  <w:tcW w:w="788" w:type="pct"/>
                  <w:noWrap w:val="0"/>
                  <w:vAlign w:val="center"/>
                </w:tcPr>
                <w:p w14:paraId="2965AFED">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K53+363</w:t>
                  </w:r>
                </w:p>
              </w:tc>
              <w:tc>
                <w:tcPr>
                  <w:tcW w:w="924" w:type="pct"/>
                  <w:noWrap w:val="0"/>
                  <w:vAlign w:val="center"/>
                </w:tcPr>
                <w:p w14:paraId="6C4BDE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1E65706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251A59C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1-2.0mx1.0</w:t>
                  </w:r>
                </w:p>
              </w:tc>
              <w:tc>
                <w:tcPr>
                  <w:tcW w:w="973" w:type="pct"/>
                  <w:tcBorders>
                    <w:right w:val="nil"/>
                  </w:tcBorders>
                  <w:noWrap w:val="0"/>
                  <w:vAlign w:val="center"/>
                </w:tcPr>
                <w:p w14:paraId="7F2751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r w14:paraId="05501626">
              <w:tblPrEx>
                <w:tblBorders>
                  <w:top w:val="single" w:color="auto" w:sz="12" w:space="0"/>
                  <w:left w:val="single" w:color="000000" w:sz="2" w:space="0"/>
                  <w:bottom w:val="single" w:color="auto" w:sz="1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59" w:type="pct"/>
                  <w:tcBorders>
                    <w:left w:val="nil"/>
                  </w:tcBorders>
                  <w:noWrap w:val="0"/>
                  <w:vAlign w:val="center"/>
                </w:tcPr>
                <w:p w14:paraId="39778977">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8</w:t>
                  </w:r>
                </w:p>
              </w:tc>
              <w:tc>
                <w:tcPr>
                  <w:tcW w:w="788" w:type="pct"/>
                  <w:noWrap w:val="0"/>
                  <w:vAlign w:val="center"/>
                </w:tcPr>
                <w:p w14:paraId="024065D9">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K54+038</w:t>
                  </w:r>
                </w:p>
              </w:tc>
              <w:tc>
                <w:tcPr>
                  <w:tcW w:w="924" w:type="pct"/>
                  <w:noWrap w:val="0"/>
                  <w:vAlign w:val="center"/>
                </w:tcPr>
                <w:p w14:paraId="3ED620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箱涵</w:t>
                  </w:r>
                </w:p>
              </w:tc>
              <w:tc>
                <w:tcPr>
                  <w:tcW w:w="648" w:type="pct"/>
                  <w:noWrap w:val="0"/>
                  <w:vAlign w:val="center"/>
                </w:tcPr>
                <w:p w14:paraId="383E30D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305" w:type="pct"/>
                  <w:noWrap w:val="0"/>
                  <w:vAlign w:val="center"/>
                </w:tcPr>
                <w:p w14:paraId="044E43D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1-2.0mx1.5m</w:t>
                  </w:r>
                </w:p>
              </w:tc>
              <w:tc>
                <w:tcPr>
                  <w:tcW w:w="973" w:type="pct"/>
                  <w:tcBorders>
                    <w:right w:val="nil"/>
                  </w:tcBorders>
                  <w:noWrap w:val="0"/>
                  <w:vAlign w:val="center"/>
                </w:tcPr>
                <w:p w14:paraId="63170AA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拆除重建</w:t>
                  </w:r>
                </w:p>
              </w:tc>
            </w:tr>
          </w:tbl>
          <w:p w14:paraId="02F539B2">
            <w:pPr>
              <w:ind w:firstLine="480"/>
              <w:rPr>
                <w:rFonts w:hint="eastAsia"/>
                <w:color w:val="auto"/>
              </w:rPr>
            </w:pPr>
            <w:r>
              <w:rPr>
                <w:rFonts w:hint="eastAsia"/>
                <w:color w:val="auto"/>
                <w:lang w:eastAsia="zh-CN"/>
              </w:rPr>
              <w:t>（</w:t>
            </w:r>
            <w:r>
              <w:rPr>
                <w:rFonts w:hint="eastAsia"/>
                <w:color w:val="auto"/>
                <w:lang w:val="en-US" w:eastAsia="zh-CN"/>
              </w:rPr>
              <w:t>7</w:t>
            </w:r>
            <w:r>
              <w:rPr>
                <w:rFonts w:hint="eastAsia"/>
                <w:color w:val="auto"/>
                <w:lang w:eastAsia="zh-CN"/>
              </w:rPr>
              <w:t>）</w:t>
            </w:r>
            <w:r>
              <w:rPr>
                <w:rFonts w:hint="eastAsia"/>
                <w:color w:val="auto"/>
              </w:rPr>
              <w:t>交叉工程</w:t>
            </w:r>
          </w:p>
          <w:p w14:paraId="01F0BD8C">
            <w:pPr>
              <w:ind w:firstLine="480"/>
              <w:rPr>
                <w:rFonts w:hint="default"/>
                <w:color w:val="auto"/>
                <w:lang w:val="en-US" w:eastAsia="zh-CN"/>
              </w:rPr>
            </w:pPr>
            <w:r>
              <w:rPr>
                <w:rFonts w:hint="eastAsia" w:ascii="Times New Roman" w:hAnsi="Times New Roman" w:eastAsia="宋体" w:cs="Times New Roman"/>
                <w:color w:val="auto"/>
                <w:lang w:val="en-US" w:eastAsia="zh-CN"/>
              </w:rPr>
              <w:t>全线共设置平面交叉167处，其中：与四级、等外公路交叉2处，与四级公路交叉37处，与等外公路交叉128处。</w:t>
            </w:r>
            <w:r>
              <w:rPr>
                <w:rFonts w:hint="eastAsia"/>
                <w:color w:val="auto"/>
                <w:lang w:val="en-US" w:eastAsia="zh-CN"/>
              </w:rPr>
              <w:t>主要平面交叉情况见表2-11。</w:t>
            </w:r>
          </w:p>
          <w:p w14:paraId="042B3466">
            <w:pPr>
              <w:spacing w:line="360" w:lineRule="auto"/>
              <w:ind w:firstLine="0" w:firstLineChars="0"/>
              <w:jc w:val="center"/>
              <w:rPr>
                <w:rFonts w:ascii="黑体" w:hAnsi="黑体" w:eastAsia="黑体" w:cs="Times New Roman"/>
                <w:color w:val="auto"/>
                <w:sz w:val="24"/>
                <w:szCs w:val="32"/>
              </w:rPr>
            </w:pPr>
            <w:r>
              <w:rPr>
                <w:rFonts w:hint="eastAsia" w:ascii="黑体" w:hAnsi="黑体" w:eastAsia="黑体" w:cs="Times New Roman"/>
                <w:color w:val="auto"/>
                <w:sz w:val="24"/>
                <w:szCs w:val="32"/>
              </w:rPr>
              <w:t>表</w:t>
            </w:r>
            <w:r>
              <w:rPr>
                <w:rFonts w:ascii="Times New Roman" w:hAnsi="Times New Roman" w:eastAsia="黑体" w:cs="Times New Roman"/>
                <w:color w:val="auto"/>
                <w:sz w:val="24"/>
                <w:szCs w:val="32"/>
              </w:rPr>
              <w:t>2-1</w:t>
            </w:r>
            <w:r>
              <w:rPr>
                <w:rFonts w:hint="eastAsia" w:ascii="Times New Roman" w:hAnsi="Times New Roman" w:eastAsia="黑体" w:cs="Times New Roman"/>
                <w:color w:val="auto"/>
                <w:sz w:val="24"/>
                <w:szCs w:val="32"/>
                <w:lang w:val="en-US" w:eastAsia="zh-CN"/>
              </w:rPr>
              <w:t>1</w:t>
            </w:r>
            <w:r>
              <w:rPr>
                <w:rFonts w:ascii="Times New Roman" w:hAnsi="Times New Roman" w:eastAsia="黑体" w:cs="Times New Roman"/>
                <w:color w:val="auto"/>
                <w:sz w:val="24"/>
                <w:szCs w:val="32"/>
              </w:rPr>
              <w:t xml:space="preserve"> </w:t>
            </w:r>
            <w:r>
              <w:rPr>
                <w:rFonts w:ascii="黑体" w:hAnsi="黑体" w:eastAsia="黑体" w:cs="Times New Roman"/>
                <w:color w:val="auto"/>
                <w:sz w:val="24"/>
                <w:szCs w:val="32"/>
              </w:rPr>
              <w:t xml:space="preserve"> </w:t>
            </w:r>
            <w:r>
              <w:rPr>
                <w:rFonts w:hint="eastAsia" w:ascii="黑体" w:hAnsi="黑体" w:eastAsia="黑体" w:cs="Times New Roman"/>
                <w:color w:val="auto"/>
                <w:sz w:val="24"/>
                <w:szCs w:val="32"/>
              </w:rPr>
              <w:t>平面交叉情况一览表</w:t>
            </w:r>
          </w:p>
          <w:tbl>
            <w:tblPr>
              <w:tblStyle w:val="50"/>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508"/>
              <w:gridCol w:w="1830"/>
              <w:gridCol w:w="1441"/>
              <w:gridCol w:w="1441"/>
              <w:gridCol w:w="1251"/>
              <w:gridCol w:w="1061"/>
            </w:tblGrid>
            <w:tr w14:paraId="7ABB1B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337" w:type="pct"/>
                  <w:tcBorders>
                    <w:tl2br w:val="nil"/>
                    <w:tr2bl w:val="nil"/>
                  </w:tcBorders>
                  <w:vAlign w:val="center"/>
                </w:tcPr>
                <w:p w14:paraId="4400A23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序号</w:t>
                  </w:r>
                </w:p>
              </w:tc>
              <w:tc>
                <w:tcPr>
                  <w:tcW w:w="1214" w:type="pct"/>
                  <w:tcBorders>
                    <w:tl2br w:val="nil"/>
                    <w:tr2bl w:val="nil"/>
                  </w:tcBorders>
                  <w:vAlign w:val="center"/>
                </w:tcPr>
                <w:p w14:paraId="59DB527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中心桩号及起讫桩号</w:t>
                  </w:r>
                </w:p>
              </w:tc>
              <w:tc>
                <w:tcPr>
                  <w:tcW w:w="956" w:type="pct"/>
                  <w:tcBorders>
                    <w:tl2br w:val="nil"/>
                    <w:tr2bl w:val="nil"/>
                  </w:tcBorders>
                  <w:vAlign w:val="center"/>
                </w:tcPr>
                <w:p w14:paraId="4163C1F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被交叉路名称</w:t>
                  </w:r>
                </w:p>
              </w:tc>
              <w:tc>
                <w:tcPr>
                  <w:tcW w:w="956" w:type="pct"/>
                  <w:tcBorders>
                    <w:tl2br w:val="nil"/>
                    <w:tr2bl w:val="nil"/>
                  </w:tcBorders>
                  <w:vAlign w:val="center"/>
                </w:tcPr>
                <w:p w14:paraId="6163704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被交叉路等级</w:t>
                  </w:r>
                </w:p>
              </w:tc>
              <w:tc>
                <w:tcPr>
                  <w:tcW w:w="830" w:type="pct"/>
                  <w:tcBorders>
                    <w:tl2br w:val="nil"/>
                    <w:tr2bl w:val="nil"/>
                  </w:tcBorders>
                  <w:vAlign w:val="center"/>
                </w:tcPr>
                <w:p w14:paraId="2D1FE4C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路面宽度（m）</w:t>
                  </w:r>
                </w:p>
              </w:tc>
              <w:tc>
                <w:tcPr>
                  <w:tcW w:w="704" w:type="pct"/>
                  <w:tcBorders>
                    <w:tl2br w:val="nil"/>
                    <w:tr2bl w:val="nil"/>
                  </w:tcBorders>
                  <w:vAlign w:val="center"/>
                </w:tcPr>
                <w:p w14:paraId="3D92F3E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交叉形式</w:t>
                  </w:r>
                </w:p>
              </w:tc>
            </w:tr>
            <w:tr w14:paraId="0FE1D0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65BF1F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w:t>
                  </w:r>
                </w:p>
              </w:tc>
              <w:tc>
                <w:tcPr>
                  <w:tcW w:w="1214" w:type="pct"/>
                  <w:tcBorders>
                    <w:tl2br w:val="nil"/>
                    <w:tr2bl w:val="nil"/>
                  </w:tcBorders>
                  <w:vAlign w:val="center"/>
                </w:tcPr>
                <w:p w14:paraId="3410D8E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K12+592</w:t>
                  </w:r>
                </w:p>
              </w:tc>
              <w:tc>
                <w:tcPr>
                  <w:tcW w:w="956" w:type="pct"/>
                  <w:tcBorders>
                    <w:tl2br w:val="nil"/>
                    <w:tr2bl w:val="nil"/>
                  </w:tcBorders>
                  <w:vAlign w:val="center"/>
                </w:tcPr>
                <w:p w14:paraId="7BE27FD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A1AFA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0E943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6794DFE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4820E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B4C007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w:t>
                  </w:r>
                </w:p>
              </w:tc>
              <w:tc>
                <w:tcPr>
                  <w:tcW w:w="1214" w:type="pct"/>
                  <w:tcBorders>
                    <w:tl2br w:val="nil"/>
                    <w:tr2bl w:val="nil"/>
                  </w:tcBorders>
                  <w:vAlign w:val="center"/>
                </w:tcPr>
                <w:p w14:paraId="2E64D72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K12+618</w:t>
                  </w:r>
                </w:p>
              </w:tc>
              <w:tc>
                <w:tcPr>
                  <w:tcW w:w="956" w:type="pct"/>
                  <w:tcBorders>
                    <w:tl2br w:val="nil"/>
                    <w:tr2bl w:val="nil"/>
                  </w:tcBorders>
                  <w:vAlign w:val="center"/>
                </w:tcPr>
                <w:p w14:paraId="5AC4B27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D3615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1757C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70ACA9A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14DE95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1BE9AE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1214" w:type="pct"/>
                  <w:tcBorders>
                    <w:tl2br w:val="nil"/>
                    <w:tr2bl w:val="nil"/>
                  </w:tcBorders>
                  <w:vAlign w:val="center"/>
                </w:tcPr>
                <w:p w14:paraId="7E2CCB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K12+885</w:t>
                  </w:r>
                </w:p>
              </w:tc>
              <w:tc>
                <w:tcPr>
                  <w:tcW w:w="956" w:type="pct"/>
                  <w:tcBorders>
                    <w:tl2br w:val="nil"/>
                    <w:tr2bl w:val="nil"/>
                  </w:tcBorders>
                  <w:vAlign w:val="center"/>
                </w:tcPr>
                <w:p w14:paraId="45B0105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8BFD47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860DCE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CAB574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7E51A2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9E7B16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1214" w:type="pct"/>
                  <w:tcBorders>
                    <w:tl2br w:val="nil"/>
                    <w:tr2bl w:val="nil"/>
                  </w:tcBorders>
                  <w:vAlign w:val="center"/>
                </w:tcPr>
                <w:p w14:paraId="2B714FE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K13+157</w:t>
                  </w:r>
                </w:p>
              </w:tc>
              <w:tc>
                <w:tcPr>
                  <w:tcW w:w="956" w:type="pct"/>
                  <w:tcBorders>
                    <w:tl2br w:val="nil"/>
                    <w:tr2bl w:val="nil"/>
                  </w:tcBorders>
                  <w:vAlign w:val="center"/>
                </w:tcPr>
                <w:p w14:paraId="7D661F1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9E5A5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5EC08E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2E1B372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EBC13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12B34D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1214" w:type="pct"/>
                  <w:tcBorders>
                    <w:tl2br w:val="nil"/>
                    <w:tr2bl w:val="nil"/>
                  </w:tcBorders>
                  <w:vAlign w:val="center"/>
                </w:tcPr>
                <w:p w14:paraId="68DE109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K13+365</w:t>
                  </w:r>
                </w:p>
              </w:tc>
              <w:tc>
                <w:tcPr>
                  <w:tcW w:w="956" w:type="pct"/>
                  <w:tcBorders>
                    <w:tl2br w:val="nil"/>
                    <w:tr2bl w:val="nil"/>
                  </w:tcBorders>
                  <w:vAlign w:val="center"/>
                </w:tcPr>
                <w:p w14:paraId="4EF793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7606E7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644FA7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7E8FD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BD317A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28CF42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1214" w:type="pct"/>
                  <w:tcBorders>
                    <w:tl2br w:val="nil"/>
                    <w:tr2bl w:val="nil"/>
                  </w:tcBorders>
                  <w:vAlign w:val="center"/>
                </w:tcPr>
                <w:p w14:paraId="1B02C0A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K13+677</w:t>
                  </w:r>
                </w:p>
              </w:tc>
              <w:tc>
                <w:tcPr>
                  <w:tcW w:w="956" w:type="pct"/>
                  <w:tcBorders>
                    <w:tl2br w:val="nil"/>
                    <w:tr2bl w:val="nil"/>
                  </w:tcBorders>
                  <w:vAlign w:val="center"/>
                </w:tcPr>
                <w:p w14:paraId="38733CA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41AAC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C7DC2C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21800DD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9104A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2F49505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w:t>
                  </w:r>
                </w:p>
              </w:tc>
              <w:tc>
                <w:tcPr>
                  <w:tcW w:w="1214" w:type="pct"/>
                  <w:tcBorders>
                    <w:tl2br w:val="nil"/>
                    <w:tr2bl w:val="nil"/>
                  </w:tcBorders>
                  <w:vAlign w:val="center"/>
                </w:tcPr>
                <w:p w14:paraId="4D363C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K13+785</w:t>
                  </w:r>
                </w:p>
              </w:tc>
              <w:tc>
                <w:tcPr>
                  <w:tcW w:w="956" w:type="pct"/>
                  <w:tcBorders>
                    <w:tl2br w:val="nil"/>
                    <w:tr2bl w:val="nil"/>
                  </w:tcBorders>
                  <w:vAlign w:val="center"/>
                </w:tcPr>
                <w:p w14:paraId="529BF5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93B3F4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EAD863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78C9156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E9196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7B07C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w:t>
                  </w:r>
                </w:p>
              </w:tc>
              <w:tc>
                <w:tcPr>
                  <w:tcW w:w="1214" w:type="pct"/>
                  <w:tcBorders>
                    <w:tl2br w:val="nil"/>
                    <w:tr2bl w:val="nil"/>
                  </w:tcBorders>
                  <w:vAlign w:val="center"/>
                </w:tcPr>
                <w:p w14:paraId="5B76F50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K14+095</w:t>
                  </w:r>
                </w:p>
              </w:tc>
              <w:tc>
                <w:tcPr>
                  <w:tcW w:w="956" w:type="pct"/>
                  <w:tcBorders>
                    <w:tl2br w:val="nil"/>
                    <w:tr2bl w:val="nil"/>
                  </w:tcBorders>
                  <w:vAlign w:val="center"/>
                </w:tcPr>
                <w:p w14:paraId="18BDB4A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6004A2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449005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2D63CC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6CEE9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20D9312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w:t>
                  </w:r>
                </w:p>
              </w:tc>
              <w:tc>
                <w:tcPr>
                  <w:tcW w:w="1214" w:type="pct"/>
                  <w:tcBorders>
                    <w:tl2br w:val="nil"/>
                    <w:tr2bl w:val="nil"/>
                  </w:tcBorders>
                  <w:vAlign w:val="center"/>
                </w:tcPr>
                <w:p w14:paraId="070292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K14+233</w:t>
                  </w:r>
                </w:p>
              </w:tc>
              <w:tc>
                <w:tcPr>
                  <w:tcW w:w="956" w:type="pct"/>
                  <w:tcBorders>
                    <w:tl2br w:val="nil"/>
                    <w:tr2bl w:val="nil"/>
                  </w:tcBorders>
                  <w:vAlign w:val="center"/>
                </w:tcPr>
                <w:p w14:paraId="694071B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1FFB3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DC2B0F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3C52E3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4969B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69E9AE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w:t>
                  </w:r>
                </w:p>
              </w:tc>
              <w:tc>
                <w:tcPr>
                  <w:tcW w:w="1214" w:type="pct"/>
                  <w:tcBorders>
                    <w:tl2br w:val="nil"/>
                    <w:tr2bl w:val="nil"/>
                  </w:tcBorders>
                  <w:vAlign w:val="center"/>
                </w:tcPr>
                <w:p w14:paraId="7F83F18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K14+421</w:t>
                  </w:r>
                </w:p>
              </w:tc>
              <w:tc>
                <w:tcPr>
                  <w:tcW w:w="956" w:type="pct"/>
                  <w:tcBorders>
                    <w:tl2br w:val="nil"/>
                    <w:tr2bl w:val="nil"/>
                  </w:tcBorders>
                  <w:vAlign w:val="center"/>
                </w:tcPr>
                <w:p w14:paraId="197D3B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E9232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50ABFF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F33259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2870F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2A099C0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w:t>
                  </w:r>
                </w:p>
              </w:tc>
              <w:tc>
                <w:tcPr>
                  <w:tcW w:w="1214" w:type="pct"/>
                  <w:tcBorders>
                    <w:tl2br w:val="nil"/>
                    <w:tr2bl w:val="nil"/>
                  </w:tcBorders>
                  <w:vAlign w:val="center"/>
                </w:tcPr>
                <w:p w14:paraId="63E1F4C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K14+533</w:t>
                  </w:r>
                </w:p>
              </w:tc>
              <w:tc>
                <w:tcPr>
                  <w:tcW w:w="956" w:type="pct"/>
                  <w:tcBorders>
                    <w:tl2br w:val="nil"/>
                    <w:tr2bl w:val="nil"/>
                  </w:tcBorders>
                  <w:vAlign w:val="center"/>
                </w:tcPr>
                <w:p w14:paraId="2BEE0DD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8BFD3B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AB0877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0FBC52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EF18C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5303E1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w:t>
                  </w:r>
                </w:p>
              </w:tc>
              <w:tc>
                <w:tcPr>
                  <w:tcW w:w="1214" w:type="pct"/>
                  <w:tcBorders>
                    <w:tl2br w:val="nil"/>
                    <w:tr2bl w:val="nil"/>
                  </w:tcBorders>
                  <w:vAlign w:val="center"/>
                </w:tcPr>
                <w:p w14:paraId="3E46D05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K14+687</w:t>
                  </w:r>
                </w:p>
              </w:tc>
              <w:tc>
                <w:tcPr>
                  <w:tcW w:w="956" w:type="pct"/>
                  <w:tcBorders>
                    <w:tl2br w:val="nil"/>
                    <w:tr2bl w:val="nil"/>
                  </w:tcBorders>
                  <w:vAlign w:val="center"/>
                </w:tcPr>
                <w:p w14:paraId="361B7D3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BE98B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41ADCF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4454E0C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18872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D8A565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w:t>
                  </w:r>
                </w:p>
              </w:tc>
              <w:tc>
                <w:tcPr>
                  <w:tcW w:w="1214" w:type="pct"/>
                  <w:tcBorders>
                    <w:tl2br w:val="nil"/>
                    <w:tr2bl w:val="nil"/>
                  </w:tcBorders>
                  <w:vAlign w:val="center"/>
                </w:tcPr>
                <w:p w14:paraId="1890CB9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K14+715</w:t>
                  </w:r>
                </w:p>
              </w:tc>
              <w:tc>
                <w:tcPr>
                  <w:tcW w:w="956" w:type="pct"/>
                  <w:tcBorders>
                    <w:tl2br w:val="nil"/>
                    <w:tr2bl w:val="nil"/>
                  </w:tcBorders>
                  <w:vAlign w:val="center"/>
                </w:tcPr>
                <w:p w14:paraId="51FC31E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EF64EB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8ADA72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5/3</w:t>
                  </w:r>
                </w:p>
              </w:tc>
              <w:tc>
                <w:tcPr>
                  <w:tcW w:w="704" w:type="pct"/>
                  <w:tcBorders>
                    <w:tl2br w:val="nil"/>
                    <w:tr2bl w:val="nil"/>
                  </w:tcBorders>
                  <w:vAlign w:val="center"/>
                </w:tcPr>
                <w:p w14:paraId="21B5DBC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2A60B1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AD02D7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w:t>
                  </w:r>
                </w:p>
              </w:tc>
              <w:tc>
                <w:tcPr>
                  <w:tcW w:w="1214" w:type="pct"/>
                  <w:tcBorders>
                    <w:tl2br w:val="nil"/>
                    <w:tr2bl w:val="nil"/>
                  </w:tcBorders>
                  <w:vAlign w:val="center"/>
                </w:tcPr>
                <w:p w14:paraId="284CA14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K14+889</w:t>
                  </w:r>
                </w:p>
              </w:tc>
              <w:tc>
                <w:tcPr>
                  <w:tcW w:w="956" w:type="pct"/>
                  <w:tcBorders>
                    <w:tl2br w:val="nil"/>
                    <w:tr2bl w:val="nil"/>
                  </w:tcBorders>
                  <w:vAlign w:val="center"/>
                </w:tcPr>
                <w:p w14:paraId="5885DED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15EDFF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51E1E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085B84E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869AE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28FD2B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w:t>
                  </w:r>
                </w:p>
              </w:tc>
              <w:tc>
                <w:tcPr>
                  <w:tcW w:w="1214" w:type="pct"/>
                  <w:tcBorders>
                    <w:tl2br w:val="nil"/>
                    <w:tr2bl w:val="nil"/>
                  </w:tcBorders>
                  <w:vAlign w:val="center"/>
                </w:tcPr>
                <w:p w14:paraId="2BC8012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K15+053</w:t>
                  </w:r>
                </w:p>
              </w:tc>
              <w:tc>
                <w:tcPr>
                  <w:tcW w:w="956" w:type="pct"/>
                  <w:tcBorders>
                    <w:tl2br w:val="nil"/>
                    <w:tr2bl w:val="nil"/>
                  </w:tcBorders>
                  <w:vAlign w:val="center"/>
                </w:tcPr>
                <w:p w14:paraId="3FCCAF3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1CA6A1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E39B9D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511F7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078AF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6EAEC6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w:t>
                  </w:r>
                </w:p>
              </w:tc>
              <w:tc>
                <w:tcPr>
                  <w:tcW w:w="1214" w:type="pct"/>
                  <w:tcBorders>
                    <w:tl2br w:val="nil"/>
                    <w:tr2bl w:val="nil"/>
                  </w:tcBorders>
                  <w:vAlign w:val="center"/>
                </w:tcPr>
                <w:p w14:paraId="6E25986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K15+109</w:t>
                  </w:r>
                </w:p>
              </w:tc>
              <w:tc>
                <w:tcPr>
                  <w:tcW w:w="956" w:type="pct"/>
                  <w:tcBorders>
                    <w:tl2br w:val="nil"/>
                    <w:tr2bl w:val="nil"/>
                  </w:tcBorders>
                  <w:vAlign w:val="center"/>
                </w:tcPr>
                <w:p w14:paraId="359F0B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4661E9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017015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1454A61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640248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ED5FC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17</w:t>
                  </w:r>
                </w:p>
              </w:tc>
              <w:tc>
                <w:tcPr>
                  <w:tcW w:w="1214" w:type="pct"/>
                  <w:tcBorders>
                    <w:tl2br w:val="nil"/>
                    <w:tr2bl w:val="nil"/>
                  </w:tcBorders>
                  <w:vAlign w:val="center"/>
                </w:tcPr>
                <w:p w14:paraId="15F0F8A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K15+360</w:t>
                  </w:r>
                </w:p>
              </w:tc>
              <w:tc>
                <w:tcPr>
                  <w:tcW w:w="956" w:type="pct"/>
                  <w:tcBorders>
                    <w:tl2br w:val="nil"/>
                    <w:tr2bl w:val="nil"/>
                  </w:tcBorders>
                  <w:vAlign w:val="center"/>
                </w:tcPr>
                <w:p w14:paraId="069ACC8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0262D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AF5FB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EBECA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54006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53684F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18</w:t>
                  </w:r>
                </w:p>
              </w:tc>
              <w:tc>
                <w:tcPr>
                  <w:tcW w:w="1214" w:type="pct"/>
                  <w:tcBorders>
                    <w:tl2br w:val="nil"/>
                    <w:tr2bl w:val="nil"/>
                  </w:tcBorders>
                  <w:vAlign w:val="center"/>
                </w:tcPr>
                <w:p w14:paraId="0F4495E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K15+550</w:t>
                  </w:r>
                </w:p>
              </w:tc>
              <w:tc>
                <w:tcPr>
                  <w:tcW w:w="956" w:type="pct"/>
                  <w:tcBorders>
                    <w:tl2br w:val="nil"/>
                    <w:tr2bl w:val="nil"/>
                  </w:tcBorders>
                  <w:vAlign w:val="center"/>
                </w:tcPr>
                <w:p w14:paraId="140A74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B2CBEE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417A0B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3DBB0E7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7F1B5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A42BE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19</w:t>
                  </w:r>
                </w:p>
              </w:tc>
              <w:tc>
                <w:tcPr>
                  <w:tcW w:w="1214" w:type="pct"/>
                  <w:tcBorders>
                    <w:tl2br w:val="nil"/>
                    <w:tr2bl w:val="nil"/>
                  </w:tcBorders>
                  <w:vAlign w:val="center"/>
                </w:tcPr>
                <w:p w14:paraId="0A244FF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K15+560</w:t>
                  </w:r>
                </w:p>
              </w:tc>
              <w:tc>
                <w:tcPr>
                  <w:tcW w:w="956" w:type="pct"/>
                  <w:tcBorders>
                    <w:tl2br w:val="nil"/>
                    <w:tr2bl w:val="nil"/>
                  </w:tcBorders>
                  <w:vAlign w:val="center"/>
                </w:tcPr>
                <w:p w14:paraId="6D8087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4CAF18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87873B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9EB53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1AAB3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22771AD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20</w:t>
                  </w:r>
                </w:p>
              </w:tc>
              <w:tc>
                <w:tcPr>
                  <w:tcW w:w="1214" w:type="pct"/>
                  <w:tcBorders>
                    <w:tl2br w:val="nil"/>
                    <w:tr2bl w:val="nil"/>
                  </w:tcBorders>
                  <w:vAlign w:val="center"/>
                </w:tcPr>
                <w:p w14:paraId="7881D72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K15+796</w:t>
                  </w:r>
                </w:p>
              </w:tc>
              <w:tc>
                <w:tcPr>
                  <w:tcW w:w="956" w:type="pct"/>
                  <w:tcBorders>
                    <w:tl2br w:val="nil"/>
                    <w:tr2bl w:val="nil"/>
                  </w:tcBorders>
                  <w:vAlign w:val="center"/>
                </w:tcPr>
                <w:p w14:paraId="0BB991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63EECA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6BE6A0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663DAC3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12C3A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DDE6C2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21</w:t>
                  </w:r>
                </w:p>
              </w:tc>
              <w:tc>
                <w:tcPr>
                  <w:tcW w:w="1214" w:type="pct"/>
                  <w:tcBorders>
                    <w:tl2br w:val="nil"/>
                    <w:tr2bl w:val="nil"/>
                  </w:tcBorders>
                  <w:vAlign w:val="center"/>
                </w:tcPr>
                <w:p w14:paraId="164E04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K15+870</w:t>
                  </w:r>
                </w:p>
              </w:tc>
              <w:tc>
                <w:tcPr>
                  <w:tcW w:w="956" w:type="pct"/>
                  <w:tcBorders>
                    <w:tl2br w:val="nil"/>
                    <w:tr2bl w:val="nil"/>
                  </w:tcBorders>
                  <w:vAlign w:val="center"/>
                </w:tcPr>
                <w:p w14:paraId="7A12006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2E8250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524B90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6CD35CD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9E8D8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C40394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22</w:t>
                  </w:r>
                </w:p>
              </w:tc>
              <w:tc>
                <w:tcPr>
                  <w:tcW w:w="1214" w:type="pct"/>
                  <w:tcBorders>
                    <w:tl2br w:val="nil"/>
                    <w:tr2bl w:val="nil"/>
                  </w:tcBorders>
                  <w:vAlign w:val="center"/>
                </w:tcPr>
                <w:p w14:paraId="120D0A5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K16+066</w:t>
                  </w:r>
                </w:p>
              </w:tc>
              <w:tc>
                <w:tcPr>
                  <w:tcW w:w="956" w:type="pct"/>
                  <w:tcBorders>
                    <w:tl2br w:val="nil"/>
                    <w:tr2bl w:val="nil"/>
                  </w:tcBorders>
                  <w:vAlign w:val="center"/>
                </w:tcPr>
                <w:p w14:paraId="2E2EDE0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475973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D75802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4BDD7EB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5A32E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5AA14D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23</w:t>
                  </w:r>
                </w:p>
              </w:tc>
              <w:tc>
                <w:tcPr>
                  <w:tcW w:w="1214" w:type="pct"/>
                  <w:tcBorders>
                    <w:tl2br w:val="nil"/>
                    <w:tr2bl w:val="nil"/>
                  </w:tcBorders>
                  <w:vAlign w:val="center"/>
                </w:tcPr>
                <w:p w14:paraId="6EE44EF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K16+252</w:t>
                  </w:r>
                </w:p>
              </w:tc>
              <w:tc>
                <w:tcPr>
                  <w:tcW w:w="956" w:type="pct"/>
                  <w:tcBorders>
                    <w:tl2br w:val="nil"/>
                    <w:tr2bl w:val="nil"/>
                  </w:tcBorders>
                  <w:vAlign w:val="center"/>
                </w:tcPr>
                <w:p w14:paraId="3189C4F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E12024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651D05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1ABC339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63815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AC756F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24</w:t>
                  </w:r>
                </w:p>
              </w:tc>
              <w:tc>
                <w:tcPr>
                  <w:tcW w:w="1214" w:type="pct"/>
                  <w:tcBorders>
                    <w:tl2br w:val="nil"/>
                    <w:tr2bl w:val="nil"/>
                  </w:tcBorders>
                  <w:vAlign w:val="center"/>
                </w:tcPr>
                <w:p w14:paraId="403FE1B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K16+357</w:t>
                  </w:r>
                </w:p>
              </w:tc>
              <w:tc>
                <w:tcPr>
                  <w:tcW w:w="956" w:type="pct"/>
                  <w:tcBorders>
                    <w:tl2br w:val="nil"/>
                    <w:tr2bl w:val="nil"/>
                  </w:tcBorders>
                  <w:vAlign w:val="center"/>
                </w:tcPr>
                <w:p w14:paraId="493FBE3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2D5F3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E36C2A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F91BE4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F6385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C3F59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25</w:t>
                  </w:r>
                </w:p>
              </w:tc>
              <w:tc>
                <w:tcPr>
                  <w:tcW w:w="1214" w:type="pct"/>
                  <w:tcBorders>
                    <w:tl2br w:val="nil"/>
                    <w:tr2bl w:val="nil"/>
                  </w:tcBorders>
                  <w:vAlign w:val="center"/>
                </w:tcPr>
                <w:p w14:paraId="2B8F290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K16+603</w:t>
                  </w:r>
                </w:p>
              </w:tc>
              <w:tc>
                <w:tcPr>
                  <w:tcW w:w="956" w:type="pct"/>
                  <w:tcBorders>
                    <w:tl2br w:val="nil"/>
                    <w:tr2bl w:val="nil"/>
                  </w:tcBorders>
                  <w:vAlign w:val="center"/>
                </w:tcPr>
                <w:p w14:paraId="4E4662A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2AAE2E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6AE0A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4CFAB31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3B2C3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32F090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26</w:t>
                  </w:r>
                </w:p>
              </w:tc>
              <w:tc>
                <w:tcPr>
                  <w:tcW w:w="1214" w:type="pct"/>
                  <w:tcBorders>
                    <w:tl2br w:val="nil"/>
                    <w:tr2bl w:val="nil"/>
                  </w:tcBorders>
                  <w:vAlign w:val="center"/>
                </w:tcPr>
                <w:p w14:paraId="6B0EFFD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K16+750</w:t>
                  </w:r>
                </w:p>
              </w:tc>
              <w:tc>
                <w:tcPr>
                  <w:tcW w:w="956" w:type="pct"/>
                  <w:tcBorders>
                    <w:tl2br w:val="nil"/>
                    <w:tr2bl w:val="nil"/>
                  </w:tcBorders>
                  <w:vAlign w:val="center"/>
                </w:tcPr>
                <w:p w14:paraId="4AB6E01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ABE56E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36DE30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2D09BDA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221F5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6BE6838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27</w:t>
                  </w:r>
                </w:p>
              </w:tc>
              <w:tc>
                <w:tcPr>
                  <w:tcW w:w="1214" w:type="pct"/>
                  <w:tcBorders>
                    <w:tl2br w:val="nil"/>
                    <w:tr2bl w:val="nil"/>
                  </w:tcBorders>
                  <w:vAlign w:val="center"/>
                </w:tcPr>
                <w:p w14:paraId="53DD34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K17+023</w:t>
                  </w:r>
                </w:p>
              </w:tc>
              <w:tc>
                <w:tcPr>
                  <w:tcW w:w="956" w:type="pct"/>
                  <w:tcBorders>
                    <w:tl2br w:val="nil"/>
                    <w:tr2bl w:val="nil"/>
                  </w:tcBorders>
                  <w:vAlign w:val="center"/>
                </w:tcPr>
                <w:p w14:paraId="7C40E68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B34A91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4865F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4D239C6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317533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C03DE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28</w:t>
                  </w:r>
                </w:p>
              </w:tc>
              <w:tc>
                <w:tcPr>
                  <w:tcW w:w="1214" w:type="pct"/>
                  <w:tcBorders>
                    <w:tl2br w:val="nil"/>
                    <w:tr2bl w:val="nil"/>
                  </w:tcBorders>
                  <w:vAlign w:val="center"/>
                </w:tcPr>
                <w:p w14:paraId="21BF151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K17+056</w:t>
                  </w:r>
                </w:p>
              </w:tc>
              <w:tc>
                <w:tcPr>
                  <w:tcW w:w="956" w:type="pct"/>
                  <w:tcBorders>
                    <w:tl2br w:val="nil"/>
                    <w:tr2bl w:val="nil"/>
                  </w:tcBorders>
                  <w:vAlign w:val="center"/>
                </w:tcPr>
                <w:p w14:paraId="4C732D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8B94D5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0962A2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778CF95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2B182F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4F64E7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29</w:t>
                  </w:r>
                </w:p>
              </w:tc>
              <w:tc>
                <w:tcPr>
                  <w:tcW w:w="1214" w:type="pct"/>
                  <w:tcBorders>
                    <w:tl2br w:val="nil"/>
                    <w:tr2bl w:val="nil"/>
                  </w:tcBorders>
                  <w:vAlign w:val="center"/>
                </w:tcPr>
                <w:p w14:paraId="39EB088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K17+500</w:t>
                  </w:r>
                </w:p>
              </w:tc>
              <w:tc>
                <w:tcPr>
                  <w:tcW w:w="956" w:type="pct"/>
                  <w:tcBorders>
                    <w:tl2br w:val="nil"/>
                    <w:tr2bl w:val="nil"/>
                  </w:tcBorders>
                  <w:vAlign w:val="center"/>
                </w:tcPr>
                <w:p w14:paraId="4716528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16CCC1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6DC69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1C1D09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6A8B6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9DE796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30</w:t>
                  </w:r>
                </w:p>
              </w:tc>
              <w:tc>
                <w:tcPr>
                  <w:tcW w:w="1214" w:type="pct"/>
                  <w:tcBorders>
                    <w:tl2br w:val="nil"/>
                    <w:tr2bl w:val="nil"/>
                  </w:tcBorders>
                  <w:vAlign w:val="center"/>
                </w:tcPr>
                <w:p w14:paraId="07427A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K17+749</w:t>
                  </w:r>
                </w:p>
              </w:tc>
              <w:tc>
                <w:tcPr>
                  <w:tcW w:w="956" w:type="pct"/>
                  <w:tcBorders>
                    <w:tl2br w:val="nil"/>
                    <w:tr2bl w:val="nil"/>
                  </w:tcBorders>
                  <w:vAlign w:val="center"/>
                </w:tcPr>
                <w:p w14:paraId="01DD92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C9FAB7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43D6C7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0FECE6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A83679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237D3D9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31</w:t>
                  </w:r>
                </w:p>
              </w:tc>
              <w:tc>
                <w:tcPr>
                  <w:tcW w:w="1214" w:type="pct"/>
                  <w:tcBorders>
                    <w:tl2br w:val="nil"/>
                    <w:tr2bl w:val="nil"/>
                  </w:tcBorders>
                  <w:vAlign w:val="center"/>
                </w:tcPr>
                <w:p w14:paraId="4BD04E3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K18+004</w:t>
                  </w:r>
                </w:p>
              </w:tc>
              <w:tc>
                <w:tcPr>
                  <w:tcW w:w="956" w:type="pct"/>
                  <w:tcBorders>
                    <w:tl2br w:val="nil"/>
                    <w:tr2bl w:val="nil"/>
                  </w:tcBorders>
                  <w:vAlign w:val="center"/>
                </w:tcPr>
                <w:p w14:paraId="4597C93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0820441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70BA89C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3931B64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8627F5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D30D6C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32</w:t>
                  </w:r>
                </w:p>
              </w:tc>
              <w:tc>
                <w:tcPr>
                  <w:tcW w:w="1214" w:type="pct"/>
                  <w:tcBorders>
                    <w:tl2br w:val="nil"/>
                    <w:tr2bl w:val="nil"/>
                  </w:tcBorders>
                  <w:vAlign w:val="center"/>
                </w:tcPr>
                <w:p w14:paraId="71014DD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K18+218</w:t>
                  </w:r>
                </w:p>
              </w:tc>
              <w:tc>
                <w:tcPr>
                  <w:tcW w:w="956" w:type="pct"/>
                  <w:tcBorders>
                    <w:tl2br w:val="nil"/>
                    <w:tr2bl w:val="nil"/>
                  </w:tcBorders>
                  <w:vAlign w:val="center"/>
                </w:tcPr>
                <w:p w14:paraId="4124BA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F0A88B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A5E6DE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693998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17DE1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072E99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33</w:t>
                  </w:r>
                </w:p>
              </w:tc>
              <w:tc>
                <w:tcPr>
                  <w:tcW w:w="1214" w:type="pct"/>
                  <w:tcBorders>
                    <w:tl2br w:val="nil"/>
                    <w:tr2bl w:val="nil"/>
                  </w:tcBorders>
                  <w:vAlign w:val="center"/>
                </w:tcPr>
                <w:p w14:paraId="4D33156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K18+721</w:t>
                  </w:r>
                </w:p>
              </w:tc>
              <w:tc>
                <w:tcPr>
                  <w:tcW w:w="956" w:type="pct"/>
                  <w:tcBorders>
                    <w:tl2br w:val="nil"/>
                    <w:tr2bl w:val="nil"/>
                  </w:tcBorders>
                  <w:vAlign w:val="center"/>
                </w:tcPr>
                <w:p w14:paraId="5F9C4CF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EF75A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55111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0333661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507C5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F81165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34</w:t>
                  </w:r>
                </w:p>
              </w:tc>
              <w:tc>
                <w:tcPr>
                  <w:tcW w:w="1214" w:type="pct"/>
                  <w:tcBorders>
                    <w:tl2br w:val="nil"/>
                    <w:tr2bl w:val="nil"/>
                  </w:tcBorders>
                  <w:vAlign w:val="center"/>
                </w:tcPr>
                <w:p w14:paraId="2DE411C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K18+755</w:t>
                  </w:r>
                </w:p>
              </w:tc>
              <w:tc>
                <w:tcPr>
                  <w:tcW w:w="956" w:type="pct"/>
                  <w:tcBorders>
                    <w:tl2br w:val="nil"/>
                    <w:tr2bl w:val="nil"/>
                  </w:tcBorders>
                  <w:vAlign w:val="center"/>
                </w:tcPr>
                <w:p w14:paraId="38A5EF5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A4E0C2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2A00B1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3A0A471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DBE30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0233F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1214" w:type="pct"/>
                  <w:tcBorders>
                    <w:tl2br w:val="nil"/>
                    <w:tr2bl w:val="nil"/>
                  </w:tcBorders>
                  <w:vAlign w:val="center"/>
                </w:tcPr>
                <w:p w14:paraId="4B567F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K18+971</w:t>
                  </w:r>
                </w:p>
              </w:tc>
              <w:tc>
                <w:tcPr>
                  <w:tcW w:w="956" w:type="pct"/>
                  <w:tcBorders>
                    <w:tl2br w:val="nil"/>
                    <w:tr2bl w:val="nil"/>
                  </w:tcBorders>
                  <w:vAlign w:val="center"/>
                </w:tcPr>
                <w:p w14:paraId="078C05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86C910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47DF9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25F3EDD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C694B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E2F1A7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36</w:t>
                  </w:r>
                </w:p>
              </w:tc>
              <w:tc>
                <w:tcPr>
                  <w:tcW w:w="1214" w:type="pct"/>
                  <w:tcBorders>
                    <w:tl2br w:val="nil"/>
                    <w:tr2bl w:val="nil"/>
                  </w:tcBorders>
                  <w:vAlign w:val="center"/>
                </w:tcPr>
                <w:p w14:paraId="235920B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K19+060</w:t>
                  </w:r>
                </w:p>
              </w:tc>
              <w:tc>
                <w:tcPr>
                  <w:tcW w:w="956" w:type="pct"/>
                  <w:tcBorders>
                    <w:tl2br w:val="nil"/>
                    <w:tr2bl w:val="nil"/>
                  </w:tcBorders>
                  <w:vAlign w:val="center"/>
                </w:tcPr>
                <w:p w14:paraId="2A432E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6D68D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2356A1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7E30218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E986D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D6A0C5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37</w:t>
                  </w:r>
                </w:p>
              </w:tc>
              <w:tc>
                <w:tcPr>
                  <w:tcW w:w="1214" w:type="pct"/>
                  <w:tcBorders>
                    <w:tl2br w:val="nil"/>
                    <w:tr2bl w:val="nil"/>
                  </w:tcBorders>
                  <w:vAlign w:val="center"/>
                </w:tcPr>
                <w:p w14:paraId="2743330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K19+215</w:t>
                  </w:r>
                </w:p>
              </w:tc>
              <w:tc>
                <w:tcPr>
                  <w:tcW w:w="956" w:type="pct"/>
                  <w:tcBorders>
                    <w:tl2br w:val="nil"/>
                    <w:tr2bl w:val="nil"/>
                  </w:tcBorders>
                  <w:vAlign w:val="center"/>
                </w:tcPr>
                <w:p w14:paraId="44B48A1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CAA0C5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2D8133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73D6591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2DBDC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D1F9A8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38</w:t>
                  </w:r>
                </w:p>
              </w:tc>
              <w:tc>
                <w:tcPr>
                  <w:tcW w:w="1214" w:type="pct"/>
                  <w:tcBorders>
                    <w:tl2br w:val="nil"/>
                    <w:tr2bl w:val="nil"/>
                  </w:tcBorders>
                  <w:vAlign w:val="center"/>
                </w:tcPr>
                <w:p w14:paraId="3947954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K19+848</w:t>
                  </w:r>
                </w:p>
              </w:tc>
              <w:tc>
                <w:tcPr>
                  <w:tcW w:w="956" w:type="pct"/>
                  <w:tcBorders>
                    <w:tl2br w:val="nil"/>
                    <w:tr2bl w:val="nil"/>
                  </w:tcBorders>
                  <w:vAlign w:val="center"/>
                </w:tcPr>
                <w:p w14:paraId="32148DE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E96A5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F7315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6125B9B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BAC81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F63FA2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39</w:t>
                  </w:r>
                </w:p>
              </w:tc>
              <w:tc>
                <w:tcPr>
                  <w:tcW w:w="1214" w:type="pct"/>
                  <w:tcBorders>
                    <w:tl2br w:val="nil"/>
                    <w:tr2bl w:val="nil"/>
                  </w:tcBorders>
                  <w:vAlign w:val="center"/>
                </w:tcPr>
                <w:p w14:paraId="00D92A3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K19+989</w:t>
                  </w:r>
                </w:p>
              </w:tc>
              <w:tc>
                <w:tcPr>
                  <w:tcW w:w="956" w:type="pct"/>
                  <w:tcBorders>
                    <w:tl2br w:val="nil"/>
                    <w:tr2bl w:val="nil"/>
                  </w:tcBorders>
                  <w:vAlign w:val="center"/>
                </w:tcPr>
                <w:p w14:paraId="2DDDE97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厂区路</w:t>
                  </w:r>
                </w:p>
              </w:tc>
              <w:tc>
                <w:tcPr>
                  <w:tcW w:w="956" w:type="pct"/>
                  <w:tcBorders>
                    <w:tl2br w:val="nil"/>
                    <w:tr2bl w:val="nil"/>
                  </w:tcBorders>
                  <w:vAlign w:val="center"/>
                </w:tcPr>
                <w:p w14:paraId="6287040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791F4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w:t>
                  </w:r>
                </w:p>
              </w:tc>
              <w:tc>
                <w:tcPr>
                  <w:tcW w:w="704" w:type="pct"/>
                  <w:tcBorders>
                    <w:tl2br w:val="nil"/>
                    <w:tr2bl w:val="nil"/>
                  </w:tcBorders>
                  <w:vAlign w:val="center"/>
                </w:tcPr>
                <w:p w14:paraId="062E0A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5A6BE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3F850C1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40</w:t>
                  </w:r>
                </w:p>
              </w:tc>
              <w:tc>
                <w:tcPr>
                  <w:tcW w:w="1214" w:type="pct"/>
                  <w:tcBorders>
                    <w:tl2br w:val="nil"/>
                    <w:tr2bl w:val="nil"/>
                  </w:tcBorders>
                  <w:vAlign w:val="center"/>
                </w:tcPr>
                <w:p w14:paraId="7EB78DA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K20+683</w:t>
                  </w:r>
                </w:p>
              </w:tc>
              <w:tc>
                <w:tcPr>
                  <w:tcW w:w="956" w:type="pct"/>
                  <w:tcBorders>
                    <w:tl2br w:val="nil"/>
                    <w:tr2bl w:val="nil"/>
                  </w:tcBorders>
                  <w:vAlign w:val="center"/>
                </w:tcPr>
                <w:p w14:paraId="3839E4A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C678A4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1B431F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0000494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63761C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1BAA26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41</w:t>
                  </w:r>
                </w:p>
              </w:tc>
              <w:tc>
                <w:tcPr>
                  <w:tcW w:w="1214" w:type="pct"/>
                  <w:tcBorders>
                    <w:tl2br w:val="nil"/>
                    <w:tr2bl w:val="nil"/>
                  </w:tcBorders>
                  <w:vAlign w:val="center"/>
                </w:tcPr>
                <w:p w14:paraId="2524406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K20+785</w:t>
                  </w:r>
                </w:p>
              </w:tc>
              <w:tc>
                <w:tcPr>
                  <w:tcW w:w="956" w:type="pct"/>
                  <w:tcBorders>
                    <w:tl2br w:val="nil"/>
                    <w:tr2bl w:val="nil"/>
                  </w:tcBorders>
                  <w:vAlign w:val="center"/>
                </w:tcPr>
                <w:p w14:paraId="1DABDCB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9BD9DD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58BF70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6AF5C9C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0E4E7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33F0ED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42</w:t>
                  </w:r>
                </w:p>
              </w:tc>
              <w:tc>
                <w:tcPr>
                  <w:tcW w:w="1214" w:type="pct"/>
                  <w:tcBorders>
                    <w:tl2br w:val="nil"/>
                    <w:tr2bl w:val="nil"/>
                  </w:tcBorders>
                  <w:vAlign w:val="center"/>
                </w:tcPr>
                <w:p w14:paraId="13F7B6A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K20+914</w:t>
                  </w:r>
                </w:p>
              </w:tc>
              <w:tc>
                <w:tcPr>
                  <w:tcW w:w="956" w:type="pct"/>
                  <w:tcBorders>
                    <w:tl2br w:val="nil"/>
                    <w:tr2bl w:val="nil"/>
                  </w:tcBorders>
                  <w:vAlign w:val="center"/>
                </w:tcPr>
                <w:p w14:paraId="412C0CE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5A557A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1A8C02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3AF3DC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28CC4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63231CB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43</w:t>
                  </w:r>
                </w:p>
              </w:tc>
              <w:tc>
                <w:tcPr>
                  <w:tcW w:w="1214" w:type="pct"/>
                  <w:tcBorders>
                    <w:tl2br w:val="nil"/>
                    <w:tr2bl w:val="nil"/>
                  </w:tcBorders>
                  <w:vAlign w:val="center"/>
                </w:tcPr>
                <w:p w14:paraId="76C2680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K21+680</w:t>
                  </w:r>
                </w:p>
              </w:tc>
              <w:tc>
                <w:tcPr>
                  <w:tcW w:w="956" w:type="pct"/>
                  <w:tcBorders>
                    <w:tl2br w:val="nil"/>
                    <w:tr2bl w:val="nil"/>
                  </w:tcBorders>
                  <w:vAlign w:val="center"/>
                </w:tcPr>
                <w:p w14:paraId="4BB6249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7C4EF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5C1F99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3EA538D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4707B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6826A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44</w:t>
                  </w:r>
                </w:p>
              </w:tc>
              <w:tc>
                <w:tcPr>
                  <w:tcW w:w="1214" w:type="pct"/>
                  <w:tcBorders>
                    <w:tl2br w:val="nil"/>
                    <w:tr2bl w:val="nil"/>
                  </w:tcBorders>
                  <w:vAlign w:val="center"/>
                </w:tcPr>
                <w:p w14:paraId="3196E40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K21+883</w:t>
                  </w:r>
                </w:p>
              </w:tc>
              <w:tc>
                <w:tcPr>
                  <w:tcW w:w="956" w:type="pct"/>
                  <w:tcBorders>
                    <w:tl2br w:val="nil"/>
                    <w:tr2bl w:val="nil"/>
                  </w:tcBorders>
                  <w:vAlign w:val="center"/>
                </w:tcPr>
                <w:p w14:paraId="6905B5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EB21AE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48C3A8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287D42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E880F1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1F756AD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1214" w:type="pct"/>
                  <w:tcBorders>
                    <w:tl2br w:val="nil"/>
                    <w:tr2bl w:val="nil"/>
                  </w:tcBorders>
                  <w:vAlign w:val="center"/>
                </w:tcPr>
                <w:p w14:paraId="739ACB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K22+192</w:t>
                  </w:r>
                </w:p>
              </w:tc>
              <w:tc>
                <w:tcPr>
                  <w:tcW w:w="956" w:type="pct"/>
                  <w:tcBorders>
                    <w:tl2br w:val="nil"/>
                    <w:tr2bl w:val="nil"/>
                  </w:tcBorders>
                  <w:vAlign w:val="center"/>
                </w:tcPr>
                <w:p w14:paraId="5542CA4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34D317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A6FE21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258537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9DFF8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2F452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46</w:t>
                  </w:r>
                </w:p>
              </w:tc>
              <w:tc>
                <w:tcPr>
                  <w:tcW w:w="1214" w:type="pct"/>
                  <w:tcBorders>
                    <w:tl2br w:val="nil"/>
                    <w:tr2bl w:val="nil"/>
                  </w:tcBorders>
                  <w:vAlign w:val="center"/>
                </w:tcPr>
                <w:p w14:paraId="36F67F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K22+550</w:t>
                  </w:r>
                </w:p>
              </w:tc>
              <w:tc>
                <w:tcPr>
                  <w:tcW w:w="956" w:type="pct"/>
                  <w:tcBorders>
                    <w:tl2br w:val="nil"/>
                    <w:tr2bl w:val="nil"/>
                  </w:tcBorders>
                  <w:vAlign w:val="center"/>
                </w:tcPr>
                <w:p w14:paraId="6DD42AA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6DE3F2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560754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4B140D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A38D46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6BAC08C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47</w:t>
                  </w:r>
                </w:p>
              </w:tc>
              <w:tc>
                <w:tcPr>
                  <w:tcW w:w="1214" w:type="pct"/>
                  <w:tcBorders>
                    <w:tl2br w:val="nil"/>
                    <w:tr2bl w:val="nil"/>
                  </w:tcBorders>
                  <w:vAlign w:val="center"/>
                </w:tcPr>
                <w:p w14:paraId="69C25C8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K22+714</w:t>
                  </w:r>
                </w:p>
              </w:tc>
              <w:tc>
                <w:tcPr>
                  <w:tcW w:w="956" w:type="pct"/>
                  <w:tcBorders>
                    <w:tl2br w:val="nil"/>
                    <w:tr2bl w:val="nil"/>
                  </w:tcBorders>
                  <w:vAlign w:val="center"/>
                </w:tcPr>
                <w:p w14:paraId="5549CD2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64B3F1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D631D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4ADC8A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D9FC39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B67BDC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48</w:t>
                  </w:r>
                </w:p>
              </w:tc>
              <w:tc>
                <w:tcPr>
                  <w:tcW w:w="1214" w:type="pct"/>
                  <w:tcBorders>
                    <w:tl2br w:val="nil"/>
                    <w:tr2bl w:val="nil"/>
                  </w:tcBorders>
                  <w:vAlign w:val="center"/>
                </w:tcPr>
                <w:p w14:paraId="6438EFC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K23+816</w:t>
                  </w:r>
                </w:p>
              </w:tc>
              <w:tc>
                <w:tcPr>
                  <w:tcW w:w="956" w:type="pct"/>
                  <w:tcBorders>
                    <w:tl2br w:val="nil"/>
                    <w:tr2bl w:val="nil"/>
                  </w:tcBorders>
                  <w:vAlign w:val="center"/>
                </w:tcPr>
                <w:p w14:paraId="7CE23C6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2B78D96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1F1597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1595FF5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0FDB2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E5324A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49</w:t>
                  </w:r>
                </w:p>
              </w:tc>
              <w:tc>
                <w:tcPr>
                  <w:tcW w:w="1214" w:type="pct"/>
                  <w:tcBorders>
                    <w:tl2br w:val="nil"/>
                    <w:tr2bl w:val="nil"/>
                  </w:tcBorders>
                  <w:vAlign w:val="center"/>
                </w:tcPr>
                <w:p w14:paraId="303145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K24+226</w:t>
                  </w:r>
                </w:p>
              </w:tc>
              <w:tc>
                <w:tcPr>
                  <w:tcW w:w="956" w:type="pct"/>
                  <w:tcBorders>
                    <w:tl2br w:val="nil"/>
                    <w:tr2bl w:val="nil"/>
                  </w:tcBorders>
                  <w:vAlign w:val="center"/>
                </w:tcPr>
                <w:p w14:paraId="2BAAF54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9F3AF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28FAF6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376915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172224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A7FB3A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50</w:t>
                  </w:r>
                </w:p>
              </w:tc>
              <w:tc>
                <w:tcPr>
                  <w:tcW w:w="1214" w:type="pct"/>
                  <w:tcBorders>
                    <w:tl2br w:val="nil"/>
                    <w:tr2bl w:val="nil"/>
                  </w:tcBorders>
                  <w:vAlign w:val="center"/>
                </w:tcPr>
                <w:p w14:paraId="1C4799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K24+420</w:t>
                  </w:r>
                </w:p>
              </w:tc>
              <w:tc>
                <w:tcPr>
                  <w:tcW w:w="956" w:type="pct"/>
                  <w:tcBorders>
                    <w:tl2br w:val="nil"/>
                    <w:tr2bl w:val="nil"/>
                  </w:tcBorders>
                  <w:vAlign w:val="center"/>
                </w:tcPr>
                <w:p w14:paraId="0612C0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51FF16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18E68F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0B95E2B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F80DEA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624D5F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51</w:t>
                  </w:r>
                </w:p>
              </w:tc>
              <w:tc>
                <w:tcPr>
                  <w:tcW w:w="1214" w:type="pct"/>
                  <w:tcBorders>
                    <w:tl2br w:val="nil"/>
                    <w:tr2bl w:val="nil"/>
                  </w:tcBorders>
                  <w:vAlign w:val="center"/>
                </w:tcPr>
                <w:p w14:paraId="4AB80B5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K24+835</w:t>
                  </w:r>
                </w:p>
              </w:tc>
              <w:tc>
                <w:tcPr>
                  <w:tcW w:w="956" w:type="pct"/>
                  <w:tcBorders>
                    <w:tl2br w:val="nil"/>
                    <w:tr2bl w:val="nil"/>
                  </w:tcBorders>
                  <w:vAlign w:val="center"/>
                </w:tcPr>
                <w:p w14:paraId="2204484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989C12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6D8C7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0D6C5AD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3BC53A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535F7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52</w:t>
                  </w:r>
                </w:p>
              </w:tc>
              <w:tc>
                <w:tcPr>
                  <w:tcW w:w="1214" w:type="pct"/>
                  <w:tcBorders>
                    <w:tl2br w:val="nil"/>
                    <w:tr2bl w:val="nil"/>
                  </w:tcBorders>
                  <w:vAlign w:val="center"/>
                </w:tcPr>
                <w:p w14:paraId="53A3542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K25+250</w:t>
                  </w:r>
                </w:p>
              </w:tc>
              <w:tc>
                <w:tcPr>
                  <w:tcW w:w="956" w:type="pct"/>
                  <w:tcBorders>
                    <w:tl2br w:val="nil"/>
                    <w:tr2bl w:val="nil"/>
                  </w:tcBorders>
                  <w:vAlign w:val="center"/>
                </w:tcPr>
                <w:p w14:paraId="35D24F4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3421DA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44BA8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1EA2C7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8CB9E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6920B17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53</w:t>
                  </w:r>
                </w:p>
              </w:tc>
              <w:tc>
                <w:tcPr>
                  <w:tcW w:w="1214" w:type="pct"/>
                  <w:tcBorders>
                    <w:tl2br w:val="nil"/>
                    <w:tr2bl w:val="nil"/>
                  </w:tcBorders>
                  <w:vAlign w:val="center"/>
                </w:tcPr>
                <w:p w14:paraId="03F230F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K25+714</w:t>
                  </w:r>
                </w:p>
              </w:tc>
              <w:tc>
                <w:tcPr>
                  <w:tcW w:w="956" w:type="pct"/>
                  <w:tcBorders>
                    <w:tl2br w:val="nil"/>
                    <w:tr2bl w:val="nil"/>
                  </w:tcBorders>
                  <w:vAlign w:val="center"/>
                </w:tcPr>
                <w:p w14:paraId="75BBDC2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0B490E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221C0F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3635E10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9435F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9FB1B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54</w:t>
                  </w:r>
                </w:p>
              </w:tc>
              <w:tc>
                <w:tcPr>
                  <w:tcW w:w="1214" w:type="pct"/>
                  <w:tcBorders>
                    <w:tl2br w:val="nil"/>
                    <w:tr2bl w:val="nil"/>
                  </w:tcBorders>
                  <w:vAlign w:val="center"/>
                </w:tcPr>
                <w:p w14:paraId="3ACA025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K25+732</w:t>
                  </w:r>
                </w:p>
              </w:tc>
              <w:tc>
                <w:tcPr>
                  <w:tcW w:w="956" w:type="pct"/>
                  <w:tcBorders>
                    <w:tl2br w:val="nil"/>
                    <w:tr2bl w:val="nil"/>
                  </w:tcBorders>
                  <w:vAlign w:val="center"/>
                </w:tcPr>
                <w:p w14:paraId="4F8F0F9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54CF44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5D6962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1F1081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37AA3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A236D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55</w:t>
                  </w:r>
                </w:p>
              </w:tc>
              <w:tc>
                <w:tcPr>
                  <w:tcW w:w="1214" w:type="pct"/>
                  <w:tcBorders>
                    <w:tl2br w:val="nil"/>
                    <w:tr2bl w:val="nil"/>
                  </w:tcBorders>
                  <w:vAlign w:val="center"/>
                </w:tcPr>
                <w:p w14:paraId="695E72C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K25+956</w:t>
                  </w:r>
                </w:p>
              </w:tc>
              <w:tc>
                <w:tcPr>
                  <w:tcW w:w="956" w:type="pct"/>
                  <w:tcBorders>
                    <w:tl2br w:val="nil"/>
                    <w:tr2bl w:val="nil"/>
                  </w:tcBorders>
                  <w:vAlign w:val="center"/>
                </w:tcPr>
                <w:p w14:paraId="49E5D25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2ED61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81C4A0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0713AC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3B4BD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1C4717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56</w:t>
                  </w:r>
                </w:p>
              </w:tc>
              <w:tc>
                <w:tcPr>
                  <w:tcW w:w="1214" w:type="pct"/>
                  <w:tcBorders>
                    <w:tl2br w:val="nil"/>
                    <w:tr2bl w:val="nil"/>
                  </w:tcBorders>
                  <w:vAlign w:val="center"/>
                </w:tcPr>
                <w:p w14:paraId="254980B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K25+967</w:t>
                  </w:r>
                </w:p>
              </w:tc>
              <w:tc>
                <w:tcPr>
                  <w:tcW w:w="956" w:type="pct"/>
                  <w:tcBorders>
                    <w:tl2br w:val="nil"/>
                    <w:tr2bl w:val="nil"/>
                  </w:tcBorders>
                  <w:vAlign w:val="center"/>
                </w:tcPr>
                <w:p w14:paraId="5537B51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B3C627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5CEB66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39D6A68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78B6A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E6308E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57</w:t>
                  </w:r>
                </w:p>
              </w:tc>
              <w:tc>
                <w:tcPr>
                  <w:tcW w:w="1214" w:type="pct"/>
                  <w:tcBorders>
                    <w:tl2br w:val="nil"/>
                    <w:tr2bl w:val="nil"/>
                  </w:tcBorders>
                  <w:vAlign w:val="center"/>
                </w:tcPr>
                <w:p w14:paraId="0C7FD01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K26+532</w:t>
                  </w:r>
                </w:p>
              </w:tc>
              <w:tc>
                <w:tcPr>
                  <w:tcW w:w="956" w:type="pct"/>
                  <w:tcBorders>
                    <w:tl2br w:val="nil"/>
                    <w:tr2bl w:val="nil"/>
                  </w:tcBorders>
                  <w:vAlign w:val="center"/>
                </w:tcPr>
                <w:p w14:paraId="48379B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0DF902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886C13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1F359FF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C9E87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681CBA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58</w:t>
                  </w:r>
                </w:p>
              </w:tc>
              <w:tc>
                <w:tcPr>
                  <w:tcW w:w="1214" w:type="pct"/>
                  <w:tcBorders>
                    <w:tl2br w:val="nil"/>
                    <w:tr2bl w:val="nil"/>
                  </w:tcBorders>
                  <w:vAlign w:val="center"/>
                </w:tcPr>
                <w:p w14:paraId="2780255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K26+766</w:t>
                  </w:r>
                </w:p>
              </w:tc>
              <w:tc>
                <w:tcPr>
                  <w:tcW w:w="956" w:type="pct"/>
                  <w:tcBorders>
                    <w:tl2br w:val="nil"/>
                    <w:tr2bl w:val="nil"/>
                  </w:tcBorders>
                  <w:vAlign w:val="center"/>
                </w:tcPr>
                <w:p w14:paraId="7E46A71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3B405E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2F997D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626D2D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D231E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10806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59</w:t>
                  </w:r>
                </w:p>
              </w:tc>
              <w:tc>
                <w:tcPr>
                  <w:tcW w:w="1214" w:type="pct"/>
                  <w:tcBorders>
                    <w:tl2br w:val="nil"/>
                    <w:tr2bl w:val="nil"/>
                  </w:tcBorders>
                  <w:vAlign w:val="center"/>
                </w:tcPr>
                <w:p w14:paraId="7384544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K27+654</w:t>
                  </w:r>
                </w:p>
              </w:tc>
              <w:tc>
                <w:tcPr>
                  <w:tcW w:w="956" w:type="pct"/>
                  <w:tcBorders>
                    <w:tl2br w:val="nil"/>
                    <w:tr2bl w:val="nil"/>
                  </w:tcBorders>
                  <w:vAlign w:val="center"/>
                </w:tcPr>
                <w:p w14:paraId="69CC6A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D6D8B0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3812C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1E8074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6949A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5A18FA6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60</w:t>
                  </w:r>
                </w:p>
              </w:tc>
              <w:tc>
                <w:tcPr>
                  <w:tcW w:w="1214" w:type="pct"/>
                  <w:tcBorders>
                    <w:tl2br w:val="nil"/>
                    <w:tr2bl w:val="nil"/>
                  </w:tcBorders>
                  <w:vAlign w:val="center"/>
                </w:tcPr>
                <w:p w14:paraId="1764BA1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K27+947</w:t>
                  </w:r>
                </w:p>
              </w:tc>
              <w:tc>
                <w:tcPr>
                  <w:tcW w:w="956" w:type="pct"/>
                  <w:tcBorders>
                    <w:tl2br w:val="nil"/>
                    <w:tr2bl w:val="nil"/>
                  </w:tcBorders>
                  <w:vAlign w:val="center"/>
                </w:tcPr>
                <w:p w14:paraId="1225A3F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76B71F7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1BE15C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7184EF9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73184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2F732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61</w:t>
                  </w:r>
                </w:p>
              </w:tc>
              <w:tc>
                <w:tcPr>
                  <w:tcW w:w="1214" w:type="pct"/>
                  <w:tcBorders>
                    <w:tl2br w:val="nil"/>
                    <w:tr2bl w:val="nil"/>
                  </w:tcBorders>
                  <w:vAlign w:val="center"/>
                </w:tcPr>
                <w:p w14:paraId="068EE4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K28+062</w:t>
                  </w:r>
                </w:p>
              </w:tc>
              <w:tc>
                <w:tcPr>
                  <w:tcW w:w="956" w:type="pct"/>
                  <w:tcBorders>
                    <w:tl2br w:val="nil"/>
                    <w:tr2bl w:val="nil"/>
                  </w:tcBorders>
                  <w:vAlign w:val="center"/>
                </w:tcPr>
                <w:p w14:paraId="08D92A5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1F9352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265A79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0CDA779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53110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D5051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62</w:t>
                  </w:r>
                </w:p>
              </w:tc>
              <w:tc>
                <w:tcPr>
                  <w:tcW w:w="1214" w:type="pct"/>
                  <w:tcBorders>
                    <w:tl2br w:val="nil"/>
                    <w:tr2bl w:val="nil"/>
                  </w:tcBorders>
                  <w:vAlign w:val="center"/>
                </w:tcPr>
                <w:p w14:paraId="70BBDF8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K28+320</w:t>
                  </w:r>
                </w:p>
              </w:tc>
              <w:tc>
                <w:tcPr>
                  <w:tcW w:w="956" w:type="pct"/>
                  <w:tcBorders>
                    <w:tl2br w:val="nil"/>
                    <w:tr2bl w:val="nil"/>
                  </w:tcBorders>
                  <w:vAlign w:val="center"/>
                </w:tcPr>
                <w:p w14:paraId="0E9268F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304377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EBC94E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3491158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F5DA5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235C66F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63</w:t>
                  </w:r>
                </w:p>
              </w:tc>
              <w:tc>
                <w:tcPr>
                  <w:tcW w:w="1214" w:type="pct"/>
                  <w:tcBorders>
                    <w:tl2br w:val="nil"/>
                    <w:tr2bl w:val="nil"/>
                  </w:tcBorders>
                  <w:vAlign w:val="center"/>
                </w:tcPr>
                <w:p w14:paraId="4BE8EE6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K28+384</w:t>
                  </w:r>
                </w:p>
              </w:tc>
              <w:tc>
                <w:tcPr>
                  <w:tcW w:w="956" w:type="pct"/>
                  <w:tcBorders>
                    <w:tl2br w:val="nil"/>
                    <w:tr2bl w:val="nil"/>
                  </w:tcBorders>
                  <w:vAlign w:val="center"/>
                </w:tcPr>
                <w:p w14:paraId="1FB263D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7B0EDC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EEC21D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21BBF5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58A050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300A5A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64</w:t>
                  </w:r>
                </w:p>
              </w:tc>
              <w:tc>
                <w:tcPr>
                  <w:tcW w:w="1214" w:type="pct"/>
                  <w:tcBorders>
                    <w:tl2br w:val="nil"/>
                    <w:tr2bl w:val="nil"/>
                  </w:tcBorders>
                  <w:vAlign w:val="center"/>
                </w:tcPr>
                <w:p w14:paraId="6A920C7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K29+011</w:t>
                  </w:r>
                </w:p>
              </w:tc>
              <w:tc>
                <w:tcPr>
                  <w:tcW w:w="956" w:type="pct"/>
                  <w:tcBorders>
                    <w:tl2br w:val="nil"/>
                    <w:tr2bl w:val="nil"/>
                  </w:tcBorders>
                  <w:vAlign w:val="center"/>
                </w:tcPr>
                <w:p w14:paraId="295249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CC413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DB4CF9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3EEBBFE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9757F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483D22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65</w:t>
                  </w:r>
                </w:p>
              </w:tc>
              <w:tc>
                <w:tcPr>
                  <w:tcW w:w="1214" w:type="pct"/>
                  <w:tcBorders>
                    <w:tl2br w:val="nil"/>
                    <w:tr2bl w:val="nil"/>
                  </w:tcBorders>
                  <w:vAlign w:val="center"/>
                </w:tcPr>
                <w:p w14:paraId="1CB4B9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K29+275</w:t>
                  </w:r>
                </w:p>
              </w:tc>
              <w:tc>
                <w:tcPr>
                  <w:tcW w:w="956" w:type="pct"/>
                  <w:tcBorders>
                    <w:tl2br w:val="nil"/>
                    <w:tr2bl w:val="nil"/>
                  </w:tcBorders>
                  <w:vAlign w:val="center"/>
                </w:tcPr>
                <w:p w14:paraId="67BB85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A219E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9D6FA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471092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BFDF0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929658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66</w:t>
                  </w:r>
                </w:p>
              </w:tc>
              <w:tc>
                <w:tcPr>
                  <w:tcW w:w="1214" w:type="pct"/>
                  <w:tcBorders>
                    <w:tl2br w:val="nil"/>
                    <w:tr2bl w:val="nil"/>
                  </w:tcBorders>
                  <w:vAlign w:val="center"/>
                </w:tcPr>
                <w:p w14:paraId="58AFC07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K29+420</w:t>
                  </w:r>
                </w:p>
              </w:tc>
              <w:tc>
                <w:tcPr>
                  <w:tcW w:w="956" w:type="pct"/>
                  <w:tcBorders>
                    <w:tl2br w:val="nil"/>
                    <w:tr2bl w:val="nil"/>
                  </w:tcBorders>
                  <w:vAlign w:val="center"/>
                </w:tcPr>
                <w:p w14:paraId="1FB827B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724278E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4D4F28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5D39B59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F7D39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66A4252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67</w:t>
                  </w:r>
                </w:p>
              </w:tc>
              <w:tc>
                <w:tcPr>
                  <w:tcW w:w="1214" w:type="pct"/>
                  <w:tcBorders>
                    <w:tl2br w:val="nil"/>
                    <w:tr2bl w:val="nil"/>
                  </w:tcBorders>
                  <w:vAlign w:val="center"/>
                </w:tcPr>
                <w:p w14:paraId="600F36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K29+448</w:t>
                  </w:r>
                </w:p>
              </w:tc>
              <w:tc>
                <w:tcPr>
                  <w:tcW w:w="956" w:type="pct"/>
                  <w:tcBorders>
                    <w:tl2br w:val="nil"/>
                    <w:tr2bl w:val="nil"/>
                  </w:tcBorders>
                  <w:vAlign w:val="center"/>
                </w:tcPr>
                <w:p w14:paraId="67744C8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7884E7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4D993C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w:t>
                  </w:r>
                </w:p>
              </w:tc>
              <w:tc>
                <w:tcPr>
                  <w:tcW w:w="704" w:type="pct"/>
                  <w:tcBorders>
                    <w:tl2br w:val="nil"/>
                    <w:tr2bl w:val="nil"/>
                  </w:tcBorders>
                  <w:vAlign w:val="center"/>
                </w:tcPr>
                <w:p w14:paraId="2FA2749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1B41E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0F9C05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68</w:t>
                  </w:r>
                </w:p>
              </w:tc>
              <w:tc>
                <w:tcPr>
                  <w:tcW w:w="1214" w:type="pct"/>
                  <w:tcBorders>
                    <w:tl2br w:val="nil"/>
                    <w:tr2bl w:val="nil"/>
                  </w:tcBorders>
                  <w:vAlign w:val="center"/>
                </w:tcPr>
                <w:p w14:paraId="23FD3DF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K29+476</w:t>
                  </w:r>
                </w:p>
              </w:tc>
              <w:tc>
                <w:tcPr>
                  <w:tcW w:w="956" w:type="pct"/>
                  <w:tcBorders>
                    <w:tl2br w:val="nil"/>
                    <w:tr2bl w:val="nil"/>
                  </w:tcBorders>
                  <w:vAlign w:val="center"/>
                </w:tcPr>
                <w:p w14:paraId="5D6397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51B651B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216A8A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1E5626D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FC08F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59A652F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69</w:t>
                  </w:r>
                </w:p>
              </w:tc>
              <w:tc>
                <w:tcPr>
                  <w:tcW w:w="1214" w:type="pct"/>
                  <w:tcBorders>
                    <w:tl2br w:val="nil"/>
                    <w:tr2bl w:val="nil"/>
                  </w:tcBorders>
                  <w:vAlign w:val="center"/>
                </w:tcPr>
                <w:p w14:paraId="423912E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K29+625</w:t>
                  </w:r>
                </w:p>
              </w:tc>
              <w:tc>
                <w:tcPr>
                  <w:tcW w:w="956" w:type="pct"/>
                  <w:tcBorders>
                    <w:tl2br w:val="nil"/>
                    <w:tr2bl w:val="nil"/>
                  </w:tcBorders>
                  <w:vAlign w:val="center"/>
                </w:tcPr>
                <w:p w14:paraId="2A35FC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045CDA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BE49CE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3E99372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3919F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749151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70</w:t>
                  </w:r>
                </w:p>
              </w:tc>
              <w:tc>
                <w:tcPr>
                  <w:tcW w:w="1214" w:type="pct"/>
                  <w:tcBorders>
                    <w:tl2br w:val="nil"/>
                    <w:tr2bl w:val="nil"/>
                  </w:tcBorders>
                  <w:vAlign w:val="center"/>
                </w:tcPr>
                <w:p w14:paraId="485B3D7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K29+980</w:t>
                  </w:r>
                </w:p>
              </w:tc>
              <w:tc>
                <w:tcPr>
                  <w:tcW w:w="956" w:type="pct"/>
                  <w:tcBorders>
                    <w:tl2br w:val="nil"/>
                    <w:tr2bl w:val="nil"/>
                  </w:tcBorders>
                  <w:vAlign w:val="center"/>
                </w:tcPr>
                <w:p w14:paraId="44DDE68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A5BD17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030AF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4993309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4A1D2C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AF85F4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71</w:t>
                  </w:r>
                </w:p>
              </w:tc>
              <w:tc>
                <w:tcPr>
                  <w:tcW w:w="1214" w:type="pct"/>
                  <w:tcBorders>
                    <w:tl2br w:val="nil"/>
                    <w:tr2bl w:val="nil"/>
                  </w:tcBorders>
                  <w:vAlign w:val="center"/>
                </w:tcPr>
                <w:p w14:paraId="21C2577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K30+233</w:t>
                  </w:r>
                </w:p>
              </w:tc>
              <w:tc>
                <w:tcPr>
                  <w:tcW w:w="956" w:type="pct"/>
                  <w:tcBorders>
                    <w:tl2br w:val="nil"/>
                    <w:tr2bl w:val="nil"/>
                  </w:tcBorders>
                  <w:vAlign w:val="center"/>
                </w:tcPr>
                <w:p w14:paraId="11B25D9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155FE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24B7DB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02CCDD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2F335A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68FA14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72</w:t>
                  </w:r>
                </w:p>
              </w:tc>
              <w:tc>
                <w:tcPr>
                  <w:tcW w:w="1214" w:type="pct"/>
                  <w:tcBorders>
                    <w:tl2br w:val="nil"/>
                    <w:tr2bl w:val="nil"/>
                  </w:tcBorders>
                  <w:vAlign w:val="center"/>
                </w:tcPr>
                <w:p w14:paraId="4CB65AC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K30+498</w:t>
                  </w:r>
                </w:p>
              </w:tc>
              <w:tc>
                <w:tcPr>
                  <w:tcW w:w="956" w:type="pct"/>
                  <w:tcBorders>
                    <w:tl2br w:val="nil"/>
                    <w:tr2bl w:val="nil"/>
                  </w:tcBorders>
                  <w:vAlign w:val="center"/>
                </w:tcPr>
                <w:p w14:paraId="52C4223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2B31F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1680F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61012E1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875275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57E4378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73</w:t>
                  </w:r>
                </w:p>
              </w:tc>
              <w:tc>
                <w:tcPr>
                  <w:tcW w:w="1214" w:type="pct"/>
                  <w:tcBorders>
                    <w:tl2br w:val="nil"/>
                    <w:tr2bl w:val="nil"/>
                  </w:tcBorders>
                  <w:vAlign w:val="center"/>
                </w:tcPr>
                <w:p w14:paraId="25A2D6D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K30+664</w:t>
                  </w:r>
                </w:p>
              </w:tc>
              <w:tc>
                <w:tcPr>
                  <w:tcW w:w="956" w:type="pct"/>
                  <w:tcBorders>
                    <w:tl2br w:val="nil"/>
                    <w:tr2bl w:val="nil"/>
                  </w:tcBorders>
                  <w:vAlign w:val="center"/>
                </w:tcPr>
                <w:p w14:paraId="3F6934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975768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7469BA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0FC7640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C1F36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2FBB73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74</w:t>
                  </w:r>
                </w:p>
              </w:tc>
              <w:tc>
                <w:tcPr>
                  <w:tcW w:w="1214" w:type="pct"/>
                  <w:tcBorders>
                    <w:tl2br w:val="nil"/>
                    <w:tr2bl w:val="nil"/>
                  </w:tcBorders>
                  <w:vAlign w:val="center"/>
                </w:tcPr>
                <w:p w14:paraId="108E16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K30+797</w:t>
                  </w:r>
                </w:p>
              </w:tc>
              <w:tc>
                <w:tcPr>
                  <w:tcW w:w="956" w:type="pct"/>
                  <w:tcBorders>
                    <w:tl2br w:val="nil"/>
                    <w:tr2bl w:val="nil"/>
                  </w:tcBorders>
                  <w:vAlign w:val="center"/>
                </w:tcPr>
                <w:p w14:paraId="6349417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FD4278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72EA82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4BE495F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DD236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1EB960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75</w:t>
                  </w:r>
                </w:p>
              </w:tc>
              <w:tc>
                <w:tcPr>
                  <w:tcW w:w="1214" w:type="pct"/>
                  <w:tcBorders>
                    <w:tl2br w:val="nil"/>
                    <w:tr2bl w:val="nil"/>
                  </w:tcBorders>
                  <w:vAlign w:val="center"/>
                </w:tcPr>
                <w:p w14:paraId="639F09A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K30+947</w:t>
                  </w:r>
                </w:p>
              </w:tc>
              <w:tc>
                <w:tcPr>
                  <w:tcW w:w="956" w:type="pct"/>
                  <w:tcBorders>
                    <w:tl2br w:val="nil"/>
                    <w:tr2bl w:val="nil"/>
                  </w:tcBorders>
                  <w:vAlign w:val="center"/>
                </w:tcPr>
                <w:p w14:paraId="13BBA33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4A6E89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72C56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5F6DC4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93AD2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804F17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76</w:t>
                  </w:r>
                </w:p>
              </w:tc>
              <w:tc>
                <w:tcPr>
                  <w:tcW w:w="1214" w:type="pct"/>
                  <w:tcBorders>
                    <w:tl2br w:val="nil"/>
                    <w:tr2bl w:val="nil"/>
                  </w:tcBorders>
                  <w:vAlign w:val="center"/>
                </w:tcPr>
                <w:p w14:paraId="2C0E603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K31+212</w:t>
                  </w:r>
                </w:p>
              </w:tc>
              <w:tc>
                <w:tcPr>
                  <w:tcW w:w="956" w:type="pct"/>
                  <w:tcBorders>
                    <w:tl2br w:val="nil"/>
                    <w:tr2bl w:val="nil"/>
                  </w:tcBorders>
                  <w:vAlign w:val="center"/>
                </w:tcPr>
                <w:p w14:paraId="2417F6E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585DC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398454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206E18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76A573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15BD26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77</w:t>
                  </w:r>
                </w:p>
              </w:tc>
              <w:tc>
                <w:tcPr>
                  <w:tcW w:w="1214" w:type="pct"/>
                  <w:tcBorders>
                    <w:tl2br w:val="nil"/>
                    <w:tr2bl w:val="nil"/>
                  </w:tcBorders>
                  <w:vAlign w:val="center"/>
                </w:tcPr>
                <w:p w14:paraId="02C8DF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K31+318</w:t>
                  </w:r>
                </w:p>
              </w:tc>
              <w:tc>
                <w:tcPr>
                  <w:tcW w:w="956" w:type="pct"/>
                  <w:tcBorders>
                    <w:tl2br w:val="nil"/>
                    <w:tr2bl w:val="nil"/>
                  </w:tcBorders>
                  <w:vAlign w:val="center"/>
                </w:tcPr>
                <w:p w14:paraId="31B835E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0C26C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56566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6/4</w:t>
                  </w:r>
                </w:p>
              </w:tc>
              <w:tc>
                <w:tcPr>
                  <w:tcW w:w="704" w:type="pct"/>
                  <w:tcBorders>
                    <w:tl2br w:val="nil"/>
                    <w:tr2bl w:val="nil"/>
                  </w:tcBorders>
                  <w:vAlign w:val="center"/>
                </w:tcPr>
                <w:p w14:paraId="3806132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55898D1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02BA88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78</w:t>
                  </w:r>
                </w:p>
              </w:tc>
              <w:tc>
                <w:tcPr>
                  <w:tcW w:w="1214" w:type="pct"/>
                  <w:tcBorders>
                    <w:tl2br w:val="nil"/>
                    <w:tr2bl w:val="nil"/>
                  </w:tcBorders>
                  <w:vAlign w:val="center"/>
                </w:tcPr>
                <w:p w14:paraId="740029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K32+031</w:t>
                  </w:r>
                </w:p>
              </w:tc>
              <w:tc>
                <w:tcPr>
                  <w:tcW w:w="956" w:type="pct"/>
                  <w:tcBorders>
                    <w:tl2br w:val="nil"/>
                    <w:tr2bl w:val="nil"/>
                  </w:tcBorders>
                  <w:vAlign w:val="center"/>
                </w:tcPr>
                <w:p w14:paraId="2531465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8FFCEF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9F2C3C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11E155F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65825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18479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79</w:t>
                  </w:r>
                </w:p>
              </w:tc>
              <w:tc>
                <w:tcPr>
                  <w:tcW w:w="1214" w:type="pct"/>
                  <w:tcBorders>
                    <w:tl2br w:val="nil"/>
                    <w:tr2bl w:val="nil"/>
                  </w:tcBorders>
                  <w:vAlign w:val="center"/>
                </w:tcPr>
                <w:p w14:paraId="0BE6E2E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K32+200</w:t>
                  </w:r>
                </w:p>
              </w:tc>
              <w:tc>
                <w:tcPr>
                  <w:tcW w:w="956" w:type="pct"/>
                  <w:tcBorders>
                    <w:tl2br w:val="nil"/>
                    <w:tr2bl w:val="nil"/>
                  </w:tcBorders>
                  <w:vAlign w:val="center"/>
                </w:tcPr>
                <w:p w14:paraId="31AC620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4BE50AF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1C6BFCA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w:t>
                  </w:r>
                </w:p>
              </w:tc>
              <w:tc>
                <w:tcPr>
                  <w:tcW w:w="704" w:type="pct"/>
                  <w:tcBorders>
                    <w:tl2br w:val="nil"/>
                    <w:tr2bl w:val="nil"/>
                  </w:tcBorders>
                  <w:vAlign w:val="center"/>
                </w:tcPr>
                <w:p w14:paraId="2E8CF7D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C86A7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437C092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80</w:t>
                  </w:r>
                </w:p>
              </w:tc>
              <w:tc>
                <w:tcPr>
                  <w:tcW w:w="1214" w:type="pct"/>
                  <w:tcBorders>
                    <w:tl2br w:val="nil"/>
                    <w:tr2bl w:val="nil"/>
                  </w:tcBorders>
                  <w:vAlign w:val="center"/>
                </w:tcPr>
                <w:p w14:paraId="405F333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K32+545</w:t>
                  </w:r>
                </w:p>
              </w:tc>
              <w:tc>
                <w:tcPr>
                  <w:tcW w:w="956" w:type="pct"/>
                  <w:tcBorders>
                    <w:tl2br w:val="nil"/>
                    <w:tr2bl w:val="nil"/>
                  </w:tcBorders>
                  <w:vAlign w:val="center"/>
                </w:tcPr>
                <w:p w14:paraId="631751B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802BC6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31425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1665D5E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B16A7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998111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81</w:t>
                  </w:r>
                </w:p>
              </w:tc>
              <w:tc>
                <w:tcPr>
                  <w:tcW w:w="1214" w:type="pct"/>
                  <w:tcBorders>
                    <w:tl2br w:val="nil"/>
                    <w:tr2bl w:val="nil"/>
                  </w:tcBorders>
                  <w:vAlign w:val="center"/>
                </w:tcPr>
                <w:p w14:paraId="12CC98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K32+688</w:t>
                  </w:r>
                </w:p>
              </w:tc>
              <w:tc>
                <w:tcPr>
                  <w:tcW w:w="956" w:type="pct"/>
                  <w:tcBorders>
                    <w:tl2br w:val="nil"/>
                    <w:tr2bl w:val="nil"/>
                  </w:tcBorders>
                  <w:vAlign w:val="center"/>
                </w:tcPr>
                <w:p w14:paraId="50C73CB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3EE340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7D6D83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4133DC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31716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CB304D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82</w:t>
                  </w:r>
                </w:p>
              </w:tc>
              <w:tc>
                <w:tcPr>
                  <w:tcW w:w="1214" w:type="pct"/>
                  <w:tcBorders>
                    <w:tl2br w:val="nil"/>
                    <w:tr2bl w:val="nil"/>
                  </w:tcBorders>
                  <w:vAlign w:val="center"/>
                </w:tcPr>
                <w:p w14:paraId="30CBA6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K33+133</w:t>
                  </w:r>
                </w:p>
              </w:tc>
              <w:tc>
                <w:tcPr>
                  <w:tcW w:w="956" w:type="pct"/>
                  <w:tcBorders>
                    <w:tl2br w:val="nil"/>
                    <w:tr2bl w:val="nil"/>
                  </w:tcBorders>
                  <w:vAlign w:val="center"/>
                </w:tcPr>
                <w:p w14:paraId="0825629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5787F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4F6A98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5DFAC1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32225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BAB30D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83</w:t>
                  </w:r>
                </w:p>
              </w:tc>
              <w:tc>
                <w:tcPr>
                  <w:tcW w:w="1214" w:type="pct"/>
                  <w:tcBorders>
                    <w:tl2br w:val="nil"/>
                    <w:tr2bl w:val="nil"/>
                  </w:tcBorders>
                  <w:vAlign w:val="center"/>
                </w:tcPr>
                <w:p w14:paraId="4A9FC64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K33+194</w:t>
                  </w:r>
                </w:p>
              </w:tc>
              <w:tc>
                <w:tcPr>
                  <w:tcW w:w="956" w:type="pct"/>
                  <w:tcBorders>
                    <w:tl2br w:val="nil"/>
                    <w:tr2bl w:val="nil"/>
                  </w:tcBorders>
                  <w:vAlign w:val="center"/>
                </w:tcPr>
                <w:p w14:paraId="1E0F7FB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C04EB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A4338C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32A1B75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A71A8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DA77FD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84</w:t>
                  </w:r>
                </w:p>
              </w:tc>
              <w:tc>
                <w:tcPr>
                  <w:tcW w:w="1214" w:type="pct"/>
                  <w:tcBorders>
                    <w:tl2br w:val="nil"/>
                    <w:tr2bl w:val="nil"/>
                  </w:tcBorders>
                  <w:vAlign w:val="center"/>
                </w:tcPr>
                <w:p w14:paraId="66C7CD7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K33+375</w:t>
                  </w:r>
                </w:p>
              </w:tc>
              <w:tc>
                <w:tcPr>
                  <w:tcW w:w="956" w:type="pct"/>
                  <w:tcBorders>
                    <w:tl2br w:val="nil"/>
                    <w:tr2bl w:val="nil"/>
                  </w:tcBorders>
                  <w:vAlign w:val="center"/>
                </w:tcPr>
                <w:p w14:paraId="667C545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4ED534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3B8E31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1B913E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2B0ED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CB03C6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85</w:t>
                  </w:r>
                </w:p>
              </w:tc>
              <w:tc>
                <w:tcPr>
                  <w:tcW w:w="1214" w:type="pct"/>
                  <w:tcBorders>
                    <w:tl2br w:val="nil"/>
                    <w:tr2bl w:val="nil"/>
                  </w:tcBorders>
                  <w:vAlign w:val="center"/>
                </w:tcPr>
                <w:p w14:paraId="289C1D8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K33+445</w:t>
                  </w:r>
                </w:p>
              </w:tc>
              <w:tc>
                <w:tcPr>
                  <w:tcW w:w="956" w:type="pct"/>
                  <w:tcBorders>
                    <w:tl2br w:val="nil"/>
                    <w:tr2bl w:val="nil"/>
                  </w:tcBorders>
                  <w:vAlign w:val="center"/>
                </w:tcPr>
                <w:p w14:paraId="5EDA7B6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F53C67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852685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7EE210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193B28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71BA38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86</w:t>
                  </w:r>
                </w:p>
              </w:tc>
              <w:tc>
                <w:tcPr>
                  <w:tcW w:w="1214" w:type="pct"/>
                  <w:tcBorders>
                    <w:tl2br w:val="nil"/>
                    <w:tr2bl w:val="nil"/>
                  </w:tcBorders>
                  <w:vAlign w:val="center"/>
                </w:tcPr>
                <w:p w14:paraId="374E942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K33+567</w:t>
                  </w:r>
                </w:p>
              </w:tc>
              <w:tc>
                <w:tcPr>
                  <w:tcW w:w="956" w:type="pct"/>
                  <w:tcBorders>
                    <w:tl2br w:val="nil"/>
                    <w:tr2bl w:val="nil"/>
                  </w:tcBorders>
                  <w:vAlign w:val="center"/>
                </w:tcPr>
                <w:p w14:paraId="42CD151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574F40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29C269A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517C522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C2293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9D2C8D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87</w:t>
                  </w:r>
                </w:p>
              </w:tc>
              <w:tc>
                <w:tcPr>
                  <w:tcW w:w="1214" w:type="pct"/>
                  <w:tcBorders>
                    <w:tl2br w:val="nil"/>
                    <w:tr2bl w:val="nil"/>
                  </w:tcBorders>
                  <w:vAlign w:val="center"/>
                </w:tcPr>
                <w:p w14:paraId="4601212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K33+792</w:t>
                  </w:r>
                </w:p>
              </w:tc>
              <w:tc>
                <w:tcPr>
                  <w:tcW w:w="956" w:type="pct"/>
                  <w:tcBorders>
                    <w:tl2br w:val="nil"/>
                    <w:tr2bl w:val="nil"/>
                  </w:tcBorders>
                  <w:vAlign w:val="center"/>
                </w:tcPr>
                <w:p w14:paraId="3E433FD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05AA4F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E4A826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150D560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369AA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48CEE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88</w:t>
                  </w:r>
                </w:p>
              </w:tc>
              <w:tc>
                <w:tcPr>
                  <w:tcW w:w="1214" w:type="pct"/>
                  <w:tcBorders>
                    <w:tl2br w:val="nil"/>
                    <w:tr2bl w:val="nil"/>
                  </w:tcBorders>
                  <w:vAlign w:val="center"/>
                </w:tcPr>
                <w:p w14:paraId="054E24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K33+989</w:t>
                  </w:r>
                </w:p>
              </w:tc>
              <w:tc>
                <w:tcPr>
                  <w:tcW w:w="956" w:type="pct"/>
                  <w:tcBorders>
                    <w:tl2br w:val="nil"/>
                    <w:tr2bl w:val="nil"/>
                  </w:tcBorders>
                  <w:vAlign w:val="center"/>
                </w:tcPr>
                <w:p w14:paraId="0628B16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814B5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5C239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355B3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87013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B1E616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89</w:t>
                  </w:r>
                </w:p>
              </w:tc>
              <w:tc>
                <w:tcPr>
                  <w:tcW w:w="1214" w:type="pct"/>
                  <w:tcBorders>
                    <w:tl2br w:val="nil"/>
                    <w:tr2bl w:val="nil"/>
                  </w:tcBorders>
                  <w:vAlign w:val="center"/>
                </w:tcPr>
                <w:p w14:paraId="72C0BD5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K34+993</w:t>
                  </w:r>
                </w:p>
              </w:tc>
              <w:tc>
                <w:tcPr>
                  <w:tcW w:w="956" w:type="pct"/>
                  <w:tcBorders>
                    <w:tl2br w:val="nil"/>
                    <w:tr2bl w:val="nil"/>
                  </w:tcBorders>
                  <w:vAlign w:val="center"/>
                </w:tcPr>
                <w:p w14:paraId="0F73BA0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157077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AEDE77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255931E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78CE47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3D487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1214" w:type="pct"/>
                  <w:tcBorders>
                    <w:tl2br w:val="nil"/>
                    <w:tr2bl w:val="nil"/>
                  </w:tcBorders>
                  <w:vAlign w:val="center"/>
                </w:tcPr>
                <w:p w14:paraId="598300A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K35+534</w:t>
                  </w:r>
                </w:p>
              </w:tc>
              <w:tc>
                <w:tcPr>
                  <w:tcW w:w="956" w:type="pct"/>
                  <w:tcBorders>
                    <w:tl2br w:val="nil"/>
                    <w:tr2bl w:val="nil"/>
                  </w:tcBorders>
                  <w:vAlign w:val="center"/>
                </w:tcPr>
                <w:p w14:paraId="5B20F2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0EBC343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0EAA2FE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w:t>
                  </w:r>
                </w:p>
              </w:tc>
              <w:tc>
                <w:tcPr>
                  <w:tcW w:w="704" w:type="pct"/>
                  <w:tcBorders>
                    <w:tl2br w:val="nil"/>
                    <w:tr2bl w:val="nil"/>
                  </w:tcBorders>
                  <w:vAlign w:val="center"/>
                </w:tcPr>
                <w:p w14:paraId="2E8CB40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8D1D9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0D1DB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91</w:t>
                  </w:r>
                </w:p>
              </w:tc>
              <w:tc>
                <w:tcPr>
                  <w:tcW w:w="1214" w:type="pct"/>
                  <w:tcBorders>
                    <w:tl2br w:val="nil"/>
                    <w:tr2bl w:val="nil"/>
                  </w:tcBorders>
                  <w:vAlign w:val="center"/>
                </w:tcPr>
                <w:p w14:paraId="6EC6A2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K35+920</w:t>
                  </w:r>
                </w:p>
              </w:tc>
              <w:tc>
                <w:tcPr>
                  <w:tcW w:w="956" w:type="pct"/>
                  <w:tcBorders>
                    <w:tl2br w:val="nil"/>
                    <w:tr2bl w:val="nil"/>
                  </w:tcBorders>
                  <w:vAlign w:val="center"/>
                </w:tcPr>
                <w:p w14:paraId="7F46E5F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ADCB6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723F77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474602F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A11BE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4DE62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92</w:t>
                  </w:r>
                </w:p>
              </w:tc>
              <w:tc>
                <w:tcPr>
                  <w:tcW w:w="1214" w:type="pct"/>
                  <w:tcBorders>
                    <w:tl2br w:val="nil"/>
                    <w:tr2bl w:val="nil"/>
                  </w:tcBorders>
                  <w:vAlign w:val="center"/>
                </w:tcPr>
                <w:p w14:paraId="0ED16AC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K36+396</w:t>
                  </w:r>
                </w:p>
              </w:tc>
              <w:tc>
                <w:tcPr>
                  <w:tcW w:w="956" w:type="pct"/>
                  <w:tcBorders>
                    <w:tl2br w:val="nil"/>
                    <w:tr2bl w:val="nil"/>
                  </w:tcBorders>
                  <w:vAlign w:val="center"/>
                </w:tcPr>
                <w:p w14:paraId="302232B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4D8F7F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633941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1A95806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AB7A3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0FD8AD9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93</w:t>
                  </w:r>
                </w:p>
              </w:tc>
              <w:tc>
                <w:tcPr>
                  <w:tcW w:w="1214" w:type="pct"/>
                  <w:tcBorders>
                    <w:tl2br w:val="nil"/>
                    <w:tr2bl w:val="nil"/>
                  </w:tcBorders>
                  <w:vAlign w:val="center"/>
                </w:tcPr>
                <w:p w14:paraId="22B4246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K36+906</w:t>
                  </w:r>
                </w:p>
              </w:tc>
              <w:tc>
                <w:tcPr>
                  <w:tcW w:w="956" w:type="pct"/>
                  <w:tcBorders>
                    <w:tl2br w:val="nil"/>
                    <w:tr2bl w:val="nil"/>
                  </w:tcBorders>
                  <w:vAlign w:val="center"/>
                </w:tcPr>
                <w:p w14:paraId="1E62333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09FD05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22668A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339103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7A7CB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A808E3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94</w:t>
                  </w:r>
                </w:p>
              </w:tc>
              <w:tc>
                <w:tcPr>
                  <w:tcW w:w="1214" w:type="pct"/>
                  <w:tcBorders>
                    <w:tl2br w:val="nil"/>
                    <w:tr2bl w:val="nil"/>
                  </w:tcBorders>
                  <w:vAlign w:val="center"/>
                </w:tcPr>
                <w:p w14:paraId="620925A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K37+047</w:t>
                  </w:r>
                </w:p>
              </w:tc>
              <w:tc>
                <w:tcPr>
                  <w:tcW w:w="956" w:type="pct"/>
                  <w:tcBorders>
                    <w:tl2br w:val="nil"/>
                    <w:tr2bl w:val="nil"/>
                  </w:tcBorders>
                  <w:vAlign w:val="center"/>
                </w:tcPr>
                <w:p w14:paraId="26DF373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32F64A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18527C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488E56F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C8D35C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ED6522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95</w:t>
                  </w:r>
                </w:p>
              </w:tc>
              <w:tc>
                <w:tcPr>
                  <w:tcW w:w="1214" w:type="pct"/>
                  <w:tcBorders>
                    <w:tl2br w:val="nil"/>
                    <w:tr2bl w:val="nil"/>
                  </w:tcBorders>
                  <w:vAlign w:val="center"/>
                </w:tcPr>
                <w:p w14:paraId="345BEE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K37+493</w:t>
                  </w:r>
                </w:p>
              </w:tc>
              <w:tc>
                <w:tcPr>
                  <w:tcW w:w="956" w:type="pct"/>
                  <w:tcBorders>
                    <w:tl2br w:val="nil"/>
                    <w:tr2bl w:val="nil"/>
                  </w:tcBorders>
                  <w:vAlign w:val="center"/>
                </w:tcPr>
                <w:p w14:paraId="2599A60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A25271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8CAD94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794B44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5246FB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00FEEE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96</w:t>
                  </w:r>
                </w:p>
              </w:tc>
              <w:tc>
                <w:tcPr>
                  <w:tcW w:w="1214" w:type="pct"/>
                  <w:tcBorders>
                    <w:tl2br w:val="nil"/>
                    <w:tr2bl w:val="nil"/>
                  </w:tcBorders>
                  <w:vAlign w:val="center"/>
                </w:tcPr>
                <w:p w14:paraId="1785F15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K37+735</w:t>
                  </w:r>
                </w:p>
              </w:tc>
              <w:tc>
                <w:tcPr>
                  <w:tcW w:w="956" w:type="pct"/>
                  <w:tcBorders>
                    <w:tl2br w:val="nil"/>
                    <w:tr2bl w:val="nil"/>
                  </w:tcBorders>
                  <w:vAlign w:val="center"/>
                </w:tcPr>
                <w:p w14:paraId="35B0824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58A275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C72E81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64A865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953C2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433B3D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97</w:t>
                  </w:r>
                </w:p>
              </w:tc>
              <w:tc>
                <w:tcPr>
                  <w:tcW w:w="1214" w:type="pct"/>
                  <w:tcBorders>
                    <w:tl2br w:val="nil"/>
                    <w:tr2bl w:val="nil"/>
                  </w:tcBorders>
                  <w:vAlign w:val="center"/>
                </w:tcPr>
                <w:p w14:paraId="19F82F4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K37+907</w:t>
                  </w:r>
                </w:p>
              </w:tc>
              <w:tc>
                <w:tcPr>
                  <w:tcW w:w="956" w:type="pct"/>
                  <w:tcBorders>
                    <w:tl2br w:val="nil"/>
                    <w:tr2bl w:val="nil"/>
                  </w:tcBorders>
                  <w:vAlign w:val="center"/>
                </w:tcPr>
                <w:p w14:paraId="792A75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B0654F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8DE66D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281F72A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F68EF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70E66D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98</w:t>
                  </w:r>
                </w:p>
              </w:tc>
              <w:tc>
                <w:tcPr>
                  <w:tcW w:w="1214" w:type="pct"/>
                  <w:tcBorders>
                    <w:tl2br w:val="nil"/>
                    <w:tr2bl w:val="nil"/>
                  </w:tcBorders>
                  <w:vAlign w:val="center"/>
                </w:tcPr>
                <w:p w14:paraId="4B24AC2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K38+288</w:t>
                  </w:r>
                </w:p>
              </w:tc>
              <w:tc>
                <w:tcPr>
                  <w:tcW w:w="956" w:type="pct"/>
                  <w:tcBorders>
                    <w:tl2br w:val="nil"/>
                    <w:tr2bl w:val="nil"/>
                  </w:tcBorders>
                  <w:vAlign w:val="center"/>
                </w:tcPr>
                <w:p w14:paraId="030C88F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A431B1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8CD1D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6DA8A7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D364C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EFA7A3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99</w:t>
                  </w:r>
                </w:p>
              </w:tc>
              <w:tc>
                <w:tcPr>
                  <w:tcW w:w="1214" w:type="pct"/>
                  <w:tcBorders>
                    <w:tl2br w:val="nil"/>
                    <w:tr2bl w:val="nil"/>
                  </w:tcBorders>
                  <w:vAlign w:val="center"/>
                </w:tcPr>
                <w:p w14:paraId="7E17D08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K38+339</w:t>
                  </w:r>
                </w:p>
              </w:tc>
              <w:tc>
                <w:tcPr>
                  <w:tcW w:w="956" w:type="pct"/>
                  <w:tcBorders>
                    <w:tl2br w:val="nil"/>
                    <w:tr2bl w:val="nil"/>
                  </w:tcBorders>
                  <w:vAlign w:val="center"/>
                </w:tcPr>
                <w:p w14:paraId="20177AB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EB027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68F5E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w:t>
                  </w:r>
                </w:p>
              </w:tc>
              <w:tc>
                <w:tcPr>
                  <w:tcW w:w="704" w:type="pct"/>
                  <w:tcBorders>
                    <w:tl2br w:val="nil"/>
                    <w:tr2bl w:val="nil"/>
                  </w:tcBorders>
                  <w:vAlign w:val="center"/>
                </w:tcPr>
                <w:p w14:paraId="11D7120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356FA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204FF98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100</w:t>
                  </w:r>
                </w:p>
              </w:tc>
              <w:tc>
                <w:tcPr>
                  <w:tcW w:w="1214" w:type="pct"/>
                  <w:tcBorders>
                    <w:tl2br w:val="nil"/>
                    <w:tr2bl w:val="nil"/>
                  </w:tcBorders>
                  <w:vAlign w:val="center"/>
                </w:tcPr>
                <w:p w14:paraId="3DFBD8F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K39+065</w:t>
                  </w:r>
                </w:p>
              </w:tc>
              <w:tc>
                <w:tcPr>
                  <w:tcW w:w="956" w:type="pct"/>
                  <w:tcBorders>
                    <w:tl2br w:val="nil"/>
                    <w:tr2bl w:val="nil"/>
                  </w:tcBorders>
                  <w:vAlign w:val="center"/>
                </w:tcPr>
                <w:p w14:paraId="64C8614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0B87DC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F4069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1BE2E3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0887D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F997A6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101</w:t>
                  </w:r>
                </w:p>
              </w:tc>
              <w:tc>
                <w:tcPr>
                  <w:tcW w:w="1214" w:type="pct"/>
                  <w:tcBorders>
                    <w:tl2br w:val="nil"/>
                    <w:tr2bl w:val="nil"/>
                  </w:tcBorders>
                  <w:vAlign w:val="center"/>
                </w:tcPr>
                <w:p w14:paraId="7FA8288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K40+041</w:t>
                  </w:r>
                </w:p>
              </w:tc>
              <w:tc>
                <w:tcPr>
                  <w:tcW w:w="956" w:type="pct"/>
                  <w:tcBorders>
                    <w:tl2br w:val="nil"/>
                    <w:tr2bl w:val="nil"/>
                  </w:tcBorders>
                  <w:vAlign w:val="center"/>
                </w:tcPr>
                <w:p w14:paraId="0DDE91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05BF0D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D0BB3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6/4</w:t>
                  </w:r>
                </w:p>
              </w:tc>
              <w:tc>
                <w:tcPr>
                  <w:tcW w:w="704" w:type="pct"/>
                  <w:tcBorders>
                    <w:tl2br w:val="nil"/>
                    <w:tr2bl w:val="nil"/>
                  </w:tcBorders>
                  <w:vAlign w:val="center"/>
                </w:tcPr>
                <w:p w14:paraId="128D9FA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6C68FE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4C16E5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102</w:t>
                  </w:r>
                </w:p>
              </w:tc>
              <w:tc>
                <w:tcPr>
                  <w:tcW w:w="1214" w:type="pct"/>
                  <w:tcBorders>
                    <w:tl2br w:val="nil"/>
                    <w:tr2bl w:val="nil"/>
                  </w:tcBorders>
                  <w:vAlign w:val="center"/>
                </w:tcPr>
                <w:p w14:paraId="508C2CF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K40+734</w:t>
                  </w:r>
                </w:p>
              </w:tc>
              <w:tc>
                <w:tcPr>
                  <w:tcW w:w="956" w:type="pct"/>
                  <w:tcBorders>
                    <w:tl2br w:val="nil"/>
                    <w:tr2bl w:val="nil"/>
                  </w:tcBorders>
                  <w:vAlign w:val="center"/>
                </w:tcPr>
                <w:p w14:paraId="69E41B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815A0F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5CDA53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127879C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F88241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736E78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103</w:t>
                  </w:r>
                </w:p>
              </w:tc>
              <w:tc>
                <w:tcPr>
                  <w:tcW w:w="1214" w:type="pct"/>
                  <w:tcBorders>
                    <w:tl2br w:val="nil"/>
                    <w:tr2bl w:val="nil"/>
                  </w:tcBorders>
                  <w:vAlign w:val="center"/>
                </w:tcPr>
                <w:p w14:paraId="635734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K40+835</w:t>
                  </w:r>
                </w:p>
              </w:tc>
              <w:tc>
                <w:tcPr>
                  <w:tcW w:w="956" w:type="pct"/>
                  <w:tcBorders>
                    <w:tl2br w:val="nil"/>
                    <w:tr2bl w:val="nil"/>
                  </w:tcBorders>
                  <w:vAlign w:val="center"/>
                </w:tcPr>
                <w:p w14:paraId="0F2D519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52048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5DEDA0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312B25D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CE330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3239AB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104</w:t>
                  </w:r>
                </w:p>
              </w:tc>
              <w:tc>
                <w:tcPr>
                  <w:tcW w:w="1214" w:type="pct"/>
                  <w:tcBorders>
                    <w:tl2br w:val="nil"/>
                    <w:tr2bl w:val="nil"/>
                  </w:tcBorders>
                  <w:vAlign w:val="center"/>
                </w:tcPr>
                <w:p w14:paraId="7AA112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K41+045</w:t>
                  </w:r>
                </w:p>
              </w:tc>
              <w:tc>
                <w:tcPr>
                  <w:tcW w:w="956" w:type="pct"/>
                  <w:tcBorders>
                    <w:tl2br w:val="nil"/>
                    <w:tr2bl w:val="nil"/>
                  </w:tcBorders>
                  <w:vAlign w:val="center"/>
                </w:tcPr>
                <w:p w14:paraId="7103DDA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ECE63C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92F20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w:t>
                  </w:r>
                </w:p>
              </w:tc>
              <w:tc>
                <w:tcPr>
                  <w:tcW w:w="704" w:type="pct"/>
                  <w:tcBorders>
                    <w:tl2br w:val="nil"/>
                    <w:tr2bl w:val="nil"/>
                  </w:tcBorders>
                  <w:vAlign w:val="center"/>
                </w:tcPr>
                <w:p w14:paraId="459ACE0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AD82A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1D24FA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105</w:t>
                  </w:r>
                </w:p>
              </w:tc>
              <w:tc>
                <w:tcPr>
                  <w:tcW w:w="1214" w:type="pct"/>
                  <w:tcBorders>
                    <w:tl2br w:val="nil"/>
                    <w:tr2bl w:val="nil"/>
                  </w:tcBorders>
                  <w:vAlign w:val="center"/>
                </w:tcPr>
                <w:p w14:paraId="5BF3182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K41+374</w:t>
                  </w:r>
                </w:p>
              </w:tc>
              <w:tc>
                <w:tcPr>
                  <w:tcW w:w="956" w:type="pct"/>
                  <w:tcBorders>
                    <w:tl2br w:val="nil"/>
                    <w:tr2bl w:val="nil"/>
                  </w:tcBorders>
                  <w:vAlign w:val="center"/>
                </w:tcPr>
                <w:p w14:paraId="02B870E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58133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E2AAC6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w:t>
                  </w:r>
                </w:p>
              </w:tc>
              <w:tc>
                <w:tcPr>
                  <w:tcW w:w="704" w:type="pct"/>
                  <w:tcBorders>
                    <w:tl2br w:val="nil"/>
                    <w:tr2bl w:val="nil"/>
                  </w:tcBorders>
                  <w:vAlign w:val="center"/>
                </w:tcPr>
                <w:p w14:paraId="0FC7259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68845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1C7C0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106</w:t>
                  </w:r>
                </w:p>
              </w:tc>
              <w:tc>
                <w:tcPr>
                  <w:tcW w:w="1214" w:type="pct"/>
                  <w:tcBorders>
                    <w:tl2br w:val="nil"/>
                    <w:tr2bl w:val="nil"/>
                  </w:tcBorders>
                  <w:vAlign w:val="center"/>
                </w:tcPr>
                <w:p w14:paraId="47B4267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K41+509</w:t>
                  </w:r>
                </w:p>
              </w:tc>
              <w:tc>
                <w:tcPr>
                  <w:tcW w:w="956" w:type="pct"/>
                  <w:tcBorders>
                    <w:tl2br w:val="nil"/>
                    <w:tr2bl w:val="nil"/>
                  </w:tcBorders>
                  <w:vAlign w:val="center"/>
                </w:tcPr>
                <w:p w14:paraId="2E9373B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51DF7C6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0516E2D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w:t>
                  </w:r>
                </w:p>
              </w:tc>
              <w:tc>
                <w:tcPr>
                  <w:tcW w:w="704" w:type="pct"/>
                  <w:tcBorders>
                    <w:tl2br w:val="nil"/>
                    <w:tr2bl w:val="nil"/>
                  </w:tcBorders>
                  <w:vAlign w:val="center"/>
                </w:tcPr>
                <w:p w14:paraId="5AA49E3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F0A72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5ACB7F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107</w:t>
                  </w:r>
                </w:p>
              </w:tc>
              <w:tc>
                <w:tcPr>
                  <w:tcW w:w="1214" w:type="pct"/>
                  <w:tcBorders>
                    <w:tl2br w:val="nil"/>
                    <w:tr2bl w:val="nil"/>
                  </w:tcBorders>
                  <w:vAlign w:val="center"/>
                </w:tcPr>
                <w:p w14:paraId="041EDB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K41+576</w:t>
                  </w:r>
                </w:p>
              </w:tc>
              <w:tc>
                <w:tcPr>
                  <w:tcW w:w="956" w:type="pct"/>
                  <w:tcBorders>
                    <w:tl2br w:val="nil"/>
                    <w:tr2bl w:val="nil"/>
                  </w:tcBorders>
                  <w:vAlign w:val="center"/>
                </w:tcPr>
                <w:p w14:paraId="241DDC5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1017F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0A15C0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5462ECD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67B08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572FB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108</w:t>
                  </w:r>
                </w:p>
              </w:tc>
              <w:tc>
                <w:tcPr>
                  <w:tcW w:w="1214" w:type="pct"/>
                  <w:tcBorders>
                    <w:tl2br w:val="nil"/>
                    <w:tr2bl w:val="nil"/>
                  </w:tcBorders>
                  <w:vAlign w:val="center"/>
                </w:tcPr>
                <w:p w14:paraId="41B78A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K41+803</w:t>
                  </w:r>
                </w:p>
              </w:tc>
              <w:tc>
                <w:tcPr>
                  <w:tcW w:w="956" w:type="pct"/>
                  <w:tcBorders>
                    <w:tl2br w:val="nil"/>
                    <w:tr2bl w:val="nil"/>
                  </w:tcBorders>
                  <w:vAlign w:val="center"/>
                </w:tcPr>
                <w:p w14:paraId="411708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590D002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836B7C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0367577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5AE542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C68AF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109</w:t>
                  </w:r>
                </w:p>
              </w:tc>
              <w:tc>
                <w:tcPr>
                  <w:tcW w:w="1214" w:type="pct"/>
                  <w:tcBorders>
                    <w:tl2br w:val="nil"/>
                    <w:tr2bl w:val="nil"/>
                  </w:tcBorders>
                  <w:vAlign w:val="center"/>
                </w:tcPr>
                <w:p w14:paraId="3EBA6D3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K41+819</w:t>
                  </w:r>
                </w:p>
              </w:tc>
              <w:tc>
                <w:tcPr>
                  <w:tcW w:w="956" w:type="pct"/>
                  <w:tcBorders>
                    <w:tl2br w:val="nil"/>
                    <w:tr2bl w:val="nil"/>
                  </w:tcBorders>
                  <w:vAlign w:val="center"/>
                </w:tcPr>
                <w:p w14:paraId="341B3E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22410F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B6C9DF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67E0C4B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22696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BA1D7B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110</w:t>
                  </w:r>
                </w:p>
              </w:tc>
              <w:tc>
                <w:tcPr>
                  <w:tcW w:w="1214" w:type="pct"/>
                  <w:tcBorders>
                    <w:tl2br w:val="nil"/>
                    <w:tr2bl w:val="nil"/>
                  </w:tcBorders>
                  <w:vAlign w:val="center"/>
                </w:tcPr>
                <w:p w14:paraId="52F1707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K41+845</w:t>
                  </w:r>
                </w:p>
              </w:tc>
              <w:tc>
                <w:tcPr>
                  <w:tcW w:w="956" w:type="pct"/>
                  <w:tcBorders>
                    <w:tl2br w:val="nil"/>
                    <w:tr2bl w:val="nil"/>
                  </w:tcBorders>
                  <w:vAlign w:val="center"/>
                </w:tcPr>
                <w:p w14:paraId="2889562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D52DB1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6E5717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2D624AD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45865F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347C60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111</w:t>
                  </w:r>
                </w:p>
              </w:tc>
              <w:tc>
                <w:tcPr>
                  <w:tcW w:w="1214" w:type="pct"/>
                  <w:tcBorders>
                    <w:tl2br w:val="nil"/>
                    <w:tr2bl w:val="nil"/>
                  </w:tcBorders>
                  <w:vAlign w:val="center"/>
                </w:tcPr>
                <w:p w14:paraId="5570304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K41+858</w:t>
                  </w:r>
                </w:p>
              </w:tc>
              <w:tc>
                <w:tcPr>
                  <w:tcW w:w="956" w:type="pct"/>
                  <w:tcBorders>
                    <w:tl2br w:val="nil"/>
                    <w:tr2bl w:val="nil"/>
                  </w:tcBorders>
                  <w:vAlign w:val="center"/>
                </w:tcPr>
                <w:p w14:paraId="179F1FA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256A4EA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7AE9BEF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0572A09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A55FA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D6183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112</w:t>
                  </w:r>
                </w:p>
              </w:tc>
              <w:tc>
                <w:tcPr>
                  <w:tcW w:w="1214" w:type="pct"/>
                  <w:tcBorders>
                    <w:tl2br w:val="nil"/>
                    <w:tr2bl w:val="nil"/>
                  </w:tcBorders>
                  <w:vAlign w:val="center"/>
                </w:tcPr>
                <w:p w14:paraId="1EE8950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K41+865</w:t>
                  </w:r>
                </w:p>
              </w:tc>
              <w:tc>
                <w:tcPr>
                  <w:tcW w:w="956" w:type="pct"/>
                  <w:tcBorders>
                    <w:tl2br w:val="nil"/>
                    <w:tr2bl w:val="nil"/>
                  </w:tcBorders>
                  <w:vAlign w:val="center"/>
                </w:tcPr>
                <w:p w14:paraId="18EF360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经营</w:t>
                  </w:r>
                </w:p>
              </w:tc>
              <w:tc>
                <w:tcPr>
                  <w:tcW w:w="956" w:type="pct"/>
                  <w:tcBorders>
                    <w:tl2br w:val="nil"/>
                    <w:tr2bl w:val="nil"/>
                  </w:tcBorders>
                  <w:vAlign w:val="center"/>
                </w:tcPr>
                <w:p w14:paraId="69C1B2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554051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w:t>
                  </w:r>
                </w:p>
              </w:tc>
              <w:tc>
                <w:tcPr>
                  <w:tcW w:w="704" w:type="pct"/>
                  <w:tcBorders>
                    <w:tl2br w:val="nil"/>
                    <w:tr2bl w:val="nil"/>
                  </w:tcBorders>
                  <w:vAlign w:val="center"/>
                </w:tcPr>
                <w:p w14:paraId="264CC9D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B0511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02BD5A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113</w:t>
                  </w:r>
                </w:p>
              </w:tc>
              <w:tc>
                <w:tcPr>
                  <w:tcW w:w="1214" w:type="pct"/>
                  <w:tcBorders>
                    <w:tl2br w:val="nil"/>
                    <w:tr2bl w:val="nil"/>
                  </w:tcBorders>
                  <w:vAlign w:val="center"/>
                </w:tcPr>
                <w:p w14:paraId="32932A0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K41+872</w:t>
                  </w:r>
                </w:p>
              </w:tc>
              <w:tc>
                <w:tcPr>
                  <w:tcW w:w="956" w:type="pct"/>
                  <w:tcBorders>
                    <w:tl2br w:val="nil"/>
                    <w:tr2bl w:val="nil"/>
                  </w:tcBorders>
                  <w:vAlign w:val="center"/>
                </w:tcPr>
                <w:p w14:paraId="234A0C8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09014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75DAF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19D9E31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93C6F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6F72AB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114</w:t>
                  </w:r>
                </w:p>
              </w:tc>
              <w:tc>
                <w:tcPr>
                  <w:tcW w:w="1214" w:type="pct"/>
                  <w:tcBorders>
                    <w:tl2br w:val="nil"/>
                    <w:tr2bl w:val="nil"/>
                  </w:tcBorders>
                  <w:vAlign w:val="center"/>
                </w:tcPr>
                <w:p w14:paraId="7F755F8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K41+888</w:t>
                  </w:r>
                </w:p>
              </w:tc>
              <w:tc>
                <w:tcPr>
                  <w:tcW w:w="956" w:type="pct"/>
                  <w:tcBorders>
                    <w:tl2br w:val="nil"/>
                    <w:tr2bl w:val="nil"/>
                  </w:tcBorders>
                  <w:vAlign w:val="center"/>
                </w:tcPr>
                <w:p w14:paraId="6187CB6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75C535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5C8593F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68FF26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3EB67A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D70778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115</w:t>
                  </w:r>
                </w:p>
              </w:tc>
              <w:tc>
                <w:tcPr>
                  <w:tcW w:w="1214" w:type="pct"/>
                  <w:tcBorders>
                    <w:tl2br w:val="nil"/>
                    <w:tr2bl w:val="nil"/>
                  </w:tcBorders>
                  <w:vAlign w:val="center"/>
                </w:tcPr>
                <w:p w14:paraId="0DD921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K41+933</w:t>
                  </w:r>
                </w:p>
              </w:tc>
              <w:tc>
                <w:tcPr>
                  <w:tcW w:w="956" w:type="pct"/>
                  <w:tcBorders>
                    <w:tl2br w:val="nil"/>
                    <w:tr2bl w:val="nil"/>
                  </w:tcBorders>
                  <w:vAlign w:val="center"/>
                </w:tcPr>
                <w:p w14:paraId="3C0D7FE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0D9C1B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6A7EE2E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3AAECF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5F9985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1A958A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116</w:t>
                  </w:r>
                </w:p>
              </w:tc>
              <w:tc>
                <w:tcPr>
                  <w:tcW w:w="1214" w:type="pct"/>
                  <w:tcBorders>
                    <w:tl2br w:val="nil"/>
                    <w:tr2bl w:val="nil"/>
                  </w:tcBorders>
                  <w:vAlign w:val="center"/>
                </w:tcPr>
                <w:p w14:paraId="46D284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K41+975</w:t>
                  </w:r>
                </w:p>
              </w:tc>
              <w:tc>
                <w:tcPr>
                  <w:tcW w:w="956" w:type="pct"/>
                  <w:tcBorders>
                    <w:tl2br w:val="nil"/>
                    <w:tr2bl w:val="nil"/>
                  </w:tcBorders>
                  <w:vAlign w:val="center"/>
                </w:tcPr>
                <w:p w14:paraId="0BF0A16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518948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0E2B5AD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3.5/5</w:t>
                  </w:r>
                </w:p>
              </w:tc>
              <w:tc>
                <w:tcPr>
                  <w:tcW w:w="704" w:type="pct"/>
                  <w:tcBorders>
                    <w:tl2br w:val="nil"/>
                    <w:tr2bl w:val="nil"/>
                  </w:tcBorders>
                  <w:vAlign w:val="center"/>
                </w:tcPr>
                <w:p w14:paraId="38547AE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9D90E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2E6C71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117</w:t>
                  </w:r>
                </w:p>
              </w:tc>
              <w:tc>
                <w:tcPr>
                  <w:tcW w:w="1214" w:type="pct"/>
                  <w:tcBorders>
                    <w:tl2br w:val="nil"/>
                    <w:tr2bl w:val="nil"/>
                  </w:tcBorders>
                  <w:vAlign w:val="center"/>
                </w:tcPr>
                <w:p w14:paraId="704B010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K42+068</w:t>
                  </w:r>
                </w:p>
              </w:tc>
              <w:tc>
                <w:tcPr>
                  <w:tcW w:w="956" w:type="pct"/>
                  <w:tcBorders>
                    <w:tl2br w:val="nil"/>
                    <w:tr2bl w:val="nil"/>
                  </w:tcBorders>
                  <w:vAlign w:val="center"/>
                </w:tcPr>
                <w:p w14:paraId="623F6D0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8E3221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602758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2ADF76B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094D6D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F1449A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118</w:t>
                  </w:r>
                </w:p>
              </w:tc>
              <w:tc>
                <w:tcPr>
                  <w:tcW w:w="1214" w:type="pct"/>
                  <w:tcBorders>
                    <w:tl2br w:val="nil"/>
                    <w:tr2bl w:val="nil"/>
                  </w:tcBorders>
                  <w:vAlign w:val="center"/>
                </w:tcPr>
                <w:p w14:paraId="250FC22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K42+075</w:t>
                  </w:r>
                </w:p>
              </w:tc>
              <w:tc>
                <w:tcPr>
                  <w:tcW w:w="956" w:type="pct"/>
                  <w:tcBorders>
                    <w:tl2br w:val="nil"/>
                    <w:tr2bl w:val="nil"/>
                  </w:tcBorders>
                  <w:vAlign w:val="center"/>
                </w:tcPr>
                <w:p w14:paraId="7385C77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66BEBE6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057CA61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7C2EE27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A8CD6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C36AEC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119</w:t>
                  </w:r>
                </w:p>
              </w:tc>
              <w:tc>
                <w:tcPr>
                  <w:tcW w:w="1214" w:type="pct"/>
                  <w:tcBorders>
                    <w:tl2br w:val="nil"/>
                    <w:tr2bl w:val="nil"/>
                  </w:tcBorders>
                  <w:vAlign w:val="center"/>
                </w:tcPr>
                <w:p w14:paraId="36BB8A1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K42+220</w:t>
                  </w:r>
                </w:p>
              </w:tc>
              <w:tc>
                <w:tcPr>
                  <w:tcW w:w="956" w:type="pct"/>
                  <w:tcBorders>
                    <w:tl2br w:val="nil"/>
                    <w:tr2bl w:val="nil"/>
                  </w:tcBorders>
                  <w:vAlign w:val="center"/>
                </w:tcPr>
                <w:p w14:paraId="027E6C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174505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28B41CA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3F77440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2A6478F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3BAC0FC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120</w:t>
                  </w:r>
                </w:p>
              </w:tc>
              <w:tc>
                <w:tcPr>
                  <w:tcW w:w="1214" w:type="pct"/>
                  <w:tcBorders>
                    <w:tl2br w:val="nil"/>
                    <w:tr2bl w:val="nil"/>
                  </w:tcBorders>
                  <w:vAlign w:val="center"/>
                </w:tcPr>
                <w:p w14:paraId="3676EEB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K42+359</w:t>
                  </w:r>
                </w:p>
              </w:tc>
              <w:tc>
                <w:tcPr>
                  <w:tcW w:w="956" w:type="pct"/>
                  <w:tcBorders>
                    <w:tl2br w:val="nil"/>
                    <w:tr2bl w:val="nil"/>
                  </w:tcBorders>
                  <w:vAlign w:val="center"/>
                </w:tcPr>
                <w:p w14:paraId="22316A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6832EED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0284567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5A7EF39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49C1BD1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52CADC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121</w:t>
                  </w:r>
                </w:p>
              </w:tc>
              <w:tc>
                <w:tcPr>
                  <w:tcW w:w="1214" w:type="pct"/>
                  <w:tcBorders>
                    <w:tl2br w:val="nil"/>
                    <w:tr2bl w:val="nil"/>
                  </w:tcBorders>
                  <w:vAlign w:val="center"/>
                </w:tcPr>
                <w:p w14:paraId="029D293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K42+495</w:t>
                  </w:r>
                </w:p>
              </w:tc>
              <w:tc>
                <w:tcPr>
                  <w:tcW w:w="956" w:type="pct"/>
                  <w:tcBorders>
                    <w:tl2br w:val="nil"/>
                    <w:tr2bl w:val="nil"/>
                  </w:tcBorders>
                  <w:vAlign w:val="center"/>
                </w:tcPr>
                <w:p w14:paraId="182648A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F2596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48A017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27395C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359EE5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6C2873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122</w:t>
                  </w:r>
                </w:p>
              </w:tc>
              <w:tc>
                <w:tcPr>
                  <w:tcW w:w="1214" w:type="pct"/>
                  <w:tcBorders>
                    <w:tl2br w:val="nil"/>
                    <w:tr2bl w:val="nil"/>
                  </w:tcBorders>
                  <w:vAlign w:val="center"/>
                </w:tcPr>
                <w:p w14:paraId="3BD50E0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K42+632</w:t>
                  </w:r>
                </w:p>
              </w:tc>
              <w:tc>
                <w:tcPr>
                  <w:tcW w:w="956" w:type="pct"/>
                  <w:tcBorders>
                    <w:tl2br w:val="nil"/>
                    <w:tr2bl w:val="nil"/>
                  </w:tcBorders>
                  <w:vAlign w:val="center"/>
                </w:tcPr>
                <w:p w14:paraId="3359732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66FA517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10953E2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38C985E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66A422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73FAB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123</w:t>
                  </w:r>
                </w:p>
              </w:tc>
              <w:tc>
                <w:tcPr>
                  <w:tcW w:w="1214" w:type="pct"/>
                  <w:tcBorders>
                    <w:tl2br w:val="nil"/>
                    <w:tr2bl w:val="nil"/>
                  </w:tcBorders>
                  <w:vAlign w:val="center"/>
                </w:tcPr>
                <w:p w14:paraId="083DBD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K42+763</w:t>
                  </w:r>
                </w:p>
              </w:tc>
              <w:tc>
                <w:tcPr>
                  <w:tcW w:w="956" w:type="pct"/>
                  <w:tcBorders>
                    <w:tl2br w:val="nil"/>
                    <w:tr2bl w:val="nil"/>
                  </w:tcBorders>
                  <w:vAlign w:val="center"/>
                </w:tcPr>
                <w:p w14:paraId="66F91DB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7A91DD8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4935BC9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7C31940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31871B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F6756E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124</w:t>
                  </w:r>
                </w:p>
              </w:tc>
              <w:tc>
                <w:tcPr>
                  <w:tcW w:w="1214" w:type="pct"/>
                  <w:tcBorders>
                    <w:tl2br w:val="nil"/>
                    <w:tr2bl w:val="nil"/>
                  </w:tcBorders>
                  <w:vAlign w:val="center"/>
                </w:tcPr>
                <w:p w14:paraId="074F446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K42+895</w:t>
                  </w:r>
                </w:p>
              </w:tc>
              <w:tc>
                <w:tcPr>
                  <w:tcW w:w="956" w:type="pct"/>
                  <w:tcBorders>
                    <w:tl2br w:val="nil"/>
                    <w:tr2bl w:val="nil"/>
                  </w:tcBorders>
                  <w:vAlign w:val="center"/>
                </w:tcPr>
                <w:p w14:paraId="10DFA51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5C70A3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6485A7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2336EB5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D715C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B4AE1C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125</w:t>
                  </w:r>
                </w:p>
              </w:tc>
              <w:tc>
                <w:tcPr>
                  <w:tcW w:w="1214" w:type="pct"/>
                  <w:tcBorders>
                    <w:tl2br w:val="nil"/>
                    <w:tr2bl w:val="nil"/>
                  </w:tcBorders>
                  <w:vAlign w:val="center"/>
                </w:tcPr>
                <w:p w14:paraId="6AEB142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K43+037</w:t>
                  </w:r>
                </w:p>
              </w:tc>
              <w:tc>
                <w:tcPr>
                  <w:tcW w:w="956" w:type="pct"/>
                  <w:tcBorders>
                    <w:tl2br w:val="nil"/>
                    <w:tr2bl w:val="nil"/>
                  </w:tcBorders>
                  <w:vAlign w:val="center"/>
                </w:tcPr>
                <w:p w14:paraId="11CCF22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机耕路/通村路</w:t>
                  </w:r>
                </w:p>
              </w:tc>
              <w:tc>
                <w:tcPr>
                  <w:tcW w:w="956" w:type="pct"/>
                  <w:tcBorders>
                    <w:tl2br w:val="nil"/>
                    <w:tr2bl w:val="nil"/>
                  </w:tcBorders>
                  <w:vAlign w:val="center"/>
                </w:tcPr>
                <w:p w14:paraId="4803F36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等外/四级</w:t>
                  </w:r>
                </w:p>
              </w:tc>
              <w:tc>
                <w:tcPr>
                  <w:tcW w:w="830" w:type="pct"/>
                  <w:tcBorders>
                    <w:tl2br w:val="nil"/>
                    <w:tr2bl w:val="nil"/>
                  </w:tcBorders>
                  <w:vAlign w:val="center"/>
                </w:tcPr>
                <w:p w14:paraId="7C5742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3.5/5</w:t>
                  </w:r>
                </w:p>
              </w:tc>
              <w:tc>
                <w:tcPr>
                  <w:tcW w:w="704" w:type="pct"/>
                  <w:tcBorders>
                    <w:tl2br w:val="nil"/>
                    <w:tr2bl w:val="nil"/>
                  </w:tcBorders>
                  <w:vAlign w:val="center"/>
                </w:tcPr>
                <w:p w14:paraId="2AEAFC1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1DC3FD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9E5441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126</w:t>
                  </w:r>
                </w:p>
              </w:tc>
              <w:tc>
                <w:tcPr>
                  <w:tcW w:w="1214" w:type="pct"/>
                  <w:tcBorders>
                    <w:tl2br w:val="nil"/>
                    <w:tr2bl w:val="nil"/>
                  </w:tcBorders>
                  <w:vAlign w:val="center"/>
                </w:tcPr>
                <w:p w14:paraId="26A76DE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K43+275</w:t>
                  </w:r>
                </w:p>
              </w:tc>
              <w:tc>
                <w:tcPr>
                  <w:tcW w:w="956" w:type="pct"/>
                  <w:tcBorders>
                    <w:tl2br w:val="nil"/>
                    <w:tr2bl w:val="nil"/>
                  </w:tcBorders>
                  <w:vAlign w:val="center"/>
                </w:tcPr>
                <w:p w14:paraId="6679A99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F7B80E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86ADE8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2B93D61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1A766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440207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127</w:t>
                  </w:r>
                </w:p>
              </w:tc>
              <w:tc>
                <w:tcPr>
                  <w:tcW w:w="1214" w:type="pct"/>
                  <w:tcBorders>
                    <w:tl2br w:val="nil"/>
                    <w:tr2bl w:val="nil"/>
                  </w:tcBorders>
                  <w:vAlign w:val="center"/>
                </w:tcPr>
                <w:p w14:paraId="26101EA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K43+652</w:t>
                  </w:r>
                </w:p>
              </w:tc>
              <w:tc>
                <w:tcPr>
                  <w:tcW w:w="956" w:type="pct"/>
                  <w:tcBorders>
                    <w:tl2br w:val="nil"/>
                    <w:tr2bl w:val="nil"/>
                  </w:tcBorders>
                  <w:vAlign w:val="center"/>
                </w:tcPr>
                <w:p w14:paraId="065F343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3AC93D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933D47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4E1E7A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2B91A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708CB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128</w:t>
                  </w:r>
                </w:p>
              </w:tc>
              <w:tc>
                <w:tcPr>
                  <w:tcW w:w="1214" w:type="pct"/>
                  <w:tcBorders>
                    <w:tl2br w:val="nil"/>
                    <w:tr2bl w:val="nil"/>
                  </w:tcBorders>
                  <w:vAlign w:val="center"/>
                </w:tcPr>
                <w:p w14:paraId="55A1EBA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K44+017</w:t>
                  </w:r>
                </w:p>
              </w:tc>
              <w:tc>
                <w:tcPr>
                  <w:tcW w:w="956" w:type="pct"/>
                  <w:tcBorders>
                    <w:tl2br w:val="nil"/>
                    <w:tr2bl w:val="nil"/>
                  </w:tcBorders>
                  <w:vAlign w:val="center"/>
                </w:tcPr>
                <w:p w14:paraId="703DDD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97978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A80864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1CDA8AA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C889F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4415A2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129</w:t>
                  </w:r>
                </w:p>
              </w:tc>
              <w:tc>
                <w:tcPr>
                  <w:tcW w:w="1214" w:type="pct"/>
                  <w:tcBorders>
                    <w:tl2br w:val="nil"/>
                    <w:tr2bl w:val="nil"/>
                  </w:tcBorders>
                  <w:vAlign w:val="center"/>
                </w:tcPr>
                <w:p w14:paraId="4D1F47C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K44+030</w:t>
                  </w:r>
                </w:p>
              </w:tc>
              <w:tc>
                <w:tcPr>
                  <w:tcW w:w="956" w:type="pct"/>
                  <w:tcBorders>
                    <w:tl2br w:val="nil"/>
                    <w:tr2bl w:val="nil"/>
                  </w:tcBorders>
                  <w:vAlign w:val="center"/>
                </w:tcPr>
                <w:p w14:paraId="65C281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22B64A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EF2FAC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2BC51FB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0697A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20ADC3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130</w:t>
                  </w:r>
                </w:p>
              </w:tc>
              <w:tc>
                <w:tcPr>
                  <w:tcW w:w="1214" w:type="pct"/>
                  <w:tcBorders>
                    <w:tl2br w:val="nil"/>
                    <w:tr2bl w:val="nil"/>
                  </w:tcBorders>
                  <w:vAlign w:val="center"/>
                </w:tcPr>
                <w:p w14:paraId="5D1622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K44+450</w:t>
                  </w:r>
                </w:p>
              </w:tc>
              <w:tc>
                <w:tcPr>
                  <w:tcW w:w="956" w:type="pct"/>
                  <w:tcBorders>
                    <w:tl2br w:val="nil"/>
                    <w:tr2bl w:val="nil"/>
                  </w:tcBorders>
                  <w:vAlign w:val="center"/>
                </w:tcPr>
                <w:p w14:paraId="22EE9AA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A1745A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DC5021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7F5192C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A2713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73A79EA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131</w:t>
                  </w:r>
                </w:p>
              </w:tc>
              <w:tc>
                <w:tcPr>
                  <w:tcW w:w="1214" w:type="pct"/>
                  <w:tcBorders>
                    <w:tl2br w:val="nil"/>
                    <w:tr2bl w:val="nil"/>
                  </w:tcBorders>
                  <w:vAlign w:val="center"/>
                </w:tcPr>
                <w:p w14:paraId="485C395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K45+067</w:t>
                  </w:r>
                </w:p>
              </w:tc>
              <w:tc>
                <w:tcPr>
                  <w:tcW w:w="956" w:type="pct"/>
                  <w:tcBorders>
                    <w:tl2br w:val="nil"/>
                    <w:tr2bl w:val="nil"/>
                  </w:tcBorders>
                  <w:vAlign w:val="center"/>
                </w:tcPr>
                <w:p w14:paraId="622BD52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510F92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563AB0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10AFC53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C23D0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004E1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132</w:t>
                  </w:r>
                </w:p>
              </w:tc>
              <w:tc>
                <w:tcPr>
                  <w:tcW w:w="1214" w:type="pct"/>
                  <w:tcBorders>
                    <w:tl2br w:val="nil"/>
                    <w:tr2bl w:val="nil"/>
                  </w:tcBorders>
                  <w:vAlign w:val="center"/>
                </w:tcPr>
                <w:p w14:paraId="31355C5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K45+339</w:t>
                  </w:r>
                </w:p>
              </w:tc>
              <w:tc>
                <w:tcPr>
                  <w:tcW w:w="956" w:type="pct"/>
                  <w:tcBorders>
                    <w:tl2br w:val="nil"/>
                    <w:tr2bl w:val="nil"/>
                  </w:tcBorders>
                  <w:vAlign w:val="center"/>
                </w:tcPr>
                <w:p w14:paraId="4021C4F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01DEF7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C5592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683B65D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B6913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20236C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133</w:t>
                  </w:r>
                </w:p>
              </w:tc>
              <w:tc>
                <w:tcPr>
                  <w:tcW w:w="1214" w:type="pct"/>
                  <w:tcBorders>
                    <w:tl2br w:val="nil"/>
                    <w:tr2bl w:val="nil"/>
                  </w:tcBorders>
                  <w:vAlign w:val="center"/>
                </w:tcPr>
                <w:p w14:paraId="69C8C76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K45+655</w:t>
                  </w:r>
                </w:p>
              </w:tc>
              <w:tc>
                <w:tcPr>
                  <w:tcW w:w="956" w:type="pct"/>
                  <w:tcBorders>
                    <w:tl2br w:val="nil"/>
                    <w:tr2bl w:val="nil"/>
                  </w:tcBorders>
                  <w:vAlign w:val="center"/>
                </w:tcPr>
                <w:p w14:paraId="3126F75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8C375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092574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2AFE471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3CA5F0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5559113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134</w:t>
                  </w:r>
                </w:p>
              </w:tc>
              <w:tc>
                <w:tcPr>
                  <w:tcW w:w="1214" w:type="pct"/>
                  <w:tcBorders>
                    <w:tl2br w:val="nil"/>
                    <w:tr2bl w:val="nil"/>
                  </w:tcBorders>
                  <w:vAlign w:val="center"/>
                </w:tcPr>
                <w:p w14:paraId="4478C6C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K45+747</w:t>
                  </w:r>
                </w:p>
              </w:tc>
              <w:tc>
                <w:tcPr>
                  <w:tcW w:w="956" w:type="pct"/>
                  <w:tcBorders>
                    <w:tl2br w:val="nil"/>
                    <w:tr2bl w:val="nil"/>
                  </w:tcBorders>
                  <w:vAlign w:val="center"/>
                </w:tcPr>
                <w:p w14:paraId="2FCF0F3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A00B41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90B63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0E01FF7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F4EEE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480424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135</w:t>
                  </w:r>
                </w:p>
              </w:tc>
              <w:tc>
                <w:tcPr>
                  <w:tcW w:w="1214" w:type="pct"/>
                  <w:tcBorders>
                    <w:tl2br w:val="nil"/>
                    <w:tr2bl w:val="nil"/>
                  </w:tcBorders>
                  <w:vAlign w:val="center"/>
                </w:tcPr>
                <w:p w14:paraId="29918EB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K45+887</w:t>
                  </w:r>
                </w:p>
              </w:tc>
              <w:tc>
                <w:tcPr>
                  <w:tcW w:w="956" w:type="pct"/>
                  <w:tcBorders>
                    <w:tl2br w:val="nil"/>
                    <w:tr2bl w:val="nil"/>
                  </w:tcBorders>
                  <w:vAlign w:val="center"/>
                </w:tcPr>
                <w:p w14:paraId="12389B7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D93A8E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FFB93D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4D8D457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98095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062B5A6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136</w:t>
                  </w:r>
                </w:p>
              </w:tc>
              <w:tc>
                <w:tcPr>
                  <w:tcW w:w="1214" w:type="pct"/>
                  <w:tcBorders>
                    <w:tl2br w:val="nil"/>
                    <w:tr2bl w:val="nil"/>
                  </w:tcBorders>
                  <w:vAlign w:val="center"/>
                </w:tcPr>
                <w:p w14:paraId="53FAAF6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K46+011</w:t>
                  </w:r>
                </w:p>
              </w:tc>
              <w:tc>
                <w:tcPr>
                  <w:tcW w:w="956" w:type="pct"/>
                  <w:tcBorders>
                    <w:tl2br w:val="nil"/>
                    <w:tr2bl w:val="nil"/>
                  </w:tcBorders>
                  <w:vAlign w:val="center"/>
                </w:tcPr>
                <w:p w14:paraId="2CA5D09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7467A1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A6D940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2B60B9C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00A3F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6C6A7B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137</w:t>
                  </w:r>
                </w:p>
              </w:tc>
              <w:tc>
                <w:tcPr>
                  <w:tcW w:w="1214" w:type="pct"/>
                  <w:tcBorders>
                    <w:tl2br w:val="nil"/>
                    <w:tr2bl w:val="nil"/>
                  </w:tcBorders>
                  <w:vAlign w:val="center"/>
                </w:tcPr>
                <w:p w14:paraId="3BA330F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K46+544</w:t>
                  </w:r>
                </w:p>
              </w:tc>
              <w:tc>
                <w:tcPr>
                  <w:tcW w:w="956" w:type="pct"/>
                  <w:tcBorders>
                    <w:tl2br w:val="nil"/>
                    <w:tr2bl w:val="nil"/>
                  </w:tcBorders>
                  <w:vAlign w:val="center"/>
                </w:tcPr>
                <w:p w14:paraId="26A0BFF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32D65D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2D075F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7CFC003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6D366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5D07FF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138</w:t>
                  </w:r>
                </w:p>
              </w:tc>
              <w:tc>
                <w:tcPr>
                  <w:tcW w:w="1214" w:type="pct"/>
                  <w:tcBorders>
                    <w:tl2br w:val="nil"/>
                    <w:tr2bl w:val="nil"/>
                  </w:tcBorders>
                  <w:vAlign w:val="center"/>
                </w:tcPr>
                <w:p w14:paraId="50593DF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K46+716</w:t>
                  </w:r>
                </w:p>
              </w:tc>
              <w:tc>
                <w:tcPr>
                  <w:tcW w:w="956" w:type="pct"/>
                  <w:tcBorders>
                    <w:tl2br w:val="nil"/>
                    <w:tr2bl w:val="nil"/>
                  </w:tcBorders>
                  <w:vAlign w:val="center"/>
                </w:tcPr>
                <w:p w14:paraId="1338DAC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3F4CA6F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B344E8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0F775BD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BA296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C0B511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139</w:t>
                  </w:r>
                </w:p>
              </w:tc>
              <w:tc>
                <w:tcPr>
                  <w:tcW w:w="1214" w:type="pct"/>
                  <w:tcBorders>
                    <w:tl2br w:val="nil"/>
                    <w:tr2bl w:val="nil"/>
                  </w:tcBorders>
                  <w:vAlign w:val="center"/>
                </w:tcPr>
                <w:p w14:paraId="0021BC0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K46+800</w:t>
                  </w:r>
                </w:p>
              </w:tc>
              <w:tc>
                <w:tcPr>
                  <w:tcW w:w="956" w:type="pct"/>
                  <w:tcBorders>
                    <w:tl2br w:val="nil"/>
                    <w:tr2bl w:val="nil"/>
                  </w:tcBorders>
                  <w:vAlign w:val="center"/>
                </w:tcPr>
                <w:p w14:paraId="7E50FDB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5BD5026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4ABB8EB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7.8</w:t>
                  </w:r>
                </w:p>
              </w:tc>
              <w:tc>
                <w:tcPr>
                  <w:tcW w:w="704" w:type="pct"/>
                  <w:tcBorders>
                    <w:tl2br w:val="nil"/>
                    <w:tr2bl w:val="nil"/>
                  </w:tcBorders>
                  <w:vAlign w:val="center"/>
                </w:tcPr>
                <w:p w14:paraId="77B527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FD398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76A5510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140</w:t>
                  </w:r>
                </w:p>
              </w:tc>
              <w:tc>
                <w:tcPr>
                  <w:tcW w:w="1214" w:type="pct"/>
                  <w:tcBorders>
                    <w:tl2br w:val="nil"/>
                    <w:tr2bl w:val="nil"/>
                  </w:tcBorders>
                  <w:vAlign w:val="center"/>
                </w:tcPr>
                <w:p w14:paraId="71962EA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K46+895</w:t>
                  </w:r>
                </w:p>
              </w:tc>
              <w:tc>
                <w:tcPr>
                  <w:tcW w:w="956" w:type="pct"/>
                  <w:tcBorders>
                    <w:tl2br w:val="nil"/>
                    <w:tr2bl w:val="nil"/>
                  </w:tcBorders>
                  <w:vAlign w:val="center"/>
                </w:tcPr>
                <w:p w14:paraId="3AB4FDD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3E1A3F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0DB0A3A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60FFDFC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0A974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6D936C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141</w:t>
                  </w:r>
                </w:p>
              </w:tc>
              <w:tc>
                <w:tcPr>
                  <w:tcW w:w="1214" w:type="pct"/>
                  <w:tcBorders>
                    <w:tl2br w:val="nil"/>
                    <w:tr2bl w:val="nil"/>
                  </w:tcBorders>
                  <w:vAlign w:val="center"/>
                </w:tcPr>
                <w:p w14:paraId="4C7C154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K47+022</w:t>
                  </w:r>
                </w:p>
              </w:tc>
              <w:tc>
                <w:tcPr>
                  <w:tcW w:w="956" w:type="pct"/>
                  <w:tcBorders>
                    <w:tl2br w:val="nil"/>
                    <w:tr2bl w:val="nil"/>
                  </w:tcBorders>
                  <w:vAlign w:val="center"/>
                </w:tcPr>
                <w:p w14:paraId="149EB8C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695148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A72B5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w:t>
                  </w:r>
                </w:p>
              </w:tc>
              <w:tc>
                <w:tcPr>
                  <w:tcW w:w="704" w:type="pct"/>
                  <w:tcBorders>
                    <w:tl2br w:val="nil"/>
                    <w:tr2bl w:val="nil"/>
                  </w:tcBorders>
                  <w:vAlign w:val="center"/>
                </w:tcPr>
                <w:p w14:paraId="0985A41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1C63D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4F4FD8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142</w:t>
                  </w:r>
                </w:p>
              </w:tc>
              <w:tc>
                <w:tcPr>
                  <w:tcW w:w="1214" w:type="pct"/>
                  <w:tcBorders>
                    <w:tl2br w:val="nil"/>
                    <w:tr2bl w:val="nil"/>
                  </w:tcBorders>
                  <w:vAlign w:val="center"/>
                </w:tcPr>
                <w:p w14:paraId="79C360F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K47+487</w:t>
                  </w:r>
                </w:p>
              </w:tc>
              <w:tc>
                <w:tcPr>
                  <w:tcW w:w="956" w:type="pct"/>
                  <w:tcBorders>
                    <w:tl2br w:val="nil"/>
                    <w:tr2bl w:val="nil"/>
                  </w:tcBorders>
                  <w:vAlign w:val="center"/>
                </w:tcPr>
                <w:p w14:paraId="7227A63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42A954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12D2F2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648C1D8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8FE2D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6C03787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143</w:t>
                  </w:r>
                </w:p>
              </w:tc>
              <w:tc>
                <w:tcPr>
                  <w:tcW w:w="1214" w:type="pct"/>
                  <w:tcBorders>
                    <w:tl2br w:val="nil"/>
                    <w:tr2bl w:val="nil"/>
                  </w:tcBorders>
                  <w:vAlign w:val="center"/>
                </w:tcPr>
                <w:p w14:paraId="2A4D900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K48+156</w:t>
                  </w:r>
                </w:p>
              </w:tc>
              <w:tc>
                <w:tcPr>
                  <w:tcW w:w="956" w:type="pct"/>
                  <w:tcBorders>
                    <w:tl2br w:val="nil"/>
                    <w:tr2bl w:val="nil"/>
                  </w:tcBorders>
                  <w:vAlign w:val="center"/>
                </w:tcPr>
                <w:p w14:paraId="3A24BDB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15B65E2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29B7CFD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74E540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989C2F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DEFA3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144</w:t>
                  </w:r>
                </w:p>
              </w:tc>
              <w:tc>
                <w:tcPr>
                  <w:tcW w:w="1214" w:type="pct"/>
                  <w:tcBorders>
                    <w:tl2br w:val="nil"/>
                    <w:tr2bl w:val="nil"/>
                  </w:tcBorders>
                  <w:vAlign w:val="center"/>
                </w:tcPr>
                <w:p w14:paraId="714508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K48+288</w:t>
                  </w:r>
                </w:p>
              </w:tc>
              <w:tc>
                <w:tcPr>
                  <w:tcW w:w="956" w:type="pct"/>
                  <w:tcBorders>
                    <w:tl2br w:val="nil"/>
                    <w:tr2bl w:val="nil"/>
                  </w:tcBorders>
                  <w:vAlign w:val="center"/>
                </w:tcPr>
                <w:p w14:paraId="52A1B65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062613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DE4B8C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7F7E5A4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B4B19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1D436B7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145</w:t>
                  </w:r>
                </w:p>
              </w:tc>
              <w:tc>
                <w:tcPr>
                  <w:tcW w:w="1214" w:type="pct"/>
                  <w:tcBorders>
                    <w:tl2br w:val="nil"/>
                    <w:tr2bl w:val="nil"/>
                  </w:tcBorders>
                  <w:vAlign w:val="center"/>
                </w:tcPr>
                <w:p w14:paraId="2FEB8A8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K48+511</w:t>
                  </w:r>
                </w:p>
              </w:tc>
              <w:tc>
                <w:tcPr>
                  <w:tcW w:w="956" w:type="pct"/>
                  <w:tcBorders>
                    <w:tl2br w:val="nil"/>
                    <w:tr2bl w:val="nil"/>
                  </w:tcBorders>
                  <w:vAlign w:val="center"/>
                </w:tcPr>
                <w:p w14:paraId="4955AD1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0D84D5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5C5E5A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60CF74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A46CE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2025233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146</w:t>
                  </w:r>
                </w:p>
              </w:tc>
              <w:tc>
                <w:tcPr>
                  <w:tcW w:w="1214" w:type="pct"/>
                  <w:tcBorders>
                    <w:tl2br w:val="nil"/>
                    <w:tr2bl w:val="nil"/>
                  </w:tcBorders>
                  <w:vAlign w:val="center"/>
                </w:tcPr>
                <w:p w14:paraId="24EA17E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K48+684</w:t>
                  </w:r>
                </w:p>
              </w:tc>
              <w:tc>
                <w:tcPr>
                  <w:tcW w:w="956" w:type="pct"/>
                  <w:tcBorders>
                    <w:tl2br w:val="nil"/>
                    <w:tr2bl w:val="nil"/>
                  </w:tcBorders>
                  <w:vAlign w:val="center"/>
                </w:tcPr>
                <w:p w14:paraId="63497D5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E798D2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13714A6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205E4D9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E57C9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0124088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147</w:t>
                  </w:r>
                </w:p>
              </w:tc>
              <w:tc>
                <w:tcPr>
                  <w:tcW w:w="1214" w:type="pct"/>
                  <w:tcBorders>
                    <w:tl2br w:val="nil"/>
                    <w:tr2bl w:val="nil"/>
                  </w:tcBorders>
                  <w:vAlign w:val="center"/>
                </w:tcPr>
                <w:p w14:paraId="16AA869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K48+977</w:t>
                  </w:r>
                </w:p>
              </w:tc>
              <w:tc>
                <w:tcPr>
                  <w:tcW w:w="956" w:type="pct"/>
                  <w:tcBorders>
                    <w:tl2br w:val="nil"/>
                    <w:tr2bl w:val="nil"/>
                  </w:tcBorders>
                  <w:vAlign w:val="center"/>
                </w:tcPr>
                <w:p w14:paraId="435A06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ABAF3E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03CA92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05A0CF3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57A3F96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FBC378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148</w:t>
                  </w:r>
                </w:p>
              </w:tc>
              <w:tc>
                <w:tcPr>
                  <w:tcW w:w="1214" w:type="pct"/>
                  <w:tcBorders>
                    <w:tl2br w:val="nil"/>
                    <w:tr2bl w:val="nil"/>
                  </w:tcBorders>
                  <w:vAlign w:val="center"/>
                </w:tcPr>
                <w:p w14:paraId="30DAAA2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K49+080</w:t>
                  </w:r>
                </w:p>
              </w:tc>
              <w:tc>
                <w:tcPr>
                  <w:tcW w:w="956" w:type="pct"/>
                  <w:tcBorders>
                    <w:tl2br w:val="nil"/>
                    <w:tr2bl w:val="nil"/>
                  </w:tcBorders>
                  <w:vAlign w:val="center"/>
                </w:tcPr>
                <w:p w14:paraId="13092A0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3F46C9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36BDE63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63E7DF9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7402E4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37C79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149</w:t>
                  </w:r>
                </w:p>
              </w:tc>
              <w:tc>
                <w:tcPr>
                  <w:tcW w:w="1214" w:type="pct"/>
                  <w:tcBorders>
                    <w:tl2br w:val="nil"/>
                    <w:tr2bl w:val="nil"/>
                  </w:tcBorders>
                  <w:vAlign w:val="center"/>
                </w:tcPr>
                <w:p w14:paraId="2B5686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K49+948</w:t>
                  </w:r>
                </w:p>
              </w:tc>
              <w:tc>
                <w:tcPr>
                  <w:tcW w:w="956" w:type="pct"/>
                  <w:tcBorders>
                    <w:tl2br w:val="nil"/>
                    <w:tr2bl w:val="nil"/>
                  </w:tcBorders>
                  <w:vAlign w:val="center"/>
                </w:tcPr>
                <w:p w14:paraId="65CC87F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58C5D1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43557C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6868AC8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D1359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82F3F2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150</w:t>
                  </w:r>
                </w:p>
              </w:tc>
              <w:tc>
                <w:tcPr>
                  <w:tcW w:w="1214" w:type="pct"/>
                  <w:tcBorders>
                    <w:tl2br w:val="nil"/>
                    <w:tr2bl w:val="nil"/>
                  </w:tcBorders>
                  <w:vAlign w:val="center"/>
                </w:tcPr>
                <w:p w14:paraId="737F2A8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K50+383</w:t>
                  </w:r>
                </w:p>
              </w:tc>
              <w:tc>
                <w:tcPr>
                  <w:tcW w:w="956" w:type="pct"/>
                  <w:tcBorders>
                    <w:tl2br w:val="nil"/>
                    <w:tr2bl w:val="nil"/>
                  </w:tcBorders>
                  <w:vAlign w:val="center"/>
                </w:tcPr>
                <w:p w14:paraId="6222952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机耕路/通村路</w:t>
                  </w:r>
                </w:p>
              </w:tc>
              <w:tc>
                <w:tcPr>
                  <w:tcW w:w="956" w:type="pct"/>
                  <w:tcBorders>
                    <w:tl2br w:val="nil"/>
                    <w:tr2bl w:val="nil"/>
                  </w:tcBorders>
                  <w:vAlign w:val="center"/>
                </w:tcPr>
                <w:p w14:paraId="2C33DD7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等外/四级</w:t>
                  </w:r>
                </w:p>
              </w:tc>
              <w:tc>
                <w:tcPr>
                  <w:tcW w:w="830" w:type="pct"/>
                  <w:tcBorders>
                    <w:tl2br w:val="nil"/>
                    <w:tr2bl w:val="nil"/>
                  </w:tcBorders>
                  <w:vAlign w:val="center"/>
                </w:tcPr>
                <w:p w14:paraId="372C07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7/5</w:t>
                  </w:r>
                </w:p>
              </w:tc>
              <w:tc>
                <w:tcPr>
                  <w:tcW w:w="704" w:type="pct"/>
                  <w:tcBorders>
                    <w:tl2br w:val="nil"/>
                    <w:tr2bl w:val="nil"/>
                  </w:tcBorders>
                  <w:vAlign w:val="center"/>
                </w:tcPr>
                <w:p w14:paraId="51D616D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72977E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7B487F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151</w:t>
                  </w:r>
                </w:p>
              </w:tc>
              <w:tc>
                <w:tcPr>
                  <w:tcW w:w="1214" w:type="pct"/>
                  <w:tcBorders>
                    <w:tl2br w:val="nil"/>
                    <w:tr2bl w:val="nil"/>
                  </w:tcBorders>
                  <w:vAlign w:val="center"/>
                </w:tcPr>
                <w:p w14:paraId="3E3BA80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K50+737</w:t>
                  </w:r>
                </w:p>
              </w:tc>
              <w:tc>
                <w:tcPr>
                  <w:tcW w:w="956" w:type="pct"/>
                  <w:tcBorders>
                    <w:tl2br w:val="nil"/>
                    <w:tr2bl w:val="nil"/>
                  </w:tcBorders>
                  <w:vAlign w:val="center"/>
                </w:tcPr>
                <w:p w14:paraId="66EBAEB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09E991D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8179E1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75C0176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063FA8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7A2073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152</w:t>
                  </w:r>
                </w:p>
              </w:tc>
              <w:tc>
                <w:tcPr>
                  <w:tcW w:w="1214" w:type="pct"/>
                  <w:tcBorders>
                    <w:tl2br w:val="nil"/>
                    <w:tr2bl w:val="nil"/>
                  </w:tcBorders>
                  <w:vAlign w:val="center"/>
                </w:tcPr>
                <w:p w14:paraId="6B57E2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K50+986</w:t>
                  </w:r>
                </w:p>
              </w:tc>
              <w:tc>
                <w:tcPr>
                  <w:tcW w:w="956" w:type="pct"/>
                  <w:tcBorders>
                    <w:tl2br w:val="nil"/>
                    <w:tr2bl w:val="nil"/>
                  </w:tcBorders>
                  <w:vAlign w:val="center"/>
                </w:tcPr>
                <w:p w14:paraId="2AAEFB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600CE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4128DC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0178038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804E43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4A14EB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153</w:t>
                  </w:r>
                </w:p>
              </w:tc>
              <w:tc>
                <w:tcPr>
                  <w:tcW w:w="1214" w:type="pct"/>
                  <w:tcBorders>
                    <w:tl2br w:val="nil"/>
                    <w:tr2bl w:val="nil"/>
                  </w:tcBorders>
                  <w:vAlign w:val="center"/>
                </w:tcPr>
                <w:p w14:paraId="21283D9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K51+133</w:t>
                  </w:r>
                </w:p>
              </w:tc>
              <w:tc>
                <w:tcPr>
                  <w:tcW w:w="956" w:type="pct"/>
                  <w:tcBorders>
                    <w:tl2br w:val="nil"/>
                    <w:tr2bl w:val="nil"/>
                  </w:tcBorders>
                  <w:vAlign w:val="center"/>
                </w:tcPr>
                <w:p w14:paraId="29195E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B04BEE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292EF0B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2967509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6DE01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337" w:type="pct"/>
                  <w:tcBorders>
                    <w:tl2br w:val="nil"/>
                    <w:tr2bl w:val="nil"/>
                  </w:tcBorders>
                  <w:vAlign w:val="center"/>
                </w:tcPr>
                <w:p w14:paraId="62E3E19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154</w:t>
                  </w:r>
                </w:p>
              </w:tc>
              <w:tc>
                <w:tcPr>
                  <w:tcW w:w="1214" w:type="pct"/>
                  <w:tcBorders>
                    <w:tl2br w:val="nil"/>
                    <w:tr2bl w:val="nil"/>
                  </w:tcBorders>
                  <w:vAlign w:val="center"/>
                </w:tcPr>
                <w:p w14:paraId="545E86A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K51+731</w:t>
                  </w:r>
                </w:p>
              </w:tc>
              <w:tc>
                <w:tcPr>
                  <w:tcW w:w="956" w:type="pct"/>
                  <w:tcBorders>
                    <w:tl2br w:val="nil"/>
                    <w:tr2bl w:val="nil"/>
                  </w:tcBorders>
                  <w:vAlign w:val="center"/>
                </w:tcPr>
                <w:p w14:paraId="1DB21B2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1DE625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DA0206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675115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277DFD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728A012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155</w:t>
                  </w:r>
                </w:p>
              </w:tc>
              <w:tc>
                <w:tcPr>
                  <w:tcW w:w="1214" w:type="pct"/>
                  <w:tcBorders>
                    <w:tl2br w:val="nil"/>
                    <w:tr2bl w:val="nil"/>
                  </w:tcBorders>
                  <w:vAlign w:val="center"/>
                </w:tcPr>
                <w:p w14:paraId="206FE25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K52+345</w:t>
                  </w:r>
                </w:p>
              </w:tc>
              <w:tc>
                <w:tcPr>
                  <w:tcW w:w="956" w:type="pct"/>
                  <w:tcBorders>
                    <w:tl2br w:val="nil"/>
                    <w:tr2bl w:val="nil"/>
                  </w:tcBorders>
                  <w:vAlign w:val="center"/>
                </w:tcPr>
                <w:p w14:paraId="1E56B6E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C72683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0F2576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5708E4F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AE9D5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FA9295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156</w:t>
                  </w:r>
                </w:p>
              </w:tc>
              <w:tc>
                <w:tcPr>
                  <w:tcW w:w="1214" w:type="pct"/>
                  <w:tcBorders>
                    <w:tl2br w:val="nil"/>
                    <w:tr2bl w:val="nil"/>
                  </w:tcBorders>
                  <w:vAlign w:val="center"/>
                </w:tcPr>
                <w:p w14:paraId="6C0AF48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K52+916</w:t>
                  </w:r>
                </w:p>
              </w:tc>
              <w:tc>
                <w:tcPr>
                  <w:tcW w:w="956" w:type="pct"/>
                  <w:tcBorders>
                    <w:tl2br w:val="nil"/>
                    <w:tr2bl w:val="nil"/>
                  </w:tcBorders>
                  <w:vAlign w:val="center"/>
                </w:tcPr>
                <w:p w14:paraId="7EFB78F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7418623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3113B90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617BEC9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1615D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053598D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157</w:t>
                  </w:r>
                </w:p>
              </w:tc>
              <w:tc>
                <w:tcPr>
                  <w:tcW w:w="1214" w:type="pct"/>
                  <w:tcBorders>
                    <w:tl2br w:val="nil"/>
                    <w:tr2bl w:val="nil"/>
                  </w:tcBorders>
                  <w:vAlign w:val="center"/>
                </w:tcPr>
                <w:p w14:paraId="5F76284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K53+036</w:t>
                  </w:r>
                </w:p>
              </w:tc>
              <w:tc>
                <w:tcPr>
                  <w:tcW w:w="956" w:type="pct"/>
                  <w:tcBorders>
                    <w:tl2br w:val="nil"/>
                    <w:tr2bl w:val="nil"/>
                  </w:tcBorders>
                  <w:vAlign w:val="center"/>
                </w:tcPr>
                <w:p w14:paraId="626CD57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C737E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5C3D9F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4256433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63B37F4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A16232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158</w:t>
                  </w:r>
                </w:p>
              </w:tc>
              <w:tc>
                <w:tcPr>
                  <w:tcW w:w="1214" w:type="pct"/>
                  <w:tcBorders>
                    <w:tl2br w:val="nil"/>
                    <w:tr2bl w:val="nil"/>
                  </w:tcBorders>
                  <w:vAlign w:val="center"/>
                </w:tcPr>
                <w:p w14:paraId="691DFB0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K53+070</w:t>
                  </w:r>
                </w:p>
              </w:tc>
              <w:tc>
                <w:tcPr>
                  <w:tcW w:w="956" w:type="pct"/>
                  <w:tcBorders>
                    <w:tl2br w:val="nil"/>
                    <w:tr2bl w:val="nil"/>
                  </w:tcBorders>
                  <w:vAlign w:val="center"/>
                </w:tcPr>
                <w:p w14:paraId="0F27C05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63F0B22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F5465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4.5</w:t>
                  </w:r>
                </w:p>
              </w:tc>
              <w:tc>
                <w:tcPr>
                  <w:tcW w:w="704" w:type="pct"/>
                  <w:tcBorders>
                    <w:tl2br w:val="nil"/>
                    <w:tr2bl w:val="nil"/>
                  </w:tcBorders>
                  <w:vAlign w:val="center"/>
                </w:tcPr>
                <w:p w14:paraId="14B4BAE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5D982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726085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159</w:t>
                  </w:r>
                </w:p>
              </w:tc>
              <w:tc>
                <w:tcPr>
                  <w:tcW w:w="1214" w:type="pct"/>
                  <w:tcBorders>
                    <w:tl2br w:val="nil"/>
                    <w:tr2bl w:val="nil"/>
                  </w:tcBorders>
                  <w:vAlign w:val="center"/>
                </w:tcPr>
                <w:p w14:paraId="1D034E7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K53+372</w:t>
                  </w:r>
                </w:p>
              </w:tc>
              <w:tc>
                <w:tcPr>
                  <w:tcW w:w="956" w:type="pct"/>
                  <w:tcBorders>
                    <w:tl2br w:val="nil"/>
                    <w:tr2bl w:val="nil"/>
                  </w:tcBorders>
                  <w:vAlign w:val="center"/>
                </w:tcPr>
                <w:p w14:paraId="0D3ABB05">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8BE1C3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05A4843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4F18779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F7D283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101BAD8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160</w:t>
                  </w:r>
                </w:p>
              </w:tc>
              <w:tc>
                <w:tcPr>
                  <w:tcW w:w="1214" w:type="pct"/>
                  <w:tcBorders>
                    <w:tl2br w:val="nil"/>
                    <w:tr2bl w:val="nil"/>
                  </w:tcBorders>
                  <w:vAlign w:val="center"/>
                </w:tcPr>
                <w:p w14:paraId="68B7BBC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K53+532</w:t>
                  </w:r>
                </w:p>
              </w:tc>
              <w:tc>
                <w:tcPr>
                  <w:tcW w:w="956" w:type="pct"/>
                  <w:tcBorders>
                    <w:tl2br w:val="nil"/>
                    <w:tr2bl w:val="nil"/>
                  </w:tcBorders>
                  <w:vAlign w:val="center"/>
                </w:tcPr>
                <w:p w14:paraId="3AB8FE5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2AA070F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4EA916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5EAA1C9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8D5E8F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096113C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161</w:t>
                  </w:r>
                </w:p>
              </w:tc>
              <w:tc>
                <w:tcPr>
                  <w:tcW w:w="1214" w:type="pct"/>
                  <w:tcBorders>
                    <w:tl2br w:val="nil"/>
                    <w:tr2bl w:val="nil"/>
                  </w:tcBorders>
                  <w:vAlign w:val="center"/>
                </w:tcPr>
                <w:p w14:paraId="144FF93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K53+752</w:t>
                  </w:r>
                </w:p>
              </w:tc>
              <w:tc>
                <w:tcPr>
                  <w:tcW w:w="956" w:type="pct"/>
                  <w:tcBorders>
                    <w:tl2br w:val="nil"/>
                    <w:tr2bl w:val="nil"/>
                  </w:tcBorders>
                  <w:vAlign w:val="center"/>
                </w:tcPr>
                <w:p w14:paraId="1F3FC68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478D931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4CF6406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0473540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408F1C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6E60999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162</w:t>
                  </w:r>
                </w:p>
              </w:tc>
              <w:tc>
                <w:tcPr>
                  <w:tcW w:w="1214" w:type="pct"/>
                  <w:tcBorders>
                    <w:tl2br w:val="nil"/>
                    <w:tr2bl w:val="nil"/>
                  </w:tcBorders>
                  <w:vAlign w:val="center"/>
                </w:tcPr>
                <w:p w14:paraId="38A057B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K53+780</w:t>
                  </w:r>
                </w:p>
              </w:tc>
              <w:tc>
                <w:tcPr>
                  <w:tcW w:w="956" w:type="pct"/>
                  <w:tcBorders>
                    <w:tl2br w:val="nil"/>
                    <w:tr2bl w:val="nil"/>
                  </w:tcBorders>
                  <w:vAlign w:val="center"/>
                </w:tcPr>
                <w:p w14:paraId="7B7BA77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1F531F7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59CB6FB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642804D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0B22464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61C334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163</w:t>
                  </w:r>
                </w:p>
              </w:tc>
              <w:tc>
                <w:tcPr>
                  <w:tcW w:w="1214" w:type="pct"/>
                  <w:tcBorders>
                    <w:tl2br w:val="nil"/>
                    <w:tr2bl w:val="nil"/>
                  </w:tcBorders>
                  <w:vAlign w:val="center"/>
                </w:tcPr>
                <w:p w14:paraId="3419B62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K54+256</w:t>
                  </w:r>
                </w:p>
              </w:tc>
              <w:tc>
                <w:tcPr>
                  <w:tcW w:w="956" w:type="pct"/>
                  <w:tcBorders>
                    <w:tl2br w:val="nil"/>
                    <w:tr2bl w:val="nil"/>
                  </w:tcBorders>
                  <w:vAlign w:val="center"/>
                </w:tcPr>
                <w:p w14:paraId="4CFEBFF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77D8F25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6095488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7133C888">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3190997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DBE0FA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164</w:t>
                  </w:r>
                </w:p>
              </w:tc>
              <w:tc>
                <w:tcPr>
                  <w:tcW w:w="1214" w:type="pct"/>
                  <w:tcBorders>
                    <w:tl2br w:val="nil"/>
                    <w:tr2bl w:val="nil"/>
                  </w:tcBorders>
                  <w:vAlign w:val="center"/>
                </w:tcPr>
                <w:p w14:paraId="5B2F9E4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K54+775</w:t>
                  </w:r>
                </w:p>
              </w:tc>
              <w:tc>
                <w:tcPr>
                  <w:tcW w:w="956" w:type="pct"/>
                  <w:tcBorders>
                    <w:tl2br w:val="nil"/>
                    <w:tr2bl w:val="nil"/>
                  </w:tcBorders>
                  <w:vAlign w:val="center"/>
                </w:tcPr>
                <w:p w14:paraId="586794A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机耕路</w:t>
                  </w:r>
                </w:p>
              </w:tc>
              <w:tc>
                <w:tcPr>
                  <w:tcW w:w="956" w:type="pct"/>
                  <w:tcBorders>
                    <w:tl2br w:val="nil"/>
                    <w:tr2bl w:val="nil"/>
                  </w:tcBorders>
                  <w:vAlign w:val="center"/>
                </w:tcPr>
                <w:p w14:paraId="5C69D17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等外</w:t>
                  </w:r>
                </w:p>
              </w:tc>
              <w:tc>
                <w:tcPr>
                  <w:tcW w:w="830" w:type="pct"/>
                  <w:tcBorders>
                    <w:tl2br w:val="nil"/>
                    <w:tr2bl w:val="nil"/>
                  </w:tcBorders>
                  <w:vAlign w:val="center"/>
                </w:tcPr>
                <w:p w14:paraId="773D985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6</w:t>
                  </w:r>
                </w:p>
              </w:tc>
              <w:tc>
                <w:tcPr>
                  <w:tcW w:w="704" w:type="pct"/>
                  <w:tcBorders>
                    <w:tl2br w:val="nil"/>
                    <w:tr2bl w:val="nil"/>
                  </w:tcBorders>
                  <w:vAlign w:val="center"/>
                </w:tcPr>
                <w:p w14:paraId="44A89C0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丁字</w:t>
                  </w:r>
                </w:p>
              </w:tc>
            </w:tr>
            <w:tr w14:paraId="1430D6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3EC230F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165</w:t>
                  </w:r>
                </w:p>
              </w:tc>
              <w:tc>
                <w:tcPr>
                  <w:tcW w:w="1214" w:type="pct"/>
                  <w:tcBorders>
                    <w:tl2br w:val="nil"/>
                    <w:tr2bl w:val="nil"/>
                  </w:tcBorders>
                  <w:vAlign w:val="center"/>
                </w:tcPr>
                <w:p w14:paraId="438DE76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K54+780</w:t>
                  </w:r>
                </w:p>
              </w:tc>
              <w:tc>
                <w:tcPr>
                  <w:tcW w:w="956" w:type="pct"/>
                  <w:tcBorders>
                    <w:tl2br w:val="nil"/>
                    <w:tr2bl w:val="nil"/>
                  </w:tcBorders>
                  <w:vAlign w:val="center"/>
                </w:tcPr>
                <w:p w14:paraId="280B962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0464EB9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1D5130F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3.5</w:t>
                  </w:r>
                </w:p>
              </w:tc>
              <w:tc>
                <w:tcPr>
                  <w:tcW w:w="704" w:type="pct"/>
                  <w:tcBorders>
                    <w:tl2br w:val="nil"/>
                    <w:tr2bl w:val="nil"/>
                  </w:tcBorders>
                  <w:vAlign w:val="center"/>
                </w:tcPr>
                <w:p w14:paraId="477D536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67E7F4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337" w:type="pct"/>
                  <w:tcBorders>
                    <w:tl2br w:val="nil"/>
                    <w:tr2bl w:val="nil"/>
                  </w:tcBorders>
                  <w:vAlign w:val="center"/>
                </w:tcPr>
                <w:p w14:paraId="3075DAB0">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166</w:t>
                  </w:r>
                </w:p>
              </w:tc>
              <w:tc>
                <w:tcPr>
                  <w:tcW w:w="1214" w:type="pct"/>
                  <w:tcBorders>
                    <w:tl2br w:val="nil"/>
                    <w:tr2bl w:val="nil"/>
                  </w:tcBorders>
                  <w:vAlign w:val="center"/>
                </w:tcPr>
                <w:p w14:paraId="69FCD98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K54+934</w:t>
                  </w:r>
                </w:p>
              </w:tc>
              <w:tc>
                <w:tcPr>
                  <w:tcW w:w="956" w:type="pct"/>
                  <w:tcBorders>
                    <w:tl2br w:val="nil"/>
                    <w:tr2bl w:val="nil"/>
                  </w:tcBorders>
                  <w:vAlign w:val="center"/>
                </w:tcPr>
                <w:p w14:paraId="64367FF4">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7CA886B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682B9F9A">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4</w:t>
                  </w:r>
                </w:p>
              </w:tc>
              <w:tc>
                <w:tcPr>
                  <w:tcW w:w="704" w:type="pct"/>
                  <w:tcBorders>
                    <w:tl2br w:val="nil"/>
                    <w:tr2bl w:val="nil"/>
                  </w:tcBorders>
                  <w:vAlign w:val="center"/>
                </w:tcPr>
                <w:p w14:paraId="6F416AB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r w14:paraId="2A93C5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337" w:type="pct"/>
                  <w:tcBorders>
                    <w:tl2br w:val="nil"/>
                    <w:tr2bl w:val="nil"/>
                  </w:tcBorders>
                  <w:vAlign w:val="center"/>
                </w:tcPr>
                <w:p w14:paraId="1251852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167</w:t>
                  </w:r>
                </w:p>
              </w:tc>
              <w:tc>
                <w:tcPr>
                  <w:tcW w:w="1214" w:type="pct"/>
                  <w:tcBorders>
                    <w:tl2br w:val="nil"/>
                    <w:tr2bl w:val="nil"/>
                  </w:tcBorders>
                  <w:vAlign w:val="center"/>
                </w:tcPr>
                <w:p w14:paraId="2EB3249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K55+095</w:t>
                  </w:r>
                </w:p>
              </w:tc>
              <w:tc>
                <w:tcPr>
                  <w:tcW w:w="956" w:type="pct"/>
                  <w:tcBorders>
                    <w:tl2br w:val="nil"/>
                    <w:tr2bl w:val="nil"/>
                  </w:tcBorders>
                  <w:vAlign w:val="center"/>
                </w:tcPr>
                <w:p w14:paraId="28EFA0E3">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通村路</w:t>
                  </w:r>
                </w:p>
              </w:tc>
              <w:tc>
                <w:tcPr>
                  <w:tcW w:w="956" w:type="pct"/>
                  <w:tcBorders>
                    <w:tl2br w:val="nil"/>
                    <w:tr2bl w:val="nil"/>
                  </w:tcBorders>
                  <w:vAlign w:val="center"/>
                </w:tcPr>
                <w:p w14:paraId="3E21B9CF">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四级</w:t>
                  </w:r>
                </w:p>
              </w:tc>
              <w:tc>
                <w:tcPr>
                  <w:tcW w:w="830" w:type="pct"/>
                  <w:tcBorders>
                    <w:tl2br w:val="nil"/>
                    <w:tr2bl w:val="nil"/>
                  </w:tcBorders>
                  <w:vAlign w:val="center"/>
                </w:tcPr>
                <w:p w14:paraId="59443106">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5</w:t>
                  </w:r>
                </w:p>
              </w:tc>
              <w:tc>
                <w:tcPr>
                  <w:tcW w:w="704" w:type="pct"/>
                  <w:tcBorders>
                    <w:tl2br w:val="nil"/>
                    <w:tr2bl w:val="nil"/>
                  </w:tcBorders>
                  <w:vAlign w:val="center"/>
                </w:tcPr>
                <w:p w14:paraId="2A33157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十字</w:t>
                  </w:r>
                </w:p>
              </w:tc>
            </w:tr>
          </w:tbl>
          <w:p w14:paraId="1FE3A369">
            <w:pPr>
              <w:ind w:firstLine="480"/>
              <w:rPr>
                <w:rFonts w:hint="eastAsia"/>
                <w:color w:val="auto"/>
              </w:rPr>
            </w:pPr>
            <w:r>
              <w:rPr>
                <w:rFonts w:hint="eastAsia"/>
                <w:color w:val="auto"/>
                <w:lang w:eastAsia="zh-CN"/>
              </w:rPr>
              <w:t>（</w:t>
            </w:r>
            <w:r>
              <w:rPr>
                <w:rFonts w:hint="eastAsia"/>
                <w:color w:val="auto"/>
                <w:lang w:val="en-US" w:eastAsia="zh-CN"/>
              </w:rPr>
              <w:t>8</w:t>
            </w:r>
            <w:r>
              <w:rPr>
                <w:rFonts w:hint="eastAsia"/>
                <w:color w:val="auto"/>
                <w:lang w:eastAsia="zh-CN"/>
              </w:rPr>
              <w:t>）</w:t>
            </w:r>
            <w:r>
              <w:rPr>
                <w:rFonts w:hint="eastAsia"/>
                <w:color w:val="auto"/>
              </w:rPr>
              <w:t>交通工程及沿线设施</w:t>
            </w:r>
          </w:p>
          <w:p w14:paraId="14F04F60">
            <w:pPr>
              <w:ind w:firstLine="480"/>
              <w:rPr>
                <w:rFonts w:hint="eastAsia"/>
                <w:color w:val="auto"/>
              </w:rPr>
            </w:pPr>
            <w:r>
              <w:rPr>
                <w:rFonts w:hint="eastAsia"/>
                <w:color w:val="auto"/>
              </w:rPr>
              <w:t>本项目建成通车后，为确保行车与行人安全，特别为防止车辆驶出公路外，并对驾驶员视线起诱导作用，项目沿线应设置必要的交通标志、路面标线、路侧护栏等安全设施，其设置原则均按国家相关规范执行。</w:t>
            </w:r>
          </w:p>
          <w:p w14:paraId="7844444D">
            <w:pPr>
              <w:ind w:firstLine="480"/>
              <w:rPr>
                <w:rFonts w:hint="eastAsia"/>
                <w:color w:val="auto"/>
              </w:rPr>
            </w:pPr>
            <w:r>
              <w:rPr>
                <w:rFonts w:hint="eastAsia"/>
                <w:color w:val="auto"/>
              </w:rPr>
              <w:t>标志：路线相接、相交路口的指路标志，地名标志，经过村屯乡镇的限速标志等。</w:t>
            </w:r>
          </w:p>
          <w:p w14:paraId="58BCB852">
            <w:pPr>
              <w:ind w:firstLine="480"/>
              <w:rPr>
                <w:rFonts w:hint="eastAsia"/>
                <w:color w:val="auto"/>
              </w:rPr>
            </w:pPr>
            <w:r>
              <w:rPr>
                <w:rFonts w:hint="eastAsia"/>
                <w:color w:val="auto"/>
              </w:rPr>
              <w:t>标线：包括车道边缘线、车道分界线等完整的标线系统，标线采用热熔型反光涂料。</w:t>
            </w:r>
          </w:p>
          <w:p w14:paraId="5B380101">
            <w:pPr>
              <w:ind w:firstLine="480"/>
              <w:rPr>
                <w:rFonts w:hint="eastAsia"/>
                <w:color w:val="auto"/>
              </w:rPr>
            </w:pPr>
            <w:r>
              <w:rPr>
                <w:rFonts w:hint="eastAsia"/>
                <w:color w:val="auto"/>
              </w:rPr>
              <w:t>轮廓标：轮廓标在公路两侧对称设置，曲线段设置间距根据圆曲线半径大小确定，设置方式为柱式和附着式。</w:t>
            </w:r>
          </w:p>
          <w:p w14:paraId="49651B1E">
            <w:pPr>
              <w:ind w:firstLine="480"/>
              <w:rPr>
                <w:rFonts w:hint="eastAsia"/>
                <w:color w:val="auto"/>
              </w:rPr>
            </w:pPr>
            <w:r>
              <w:rPr>
                <w:rFonts w:hint="eastAsia"/>
                <w:color w:val="auto"/>
                <w:lang w:val="en-US" w:eastAsia="zh-CN"/>
              </w:rPr>
              <w:t>3、</w:t>
            </w:r>
            <w:r>
              <w:rPr>
                <w:rFonts w:hint="eastAsia"/>
                <w:color w:val="auto"/>
              </w:rPr>
              <w:t>工程占地</w:t>
            </w:r>
          </w:p>
          <w:p w14:paraId="5C193813">
            <w:pPr>
              <w:widowControl w:val="0"/>
              <w:spacing w:line="360" w:lineRule="auto"/>
              <w:ind w:left="0" w:leftChars="0" w:firstLine="480" w:firstLineChars="200"/>
              <w:jc w:val="both"/>
              <w:rPr>
                <w:rFonts w:ascii="Times New Roman" w:hAnsi="Times New Roman" w:eastAsia="宋体" w:cs="Times New Roman"/>
                <w:color w:val="auto"/>
                <w:kern w:val="2"/>
                <w:sz w:val="24"/>
                <w:szCs w:val="32"/>
                <w:lang w:val="en-US" w:eastAsia="zh-CN" w:bidi="ar-SA"/>
              </w:rPr>
            </w:pPr>
            <w:r>
              <w:rPr>
                <w:rFonts w:hint="eastAsia" w:ascii="Times New Roman" w:hAnsi="Times New Roman" w:eastAsia="宋体" w:cs="Times New Roman"/>
                <w:color w:val="auto"/>
                <w:kern w:val="2"/>
                <w:sz w:val="24"/>
                <w:szCs w:val="32"/>
                <w:lang w:val="en-US" w:eastAsia="zh-CN" w:bidi="ar-SA"/>
              </w:rPr>
              <w:t>（1）永久占地</w:t>
            </w:r>
          </w:p>
          <w:p w14:paraId="06CFCA28">
            <w:pPr>
              <w:widowControl w:val="0"/>
              <w:spacing w:line="360" w:lineRule="auto"/>
              <w:ind w:left="0" w:leftChars="0" w:firstLine="480" w:firstLineChars="200"/>
              <w:jc w:val="both"/>
              <w:rPr>
                <w:rFonts w:hint="eastAsia" w:eastAsia="宋体"/>
                <w:color w:val="auto"/>
                <w:highlight w:val="none"/>
                <w:lang w:eastAsia="zh-CN"/>
              </w:rPr>
            </w:pPr>
            <w:r>
              <w:rPr>
                <w:color w:val="auto"/>
              </w:rPr>
              <w:t>根据设计单位提供的设计文件，</w:t>
            </w:r>
            <w:r>
              <w:rPr>
                <w:rFonts w:hint="default"/>
                <w:color w:val="auto"/>
                <w:highlight w:val="none"/>
              </w:rPr>
              <w:t>本项目永久占地</w:t>
            </w:r>
            <w:r>
              <w:rPr>
                <w:rFonts w:hint="eastAsia"/>
                <w:color w:val="auto"/>
                <w:highlight w:val="none"/>
                <w:lang w:val="en-US" w:eastAsia="zh-CN"/>
              </w:rPr>
              <w:t>53.7944</w:t>
            </w:r>
            <w:r>
              <w:rPr>
                <w:rFonts w:hint="default"/>
                <w:color w:val="auto"/>
                <w:highlight w:val="none"/>
              </w:rPr>
              <w:t>hm</w:t>
            </w:r>
            <w:r>
              <w:rPr>
                <w:rFonts w:hint="default"/>
                <w:color w:val="auto"/>
                <w:highlight w:val="none"/>
                <w:vertAlign w:val="superscript"/>
              </w:rPr>
              <w:t>2</w:t>
            </w:r>
            <w:r>
              <w:rPr>
                <w:rFonts w:hint="default"/>
                <w:color w:val="auto"/>
                <w:highlight w:val="none"/>
              </w:rPr>
              <w:t>，全部为旧路，不新增永久占地</w:t>
            </w:r>
            <w:r>
              <w:rPr>
                <w:rFonts w:hint="eastAsia"/>
                <w:color w:val="auto"/>
                <w:highlight w:val="none"/>
                <w:lang w:eastAsia="zh-CN"/>
              </w:rPr>
              <w:t>。</w:t>
            </w:r>
          </w:p>
          <w:p w14:paraId="59D37233">
            <w:pPr>
              <w:widowControl w:val="0"/>
              <w:spacing w:line="360" w:lineRule="auto"/>
              <w:ind w:left="0" w:leftChars="0" w:firstLine="480" w:firstLineChars="200"/>
              <w:jc w:val="both"/>
              <w:rPr>
                <w:rFonts w:ascii="Times New Roman" w:hAnsi="Times New Roman" w:eastAsia="宋体" w:cs="Times New Roman"/>
                <w:color w:val="auto"/>
                <w:kern w:val="2"/>
                <w:sz w:val="24"/>
                <w:szCs w:val="32"/>
                <w:lang w:val="en-US" w:eastAsia="zh-CN" w:bidi="ar-SA"/>
              </w:rPr>
            </w:pPr>
            <w:r>
              <w:rPr>
                <w:rFonts w:hint="eastAsia" w:ascii="Times New Roman" w:hAnsi="Times New Roman" w:eastAsia="宋体" w:cs="Times New Roman"/>
                <w:color w:val="auto"/>
                <w:kern w:val="2"/>
                <w:sz w:val="24"/>
                <w:szCs w:val="32"/>
                <w:lang w:val="en-US" w:eastAsia="zh-CN" w:bidi="ar-SA"/>
              </w:rPr>
              <w:t>（2）临时占地</w:t>
            </w:r>
          </w:p>
          <w:p w14:paraId="44EAFC9A">
            <w:pPr>
              <w:widowControl w:val="0"/>
              <w:spacing w:line="360" w:lineRule="auto"/>
              <w:ind w:left="0" w:leftChars="0" w:firstLine="480" w:firstLineChars="200"/>
              <w:jc w:val="both"/>
              <w:rPr>
                <w:rFonts w:ascii="Times New Roman" w:hAnsi="Times New Roman" w:eastAsia="宋体" w:cs="Times New Roman"/>
                <w:color w:val="auto"/>
                <w:kern w:val="2"/>
                <w:sz w:val="24"/>
                <w:szCs w:val="32"/>
                <w:highlight w:val="none"/>
                <w:lang w:val="en-US" w:eastAsia="zh-CN" w:bidi="ar-SA"/>
              </w:rPr>
            </w:pPr>
            <w:r>
              <w:rPr>
                <w:color w:val="auto"/>
              </w:rPr>
              <w:t>本项目</w:t>
            </w:r>
            <w:r>
              <w:rPr>
                <w:rFonts w:hint="eastAsia"/>
                <w:color w:val="auto"/>
              </w:rPr>
              <w:t>无弃方，</w:t>
            </w:r>
            <w:r>
              <w:rPr>
                <w:rFonts w:hint="eastAsia"/>
                <w:color w:val="auto"/>
                <w:szCs w:val="21"/>
                <w:highlight w:val="none"/>
              </w:rPr>
              <w:t>土方采用外购方式，不设置取</w:t>
            </w:r>
            <w:r>
              <w:rPr>
                <w:rFonts w:hint="eastAsia"/>
                <w:color w:val="auto"/>
                <w:szCs w:val="21"/>
                <w:highlight w:val="none"/>
                <w:lang w:eastAsia="zh-CN"/>
              </w:rPr>
              <w:t>、弃</w:t>
            </w:r>
            <w:r>
              <w:rPr>
                <w:rFonts w:hint="eastAsia"/>
                <w:color w:val="auto"/>
                <w:szCs w:val="21"/>
                <w:highlight w:val="none"/>
              </w:rPr>
              <w:t>土场；本项目</w:t>
            </w:r>
            <w:r>
              <w:rPr>
                <w:rFonts w:hint="eastAsia"/>
                <w:color w:val="auto"/>
                <w:szCs w:val="21"/>
                <w:highlight w:val="none"/>
                <w:lang w:eastAsia="zh-CN"/>
              </w:rPr>
              <w:t>堆料场</w:t>
            </w:r>
            <w:r>
              <w:rPr>
                <w:rFonts w:hint="eastAsia"/>
                <w:color w:val="auto"/>
                <w:szCs w:val="21"/>
                <w:highlight w:val="none"/>
              </w:rPr>
              <w:t>设置在永久占地范围内；</w:t>
            </w:r>
            <w:r>
              <w:rPr>
                <w:rFonts w:hint="eastAsia"/>
                <w:color w:val="auto"/>
                <w:szCs w:val="21"/>
                <w:highlight w:val="none"/>
                <w:lang w:eastAsia="zh-CN"/>
              </w:rPr>
              <w:t>本项目</w:t>
            </w:r>
            <w:r>
              <w:rPr>
                <w:rFonts w:hint="eastAsia" w:cs="Times New Roman"/>
                <w:color w:val="auto"/>
                <w:highlight w:val="none"/>
                <w:vertAlign w:val="baseline"/>
                <w:lang w:eastAsia="zh-CN"/>
              </w:rPr>
              <w:t>施</w:t>
            </w:r>
            <w:r>
              <w:rPr>
                <w:rFonts w:hint="eastAsia"/>
                <w:color w:val="auto"/>
                <w:highlight w:val="none"/>
              </w:rPr>
              <w:t>工便道占地面积</w:t>
            </w:r>
            <w:r>
              <w:rPr>
                <w:rFonts w:hint="eastAsia" w:cs="Times New Roman"/>
                <w:color w:val="auto"/>
                <w:highlight w:val="none"/>
                <w:lang w:val="en-US" w:eastAsia="zh-CN"/>
              </w:rPr>
              <w:t>1800m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val="en-US" w:eastAsia="zh-CN"/>
              </w:rPr>
              <w:t>（</w:t>
            </w:r>
            <w:r>
              <w:rPr>
                <w:rFonts w:hint="eastAsia"/>
                <w:color w:val="auto"/>
                <w:highlight w:val="none"/>
                <w:lang w:eastAsia="zh-CN"/>
              </w:rPr>
              <w:t>便道</w:t>
            </w:r>
            <w:r>
              <w:rPr>
                <w:rFonts w:hint="eastAsia"/>
                <w:color w:val="auto"/>
                <w:highlight w:val="none"/>
              </w:rPr>
              <w:t>总长</w:t>
            </w:r>
            <w:r>
              <w:rPr>
                <w:rFonts w:hint="eastAsia"/>
                <w:color w:val="auto"/>
                <w:highlight w:val="none"/>
                <w:lang w:val="en-US" w:eastAsia="zh-CN"/>
              </w:rPr>
              <w:t>400m</w:t>
            </w:r>
            <w:r>
              <w:rPr>
                <w:rFonts w:hint="eastAsia"/>
                <w:color w:val="auto"/>
                <w:highlight w:val="none"/>
              </w:rPr>
              <w:t>，宽度为</w:t>
            </w:r>
            <w:r>
              <w:rPr>
                <w:rFonts w:hint="eastAsia"/>
                <w:color w:val="auto"/>
                <w:highlight w:val="none"/>
                <w:lang w:val="en-US" w:eastAsia="zh-CN"/>
              </w:rPr>
              <w:t>4.5</w:t>
            </w:r>
            <w:r>
              <w:rPr>
                <w:rFonts w:hint="eastAsia"/>
                <w:color w:val="auto"/>
                <w:highlight w:val="none"/>
              </w:rPr>
              <w:t>m</w:t>
            </w:r>
            <w:r>
              <w:rPr>
                <w:rFonts w:hint="eastAsia" w:cs="Times New Roman"/>
                <w:color w:val="auto"/>
                <w:highlight w:val="none"/>
                <w:vertAlign w:val="baseline"/>
                <w:lang w:val="en-US" w:eastAsia="zh-CN"/>
              </w:rPr>
              <w:t>），</w:t>
            </w:r>
            <w:r>
              <w:rPr>
                <w:rFonts w:hint="eastAsia" w:cs="Times New Roman"/>
                <w:color w:val="auto"/>
                <w:highlight w:val="none"/>
                <w:vertAlign w:val="baseline"/>
                <w:lang w:eastAsia="zh-CN"/>
              </w:rPr>
              <w:t>占地类</w:t>
            </w:r>
            <w:r>
              <w:rPr>
                <w:rFonts w:hint="eastAsia" w:cs="Times New Roman"/>
                <w:color w:val="auto"/>
                <w:sz w:val="24"/>
                <w:szCs w:val="24"/>
                <w:highlight w:val="none"/>
                <w:vertAlign w:val="baseline"/>
                <w:lang w:eastAsia="zh-CN"/>
              </w:rPr>
              <w:t>型为</w:t>
            </w:r>
            <w:r>
              <w:rPr>
                <w:rFonts w:hint="eastAsia" w:cs="Times New Roman"/>
                <w:bCs/>
                <w:color w:val="auto"/>
                <w:kern w:val="2"/>
                <w:sz w:val="24"/>
                <w:szCs w:val="24"/>
                <w:highlight w:val="none"/>
                <w:lang w:val="en-US" w:eastAsia="zh-CN" w:bidi="ar-SA"/>
              </w:rPr>
              <w:t>公路用地，位于永久占地范围内；</w:t>
            </w:r>
            <w:r>
              <w:rPr>
                <w:rFonts w:hint="eastAsia"/>
                <w:color w:val="auto"/>
                <w:szCs w:val="21"/>
                <w:highlight w:val="none"/>
              </w:rPr>
              <w:t>本工程不设置施工驻地，施工人员食宿租赁附近民宅</w:t>
            </w:r>
            <w:r>
              <w:rPr>
                <w:rFonts w:hint="eastAsia"/>
                <w:color w:val="auto"/>
                <w:sz w:val="24"/>
                <w:szCs w:val="24"/>
                <w:highlight w:val="none"/>
                <w:lang w:eastAsia="zh-CN"/>
              </w:rPr>
              <w:t>。</w:t>
            </w:r>
            <w:r>
              <w:rPr>
                <w:rFonts w:hint="eastAsia"/>
                <w:color w:val="auto"/>
                <w:highlight w:val="none"/>
              </w:rPr>
              <w:t>项目</w:t>
            </w:r>
            <w:r>
              <w:rPr>
                <w:rFonts w:hint="eastAsia"/>
                <w:color w:val="auto"/>
                <w:highlight w:val="none"/>
                <w:lang w:eastAsia="zh-CN"/>
              </w:rPr>
              <w:t>临时占地为</w:t>
            </w:r>
            <w:r>
              <w:rPr>
                <w:rFonts w:hint="eastAsia"/>
                <w:color w:val="auto"/>
                <w:highlight w:val="none"/>
                <w:lang w:val="en-US" w:eastAsia="zh-CN"/>
              </w:rPr>
              <w:t>1处施工场地，施工场地</w:t>
            </w:r>
            <w:r>
              <w:rPr>
                <w:rFonts w:hint="eastAsia"/>
                <w:color w:val="auto"/>
                <w:lang w:eastAsia="zh-CN"/>
              </w:rPr>
              <w:t>设置基层、面层拌和站，</w:t>
            </w:r>
            <w:r>
              <w:rPr>
                <w:rFonts w:hint="eastAsia"/>
                <w:color w:val="auto"/>
                <w:highlight w:val="none"/>
                <w:lang w:val="en-US" w:eastAsia="zh-CN"/>
              </w:rPr>
              <w:t>占地面积4022</w:t>
            </w:r>
            <w:r>
              <w:rPr>
                <w:rFonts w:hint="eastAsia" w:ascii="Times New Roman" w:hAnsi="Times New Roman" w:eastAsia="宋体" w:cs="Times New Roman"/>
                <w:color w:val="auto"/>
                <w:highlight w:val="none"/>
              </w:rPr>
              <w:t>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eastAsia="zh-CN"/>
              </w:rPr>
              <w:t>，占地类型为</w:t>
            </w:r>
            <w:r>
              <w:rPr>
                <w:rFonts w:hint="eastAsia" w:cs="Times New Roman"/>
                <w:color w:val="auto"/>
                <w:highlight w:val="none"/>
                <w:vertAlign w:val="baseline"/>
                <w:lang w:val="en-US" w:eastAsia="zh-CN"/>
              </w:rPr>
              <w:t>设施农用地、裸土地，</w:t>
            </w:r>
            <w:r>
              <w:rPr>
                <w:rFonts w:ascii="宋体" w:hAnsi="宋体" w:eastAsia="宋体" w:cs="宋体"/>
                <w:color w:val="auto"/>
                <w:sz w:val="24"/>
                <w:szCs w:val="24"/>
              </w:rPr>
              <w:t>为临时租用地块，地表无植被覆盖</w:t>
            </w:r>
            <w:r>
              <w:rPr>
                <w:rFonts w:hint="eastAsia" w:ascii="宋体" w:hAnsi="宋体" w:cs="宋体"/>
                <w:color w:val="auto"/>
                <w:sz w:val="24"/>
                <w:szCs w:val="24"/>
                <w:lang w:eastAsia="zh-CN"/>
              </w:rPr>
              <w:t>，</w:t>
            </w:r>
            <w:r>
              <w:rPr>
                <w:rFonts w:ascii="宋体" w:hAnsi="宋体" w:eastAsia="宋体" w:cs="宋体"/>
                <w:color w:val="auto"/>
                <w:sz w:val="24"/>
                <w:szCs w:val="24"/>
              </w:rPr>
              <w:t>地块无耕地及有效耕作层，不符合表土剥离实施条件，因此无需开展表土剥离工作</w:t>
            </w:r>
            <w:r>
              <w:rPr>
                <w:rFonts w:hint="eastAsia" w:cs="Times New Roman"/>
                <w:color w:val="auto"/>
                <w:highlight w:val="none"/>
                <w:vertAlign w:val="baseline"/>
                <w:lang w:val="en-US" w:eastAsia="zh-CN"/>
              </w:rPr>
              <w:t>。</w:t>
            </w:r>
            <w:r>
              <w:rPr>
                <w:rFonts w:hint="eastAsia" w:ascii="Times New Roman" w:hAnsi="Times New Roman" w:eastAsia="宋体" w:cs="Times New Roman"/>
                <w:color w:val="auto"/>
                <w:kern w:val="2"/>
                <w:sz w:val="24"/>
                <w:szCs w:val="32"/>
                <w:highlight w:val="none"/>
                <w:lang w:val="en-US" w:eastAsia="zh-CN" w:bidi="ar-SA"/>
              </w:rPr>
              <w:t>项目临时占地信息见表2-</w:t>
            </w:r>
            <w:r>
              <w:rPr>
                <w:rFonts w:ascii="Times New Roman" w:hAnsi="Times New Roman" w:eastAsia="宋体" w:cs="Times New Roman"/>
                <w:color w:val="auto"/>
                <w:kern w:val="2"/>
                <w:sz w:val="24"/>
                <w:szCs w:val="32"/>
                <w:highlight w:val="none"/>
                <w:lang w:val="en-US" w:eastAsia="zh-CN" w:bidi="ar-SA"/>
              </w:rPr>
              <w:t>1</w:t>
            </w:r>
            <w:r>
              <w:rPr>
                <w:rFonts w:hint="eastAsia" w:cs="Times New Roman"/>
                <w:color w:val="auto"/>
                <w:kern w:val="2"/>
                <w:sz w:val="24"/>
                <w:szCs w:val="32"/>
                <w:highlight w:val="none"/>
                <w:lang w:val="en-US" w:eastAsia="zh-CN" w:bidi="ar-SA"/>
              </w:rPr>
              <w:t>2</w:t>
            </w:r>
            <w:r>
              <w:rPr>
                <w:rFonts w:hint="eastAsia" w:ascii="Times New Roman" w:hAnsi="Times New Roman" w:eastAsia="宋体" w:cs="Times New Roman"/>
                <w:color w:val="auto"/>
                <w:kern w:val="2"/>
                <w:sz w:val="24"/>
                <w:szCs w:val="32"/>
                <w:highlight w:val="none"/>
                <w:lang w:val="en-US" w:eastAsia="zh-CN" w:bidi="ar-SA"/>
              </w:rPr>
              <w:t>。</w:t>
            </w:r>
          </w:p>
          <w:p w14:paraId="327F5788">
            <w:pPr>
              <w:widowControl w:val="0"/>
              <w:spacing w:line="360" w:lineRule="auto"/>
              <w:jc w:val="center"/>
              <w:rPr>
                <w:rFonts w:hint="default" w:ascii="Times New Roman" w:hAnsi="Times New Roman" w:eastAsia="黑体" w:cs="Times New Roman"/>
                <w:color w:val="auto"/>
                <w:kern w:val="2"/>
                <w:sz w:val="24"/>
                <w:szCs w:val="24"/>
                <w:highlight w:val="none"/>
                <w:vertAlign w:val="superscript"/>
                <w:lang w:val="en-US" w:eastAsia="zh-CN" w:bidi="ar-SA"/>
              </w:rPr>
            </w:pPr>
            <w:r>
              <w:rPr>
                <w:rFonts w:hint="eastAsia" w:ascii="Times New Roman" w:hAnsi="Times New Roman" w:eastAsia="黑体" w:cs="Times New Roman"/>
                <w:color w:val="auto"/>
                <w:kern w:val="2"/>
                <w:sz w:val="24"/>
                <w:szCs w:val="24"/>
                <w:highlight w:val="none"/>
                <w:lang w:val="en-US" w:eastAsia="zh-CN" w:bidi="ar-SA"/>
              </w:rPr>
              <w:t>表2-1</w:t>
            </w:r>
            <w:r>
              <w:rPr>
                <w:rFonts w:hint="eastAsia" w:eastAsia="黑体" w:cs="Times New Roman"/>
                <w:color w:val="auto"/>
                <w:kern w:val="2"/>
                <w:sz w:val="24"/>
                <w:szCs w:val="24"/>
                <w:highlight w:val="none"/>
                <w:lang w:val="en-US" w:eastAsia="zh-CN" w:bidi="ar-SA"/>
              </w:rPr>
              <w:t>2</w:t>
            </w:r>
            <w:r>
              <w:rPr>
                <w:rFonts w:hint="eastAsia" w:ascii="Times New Roman" w:hAnsi="Times New Roman" w:eastAsia="黑体" w:cs="Times New Roman"/>
                <w:color w:val="auto"/>
                <w:kern w:val="2"/>
                <w:sz w:val="24"/>
                <w:szCs w:val="24"/>
                <w:highlight w:val="none"/>
                <w:lang w:val="en-US" w:eastAsia="zh-CN" w:bidi="ar-SA"/>
              </w:rPr>
              <w:t xml:space="preserve">  新增临时占地情况</w:t>
            </w:r>
          </w:p>
          <w:tbl>
            <w:tblPr>
              <w:tblStyle w:val="1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64"/>
              <w:gridCol w:w="1579"/>
              <w:gridCol w:w="2805"/>
              <w:gridCol w:w="2484"/>
            </w:tblGrid>
            <w:tr w14:paraId="3E42EA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40" w:type="pct"/>
                  <w:noWrap w:val="0"/>
                  <w:vAlign w:val="center"/>
                </w:tcPr>
                <w:p w14:paraId="2434C6C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ascii="Times New Roman" w:hAnsi="宋体" w:eastAsia="宋体" w:cs="Times New Roman"/>
                      <w:bCs/>
                      <w:color w:val="auto"/>
                      <w:kern w:val="2"/>
                      <w:sz w:val="21"/>
                      <w:szCs w:val="21"/>
                      <w:highlight w:val="none"/>
                      <w:lang w:val="en-US" w:eastAsia="zh-CN" w:bidi="ar-SA"/>
                    </w:rPr>
                    <w:t>序号</w:t>
                  </w:r>
                </w:p>
              </w:tc>
              <w:tc>
                <w:tcPr>
                  <w:tcW w:w="1048" w:type="pct"/>
                  <w:noWrap w:val="0"/>
                  <w:vAlign w:val="center"/>
                </w:tcPr>
                <w:p w14:paraId="1F8D7BE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ascii="Times New Roman" w:hAnsi="宋体" w:eastAsia="宋体" w:cs="Times New Roman"/>
                      <w:bCs/>
                      <w:color w:val="auto"/>
                      <w:kern w:val="2"/>
                      <w:sz w:val="21"/>
                      <w:szCs w:val="21"/>
                      <w:highlight w:val="none"/>
                      <w:lang w:val="en-US" w:eastAsia="zh-CN" w:bidi="ar-SA"/>
                    </w:rPr>
                    <w:t>名称</w:t>
                  </w:r>
                </w:p>
              </w:tc>
              <w:tc>
                <w:tcPr>
                  <w:tcW w:w="1862" w:type="pct"/>
                  <w:noWrap w:val="0"/>
                  <w:vAlign w:val="center"/>
                </w:tcPr>
                <w:p w14:paraId="06C0F8E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ascii="Times New Roman" w:hAnsi="宋体" w:eastAsia="宋体" w:cs="Times New Roman"/>
                      <w:bCs/>
                      <w:color w:val="auto"/>
                      <w:kern w:val="2"/>
                      <w:sz w:val="21"/>
                      <w:szCs w:val="21"/>
                      <w:highlight w:val="none"/>
                      <w:lang w:val="en-US" w:eastAsia="zh-CN" w:bidi="ar-SA"/>
                    </w:rPr>
                    <w:t>土地利用类型</w:t>
                  </w:r>
                </w:p>
              </w:tc>
              <w:tc>
                <w:tcPr>
                  <w:tcW w:w="1648" w:type="pct"/>
                  <w:noWrap w:val="0"/>
                  <w:vAlign w:val="center"/>
                </w:tcPr>
                <w:p w14:paraId="137895E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ascii="Times New Roman" w:hAnsi="宋体" w:eastAsia="宋体" w:cs="Times New Roman"/>
                      <w:bCs/>
                      <w:color w:val="auto"/>
                      <w:kern w:val="2"/>
                      <w:sz w:val="21"/>
                      <w:szCs w:val="21"/>
                      <w:highlight w:val="none"/>
                      <w:lang w:val="en-US" w:eastAsia="zh-CN" w:bidi="ar-SA"/>
                    </w:rPr>
                    <w:t>面积（</w:t>
                  </w:r>
                  <w:r>
                    <w:rPr>
                      <w:rFonts w:hint="eastAsia" w:hAnsi="宋体" w:cs="Times New Roman"/>
                      <w:bCs/>
                      <w:color w:val="auto"/>
                      <w:kern w:val="2"/>
                      <w:sz w:val="21"/>
                      <w:szCs w:val="21"/>
                      <w:highlight w:val="none"/>
                      <w:lang w:val="en-US" w:eastAsia="zh-CN" w:bidi="ar-SA"/>
                    </w:rPr>
                    <w:t>h</w:t>
                  </w:r>
                  <w:r>
                    <w:rPr>
                      <w:rFonts w:ascii="Times New Roman" w:hAnsi="Times New Roman" w:eastAsia="宋体" w:cs="Times New Roman"/>
                      <w:bCs/>
                      <w:color w:val="auto"/>
                      <w:kern w:val="2"/>
                      <w:sz w:val="21"/>
                      <w:szCs w:val="21"/>
                      <w:highlight w:val="none"/>
                      <w:lang w:val="en-US" w:eastAsia="zh-CN" w:bidi="ar-SA"/>
                    </w:rPr>
                    <w:t>m</w:t>
                  </w:r>
                  <w:r>
                    <w:rPr>
                      <w:rFonts w:ascii="Times New Roman" w:hAnsi="Times New Roman" w:eastAsia="宋体" w:cs="Times New Roman"/>
                      <w:bCs/>
                      <w:color w:val="auto"/>
                      <w:kern w:val="2"/>
                      <w:sz w:val="21"/>
                      <w:szCs w:val="21"/>
                      <w:highlight w:val="none"/>
                      <w:vertAlign w:val="superscript"/>
                      <w:lang w:val="en-US" w:eastAsia="zh-CN" w:bidi="ar-SA"/>
                    </w:rPr>
                    <w:t>2</w:t>
                  </w:r>
                  <w:r>
                    <w:rPr>
                      <w:rFonts w:ascii="Times New Roman" w:hAnsi="宋体" w:eastAsia="宋体" w:cs="Times New Roman"/>
                      <w:bCs/>
                      <w:color w:val="auto"/>
                      <w:kern w:val="2"/>
                      <w:sz w:val="21"/>
                      <w:szCs w:val="21"/>
                      <w:highlight w:val="none"/>
                      <w:lang w:val="en-US" w:eastAsia="zh-CN" w:bidi="ar-SA"/>
                    </w:rPr>
                    <w:t>）</w:t>
                  </w:r>
                </w:p>
              </w:tc>
            </w:tr>
            <w:tr w14:paraId="72FAB0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4" w:hRule="atLeast"/>
              </w:trPr>
              <w:tc>
                <w:tcPr>
                  <w:tcW w:w="440" w:type="pct"/>
                  <w:noWrap w:val="0"/>
                  <w:vAlign w:val="center"/>
                </w:tcPr>
                <w:p w14:paraId="3938BA4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cs="Times New Roman"/>
                      <w:bCs/>
                      <w:color w:val="auto"/>
                      <w:kern w:val="2"/>
                      <w:sz w:val="21"/>
                      <w:szCs w:val="21"/>
                      <w:highlight w:val="none"/>
                      <w:lang w:val="en-US" w:eastAsia="zh-CN" w:bidi="ar-SA"/>
                    </w:rPr>
                    <w:t>1</w:t>
                  </w:r>
                </w:p>
              </w:tc>
              <w:tc>
                <w:tcPr>
                  <w:tcW w:w="1048" w:type="pct"/>
                  <w:noWrap w:val="0"/>
                  <w:vAlign w:val="center"/>
                </w:tcPr>
                <w:p w14:paraId="3BCDA83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hint="eastAsia"/>
                      <w:color w:val="auto"/>
                      <w:sz w:val="21"/>
                      <w:szCs w:val="21"/>
                      <w:highlight w:val="none"/>
                      <w:lang w:val="en-US" w:eastAsia="zh-CN"/>
                    </w:rPr>
                    <w:t>施工场地</w:t>
                  </w:r>
                </w:p>
              </w:tc>
              <w:tc>
                <w:tcPr>
                  <w:tcW w:w="1862" w:type="pct"/>
                  <w:noWrap w:val="0"/>
                  <w:vAlign w:val="center"/>
                </w:tcPr>
                <w:p w14:paraId="4342D3E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color w:val="auto"/>
                      <w:sz w:val="21"/>
                      <w:szCs w:val="21"/>
                      <w:highlight w:val="none"/>
                      <w:lang w:val="en-US" w:eastAsia="zh-CN"/>
                    </w:rPr>
                  </w:pPr>
                  <w:r>
                    <w:rPr>
                      <w:rFonts w:hint="eastAsia" w:cs="Times New Roman"/>
                      <w:bCs/>
                      <w:color w:val="auto"/>
                      <w:kern w:val="2"/>
                      <w:sz w:val="21"/>
                      <w:szCs w:val="21"/>
                      <w:highlight w:val="none"/>
                      <w:lang w:val="en-US" w:eastAsia="zh-CN" w:bidi="ar-SA"/>
                    </w:rPr>
                    <w:t>设施农用地、裸土地</w:t>
                  </w:r>
                </w:p>
              </w:tc>
              <w:tc>
                <w:tcPr>
                  <w:tcW w:w="1648" w:type="pct"/>
                  <w:noWrap w:val="0"/>
                  <w:vAlign w:val="center"/>
                </w:tcPr>
                <w:p w14:paraId="77CCEF3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0.4022</w:t>
                  </w:r>
                </w:p>
              </w:tc>
            </w:tr>
            <w:tr w14:paraId="6AC2F3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351" w:type="pct"/>
                  <w:gridSpan w:val="3"/>
                  <w:noWrap w:val="0"/>
                  <w:vAlign w:val="center"/>
                </w:tcPr>
                <w:p w14:paraId="3718173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Times New Roman" w:hAnsi="Times New Roman" w:eastAsia="宋体" w:cs="Times New Roman"/>
                      <w:bCs/>
                      <w:color w:val="auto"/>
                      <w:kern w:val="2"/>
                      <w:sz w:val="21"/>
                      <w:szCs w:val="21"/>
                      <w:highlight w:val="none"/>
                      <w:lang w:val="en-US" w:eastAsia="zh-CN" w:bidi="ar-SA"/>
                    </w:rPr>
                  </w:pPr>
                  <w:r>
                    <w:rPr>
                      <w:rFonts w:ascii="Times New Roman" w:hAnsi="宋体" w:eastAsia="宋体" w:cs="Times New Roman"/>
                      <w:bCs/>
                      <w:color w:val="auto"/>
                      <w:kern w:val="2"/>
                      <w:sz w:val="21"/>
                      <w:szCs w:val="21"/>
                      <w:highlight w:val="none"/>
                      <w:lang w:val="en-US" w:eastAsia="zh-CN" w:bidi="ar-SA"/>
                    </w:rPr>
                    <w:t>合计</w:t>
                  </w:r>
                </w:p>
              </w:tc>
              <w:tc>
                <w:tcPr>
                  <w:tcW w:w="1648" w:type="pct"/>
                  <w:noWrap w:val="0"/>
                  <w:vAlign w:val="center"/>
                </w:tcPr>
                <w:p w14:paraId="5A94DA0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0.4022</w:t>
                  </w:r>
                </w:p>
              </w:tc>
            </w:tr>
          </w:tbl>
          <w:p w14:paraId="36942DF8">
            <w:pPr>
              <w:widowControl w:val="0"/>
              <w:spacing w:line="360" w:lineRule="auto"/>
              <w:ind w:left="0" w:leftChars="0" w:firstLine="480" w:firstLineChars="200"/>
              <w:jc w:val="both"/>
              <w:rPr>
                <w:rFonts w:ascii="Times New Roman" w:hAnsi="Times New Roman" w:eastAsia="宋体" w:cs="Times New Roman"/>
                <w:color w:val="auto"/>
                <w:kern w:val="2"/>
                <w:sz w:val="24"/>
                <w:szCs w:val="32"/>
                <w:highlight w:val="none"/>
                <w:lang w:val="en-US" w:eastAsia="zh-CN" w:bidi="ar-SA"/>
              </w:rPr>
            </w:pPr>
            <w:r>
              <w:rPr>
                <w:rFonts w:hint="eastAsia" w:ascii="Times New Roman" w:hAnsi="Times New Roman" w:eastAsia="宋体" w:cs="Times New Roman"/>
                <w:color w:val="auto"/>
                <w:kern w:val="2"/>
                <w:sz w:val="24"/>
                <w:szCs w:val="32"/>
                <w:highlight w:val="none"/>
                <w:lang w:val="en-US" w:eastAsia="zh-CN" w:bidi="ar-SA"/>
              </w:rPr>
              <w:t>（3）拆迁工程</w:t>
            </w:r>
          </w:p>
          <w:p w14:paraId="31B1232E">
            <w:pPr>
              <w:ind w:firstLine="480"/>
              <w:rPr>
                <w:rFonts w:hint="eastAsia" w:ascii="Times New Roman" w:hAnsi="Times New Roman" w:eastAsia="宋体" w:cs="Times New Roman"/>
                <w:color w:val="auto"/>
                <w:kern w:val="2"/>
                <w:sz w:val="24"/>
                <w:szCs w:val="32"/>
                <w:highlight w:val="none"/>
                <w:lang w:val="en-US" w:eastAsia="zh-CN" w:bidi="ar-SA"/>
              </w:rPr>
            </w:pPr>
            <w:r>
              <w:rPr>
                <w:rFonts w:ascii="Times New Roman" w:hAnsi="Times New Roman" w:eastAsia="宋体" w:cs="Times New Roman"/>
                <w:color w:val="auto"/>
                <w:kern w:val="2"/>
                <w:sz w:val="24"/>
                <w:szCs w:val="32"/>
                <w:highlight w:val="none"/>
                <w:lang w:val="en-US" w:eastAsia="zh-CN" w:bidi="ar-SA"/>
              </w:rPr>
              <w:t>本项目</w:t>
            </w:r>
            <w:r>
              <w:rPr>
                <w:rFonts w:hint="eastAsia" w:cs="Times New Roman"/>
                <w:color w:val="auto"/>
                <w:kern w:val="2"/>
                <w:sz w:val="24"/>
                <w:szCs w:val="32"/>
                <w:highlight w:val="none"/>
                <w:lang w:val="en-US" w:eastAsia="zh-CN" w:bidi="ar-SA"/>
              </w:rPr>
              <w:t>无新增永久占地，</w:t>
            </w:r>
            <w:r>
              <w:rPr>
                <w:rFonts w:hint="eastAsia" w:ascii="Times New Roman" w:hAnsi="Times New Roman" w:cs="Times New Roman"/>
                <w:color w:val="auto"/>
                <w:kern w:val="2"/>
                <w:sz w:val="24"/>
                <w:szCs w:val="32"/>
                <w:highlight w:val="none"/>
                <w:lang w:val="en-US" w:eastAsia="zh-CN" w:bidi="ar-SA"/>
              </w:rPr>
              <w:t>不涉及</w:t>
            </w:r>
            <w:r>
              <w:rPr>
                <w:rFonts w:hint="eastAsia" w:cs="Times New Roman"/>
                <w:color w:val="auto"/>
                <w:kern w:val="2"/>
                <w:sz w:val="24"/>
                <w:szCs w:val="32"/>
                <w:highlight w:val="none"/>
                <w:lang w:val="en-US" w:eastAsia="zh-CN" w:bidi="ar-SA"/>
              </w:rPr>
              <w:t>拆迁工程</w:t>
            </w:r>
            <w:r>
              <w:rPr>
                <w:rFonts w:hint="eastAsia" w:ascii="Times New Roman" w:hAnsi="Times New Roman" w:eastAsia="宋体" w:cs="Times New Roman"/>
                <w:color w:val="auto"/>
                <w:kern w:val="2"/>
                <w:sz w:val="24"/>
                <w:szCs w:val="32"/>
                <w:highlight w:val="none"/>
                <w:lang w:val="en-US" w:eastAsia="zh-CN" w:bidi="ar-SA"/>
              </w:rPr>
              <w:t>。</w:t>
            </w:r>
          </w:p>
          <w:p w14:paraId="0B0D0A70">
            <w:pPr>
              <w:ind w:firstLine="480"/>
              <w:rPr>
                <w:rFonts w:hint="eastAsia"/>
                <w:color w:val="auto"/>
                <w:highlight w:val="none"/>
              </w:rPr>
            </w:pPr>
            <w:r>
              <w:rPr>
                <w:rFonts w:hint="eastAsia"/>
                <w:color w:val="auto"/>
                <w:highlight w:val="none"/>
                <w:lang w:val="en-US" w:eastAsia="zh-CN"/>
              </w:rPr>
              <w:t>4、</w:t>
            </w:r>
            <w:r>
              <w:rPr>
                <w:rFonts w:hint="eastAsia"/>
                <w:color w:val="auto"/>
                <w:highlight w:val="none"/>
              </w:rPr>
              <w:t>土石方平衡</w:t>
            </w:r>
          </w:p>
          <w:p w14:paraId="3E5FBD58">
            <w:pPr>
              <w:spacing w:line="360" w:lineRule="auto"/>
              <w:ind w:firstLine="480" w:firstLineChars="200"/>
              <w:rPr>
                <w:rFonts w:hint="eastAsia"/>
                <w:color w:val="auto"/>
                <w:highlight w:val="none"/>
              </w:rPr>
            </w:pPr>
            <w:r>
              <w:rPr>
                <w:color w:val="auto"/>
                <w:highlight w:val="none"/>
              </w:rPr>
              <w:t>本项目</w:t>
            </w:r>
            <w:r>
              <w:rPr>
                <w:rFonts w:hint="eastAsia"/>
                <w:color w:val="auto"/>
                <w:highlight w:val="none"/>
              </w:rPr>
              <w:t>无弃方，</w:t>
            </w:r>
            <w:r>
              <w:rPr>
                <w:rFonts w:hint="default" w:ascii="Times New Roman" w:hAnsi="Times New Roman" w:cs="Times New Roman"/>
                <w:color w:val="auto"/>
                <w:highlight w:val="none"/>
              </w:rPr>
              <w:t>本工程挖方总量</w:t>
            </w:r>
            <w:r>
              <w:rPr>
                <w:rFonts w:hint="eastAsia" w:cs="Times New Roman"/>
                <w:color w:val="auto"/>
                <w:highlight w:val="none"/>
                <w:lang w:val="en-US" w:eastAsia="zh-CN"/>
              </w:rPr>
              <w:t>73599</w:t>
            </w:r>
            <w:r>
              <w:rPr>
                <w:rFonts w:hint="default" w:ascii="Times New Roman" w:hAnsi="Times New Roman" w:cs="Times New Roman"/>
                <w:color w:val="auto"/>
                <w:highlight w:val="none"/>
              </w:rPr>
              <w:t>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，填方总量</w:t>
            </w:r>
            <w:r>
              <w:rPr>
                <w:rFonts w:hint="eastAsia" w:cs="Times New Roman"/>
                <w:color w:val="auto"/>
                <w:highlight w:val="none"/>
                <w:lang w:val="en-US" w:eastAsia="zh-CN"/>
              </w:rPr>
              <w:t>138030</w:t>
            </w:r>
            <w:r>
              <w:rPr>
                <w:rFonts w:hint="default" w:ascii="Times New Roman" w:hAnsi="Times New Roman" w:cs="Times New Roman"/>
                <w:color w:val="auto"/>
                <w:highlight w:val="none"/>
              </w:rPr>
              <w:t>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，利用方总量</w:t>
            </w:r>
            <w:r>
              <w:rPr>
                <w:rFonts w:hint="eastAsia" w:cs="Times New Roman"/>
                <w:color w:val="auto"/>
                <w:highlight w:val="none"/>
                <w:lang w:val="en-US" w:eastAsia="zh-CN"/>
              </w:rPr>
              <w:t>73599</w:t>
            </w:r>
            <w:r>
              <w:rPr>
                <w:rFonts w:hint="default" w:ascii="Times New Roman" w:hAnsi="Times New Roman" w:cs="Times New Roman"/>
                <w:color w:val="auto"/>
                <w:highlight w:val="none"/>
              </w:rPr>
              <w:t>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，借方</w:t>
            </w:r>
            <w:r>
              <w:rPr>
                <w:rFonts w:hint="eastAsia" w:cs="Times New Roman"/>
                <w:color w:val="auto"/>
                <w:highlight w:val="none"/>
                <w:lang w:val="en-US" w:eastAsia="zh-CN"/>
              </w:rPr>
              <w:t>64431</w:t>
            </w:r>
            <w:r>
              <w:rPr>
                <w:rFonts w:hint="default" w:ascii="Times New Roman" w:hAnsi="Times New Roman" w:cs="Times New Roman"/>
                <w:color w:val="auto"/>
                <w:highlight w:val="none"/>
              </w:rPr>
              <w:t>m</w:t>
            </w:r>
            <w:r>
              <w:rPr>
                <w:rFonts w:hint="default" w:ascii="Times New Roman" w:hAnsi="Times New Roman" w:cs="Times New Roman"/>
                <w:color w:val="auto"/>
                <w:highlight w:val="none"/>
                <w:vertAlign w:val="superscript"/>
              </w:rPr>
              <w:t>3</w:t>
            </w:r>
            <w:r>
              <w:rPr>
                <w:rFonts w:hint="eastAsia" w:ascii="Times New Roman" w:hAnsi="Times New Roman" w:cs="Times New Roman"/>
                <w:color w:val="auto"/>
                <w:highlight w:val="none"/>
                <w:lang w:eastAsia="zh-CN"/>
              </w:rPr>
              <w:t>，</w:t>
            </w:r>
            <w:r>
              <w:rPr>
                <w:rFonts w:hint="eastAsia"/>
                <w:color w:val="auto"/>
                <w:highlight w:val="none"/>
              </w:rPr>
              <w:t>具体详见表2-</w:t>
            </w:r>
            <w:r>
              <w:rPr>
                <w:rFonts w:hint="eastAsia"/>
                <w:color w:val="auto"/>
                <w:highlight w:val="none"/>
                <w:lang w:val="en-US" w:eastAsia="zh-CN"/>
              </w:rPr>
              <w:t>13</w:t>
            </w:r>
            <w:r>
              <w:rPr>
                <w:rFonts w:hint="eastAsia"/>
                <w:color w:val="auto"/>
                <w:highlight w:val="none"/>
              </w:rPr>
              <w:t>。</w:t>
            </w:r>
          </w:p>
          <w:p w14:paraId="441325C2">
            <w:pPr>
              <w:pStyle w:val="28"/>
              <w:rPr>
                <w:color w:val="auto"/>
                <w:highlight w:val="none"/>
              </w:rPr>
            </w:pPr>
            <w:r>
              <w:rPr>
                <w:color w:val="auto"/>
                <w:highlight w:val="none"/>
              </w:rPr>
              <w:t>表2-</w:t>
            </w:r>
            <w:r>
              <w:rPr>
                <w:rFonts w:hint="eastAsia"/>
                <w:color w:val="auto"/>
                <w:highlight w:val="none"/>
                <w:lang w:val="en-US" w:eastAsia="zh-CN"/>
              </w:rPr>
              <w:t>13</w:t>
            </w:r>
            <w:r>
              <w:rPr>
                <w:color w:val="auto"/>
                <w:highlight w:val="none"/>
              </w:rPr>
              <w:t xml:space="preserve"> </w:t>
            </w:r>
            <w:r>
              <w:rPr>
                <w:rFonts w:hint="eastAsia"/>
                <w:color w:val="auto"/>
                <w:highlight w:val="none"/>
                <w:lang w:val="en-US" w:eastAsia="zh-CN"/>
              </w:rPr>
              <w:t xml:space="preserve"> </w:t>
            </w:r>
            <w:r>
              <w:rPr>
                <w:color w:val="auto"/>
                <w:highlight w:val="none"/>
              </w:rPr>
              <w:t>土石方平衡表（单位：m</w:t>
            </w:r>
            <w:r>
              <w:rPr>
                <w:color w:val="auto"/>
                <w:highlight w:val="none"/>
                <w:vertAlign w:val="superscript"/>
              </w:rPr>
              <w:t>3</w:t>
            </w:r>
            <w:r>
              <w:rPr>
                <w:color w:val="auto"/>
                <w:highlight w:val="none"/>
              </w:rPr>
              <w:t>）</w:t>
            </w:r>
          </w:p>
          <w:tbl>
            <w:tblPr>
              <w:tblStyle w:val="18"/>
              <w:tblW w:w="4996"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942"/>
              <w:gridCol w:w="1270"/>
              <w:gridCol w:w="1153"/>
              <w:gridCol w:w="1216"/>
              <w:gridCol w:w="1333"/>
              <w:gridCol w:w="1614"/>
            </w:tblGrid>
            <w:tr w14:paraId="29D3D7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625" w:type="pct"/>
                  <w:noWrap/>
                  <w:vAlign w:val="center"/>
                </w:tcPr>
                <w:p w14:paraId="5C5D3E8D">
                  <w:pPr>
                    <w:pStyle w:val="33"/>
                    <w:ind w:firstLine="0" w:firstLineChars="0"/>
                    <w:rPr>
                      <w:color w:val="auto"/>
                      <w:highlight w:val="none"/>
                    </w:rPr>
                  </w:pPr>
                  <w:r>
                    <w:rPr>
                      <w:rFonts w:hint="eastAsia"/>
                      <w:color w:val="auto"/>
                      <w:highlight w:val="none"/>
                      <w:lang w:eastAsia="zh-CN"/>
                    </w:rPr>
                    <w:t>类别</w:t>
                  </w:r>
                </w:p>
              </w:tc>
              <w:tc>
                <w:tcPr>
                  <w:tcW w:w="843" w:type="pct"/>
                  <w:noWrap/>
                  <w:vAlign w:val="center"/>
                </w:tcPr>
                <w:p w14:paraId="0C2407EE">
                  <w:pPr>
                    <w:pStyle w:val="33"/>
                    <w:ind w:firstLine="0" w:firstLineChars="0"/>
                    <w:rPr>
                      <w:rFonts w:hint="eastAsia" w:eastAsia="宋体"/>
                      <w:color w:val="auto"/>
                      <w:highlight w:val="none"/>
                      <w:lang w:eastAsia="zh-CN"/>
                    </w:rPr>
                  </w:pPr>
                  <w:r>
                    <w:rPr>
                      <w:color w:val="auto"/>
                      <w:highlight w:val="none"/>
                    </w:rPr>
                    <w:t>挖方</w:t>
                  </w:r>
                </w:p>
              </w:tc>
              <w:tc>
                <w:tcPr>
                  <w:tcW w:w="765" w:type="pct"/>
                  <w:noWrap/>
                  <w:vAlign w:val="center"/>
                </w:tcPr>
                <w:p w14:paraId="1A7FF060">
                  <w:pPr>
                    <w:pStyle w:val="33"/>
                    <w:ind w:firstLine="0" w:firstLineChars="0"/>
                    <w:rPr>
                      <w:color w:val="auto"/>
                      <w:highlight w:val="none"/>
                    </w:rPr>
                  </w:pPr>
                  <w:r>
                    <w:rPr>
                      <w:color w:val="auto"/>
                      <w:highlight w:val="none"/>
                    </w:rPr>
                    <w:t>填方</w:t>
                  </w:r>
                </w:p>
              </w:tc>
              <w:tc>
                <w:tcPr>
                  <w:tcW w:w="807" w:type="pct"/>
                  <w:noWrap/>
                  <w:vAlign w:val="center"/>
                </w:tcPr>
                <w:p w14:paraId="72D3F10E">
                  <w:pPr>
                    <w:pStyle w:val="33"/>
                    <w:ind w:firstLine="0" w:firstLineChars="0"/>
                    <w:rPr>
                      <w:color w:val="auto"/>
                      <w:highlight w:val="none"/>
                    </w:rPr>
                  </w:pPr>
                  <w:r>
                    <w:rPr>
                      <w:color w:val="auto"/>
                      <w:highlight w:val="none"/>
                    </w:rPr>
                    <w:t>利用方</w:t>
                  </w:r>
                </w:p>
              </w:tc>
              <w:tc>
                <w:tcPr>
                  <w:tcW w:w="885" w:type="pct"/>
                  <w:noWrap/>
                  <w:vAlign w:val="center"/>
                </w:tcPr>
                <w:p w14:paraId="5C14CA85">
                  <w:pPr>
                    <w:pStyle w:val="33"/>
                    <w:ind w:firstLine="0" w:firstLineChars="0"/>
                    <w:rPr>
                      <w:rFonts w:hint="eastAsia"/>
                      <w:color w:val="auto"/>
                      <w:highlight w:val="none"/>
                      <w:lang w:eastAsia="zh-CN"/>
                    </w:rPr>
                  </w:pPr>
                  <w:r>
                    <w:rPr>
                      <w:rFonts w:hint="eastAsia"/>
                      <w:color w:val="auto"/>
                      <w:highlight w:val="none"/>
                      <w:lang w:val="en-US" w:eastAsia="zh-CN"/>
                    </w:rPr>
                    <w:t>借方</w:t>
                  </w:r>
                </w:p>
              </w:tc>
              <w:tc>
                <w:tcPr>
                  <w:tcW w:w="1071" w:type="pct"/>
                  <w:noWrap/>
                  <w:vAlign w:val="center"/>
                </w:tcPr>
                <w:p w14:paraId="1857DCCA">
                  <w:pPr>
                    <w:pStyle w:val="33"/>
                    <w:ind w:firstLine="0" w:firstLineChars="0"/>
                    <w:rPr>
                      <w:rFonts w:hint="eastAsia" w:eastAsia="宋体"/>
                      <w:color w:val="auto"/>
                      <w:highlight w:val="none"/>
                      <w:lang w:eastAsia="zh-CN"/>
                    </w:rPr>
                  </w:pPr>
                  <w:r>
                    <w:rPr>
                      <w:rFonts w:hint="eastAsia"/>
                      <w:color w:val="auto"/>
                      <w:highlight w:val="none"/>
                      <w:lang w:val="en-US" w:eastAsia="zh-CN"/>
                    </w:rPr>
                    <w:t>弃方</w:t>
                  </w:r>
                </w:p>
              </w:tc>
            </w:tr>
            <w:tr w14:paraId="109993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625" w:type="pct"/>
                  <w:noWrap/>
                  <w:vAlign w:val="center"/>
                </w:tcPr>
                <w:p w14:paraId="586747C9">
                  <w:pPr>
                    <w:pStyle w:val="33"/>
                    <w:ind w:firstLine="0" w:firstLineChars="0"/>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全</w:t>
                  </w:r>
                  <w:r>
                    <w:rPr>
                      <w:rFonts w:hint="default" w:ascii="Times New Roman" w:hAnsi="Times New Roman" w:eastAsia="宋体" w:cs="Times New Roman"/>
                      <w:color w:val="auto"/>
                      <w:highlight w:val="none"/>
                      <w:lang w:eastAsia="zh-CN"/>
                    </w:rPr>
                    <w:t>路段</w:t>
                  </w:r>
                  <w:r>
                    <w:rPr>
                      <w:rFonts w:hint="eastAsia" w:ascii="Times New Roman" w:hAnsi="Times New Roman" w:eastAsia="宋体" w:cs="Times New Roman"/>
                      <w:color w:val="auto"/>
                      <w:highlight w:val="none"/>
                      <w:lang w:val="en-US" w:eastAsia="zh-CN"/>
                    </w:rPr>
                    <w:t>工程</w:t>
                  </w:r>
                </w:p>
              </w:tc>
              <w:tc>
                <w:tcPr>
                  <w:tcW w:w="843" w:type="pct"/>
                  <w:noWrap/>
                  <w:vAlign w:val="center"/>
                </w:tcPr>
                <w:p w14:paraId="37B25A7F">
                  <w:pPr>
                    <w:pStyle w:val="33"/>
                    <w:ind w:firstLine="0" w:firstLineChars="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73599</w:t>
                  </w:r>
                </w:p>
              </w:tc>
              <w:tc>
                <w:tcPr>
                  <w:tcW w:w="765" w:type="pct"/>
                  <w:noWrap/>
                  <w:vAlign w:val="center"/>
                </w:tcPr>
                <w:p w14:paraId="471E072A">
                  <w:pPr>
                    <w:pStyle w:val="33"/>
                    <w:ind w:firstLine="0" w:firstLineChars="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138030</w:t>
                  </w:r>
                </w:p>
              </w:tc>
              <w:tc>
                <w:tcPr>
                  <w:tcW w:w="807" w:type="pct"/>
                  <w:noWrap/>
                  <w:vAlign w:val="center"/>
                </w:tcPr>
                <w:p w14:paraId="0A81437B">
                  <w:pPr>
                    <w:pStyle w:val="33"/>
                    <w:ind w:firstLine="0" w:firstLineChars="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73599</w:t>
                  </w:r>
                </w:p>
              </w:tc>
              <w:tc>
                <w:tcPr>
                  <w:tcW w:w="885" w:type="pct"/>
                  <w:noWrap/>
                  <w:vAlign w:val="center"/>
                </w:tcPr>
                <w:p w14:paraId="64A71506">
                  <w:pPr>
                    <w:pStyle w:val="33"/>
                    <w:ind w:firstLine="0" w:firstLineChars="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64431</w:t>
                  </w:r>
                </w:p>
              </w:tc>
              <w:tc>
                <w:tcPr>
                  <w:tcW w:w="1071" w:type="pct"/>
                  <w:noWrap/>
                  <w:vAlign w:val="center"/>
                </w:tcPr>
                <w:p w14:paraId="4C95580F">
                  <w:pPr>
                    <w:pStyle w:val="33"/>
                    <w:ind w:firstLine="0" w:firstLineChars="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0</w:t>
                  </w:r>
                </w:p>
              </w:tc>
            </w:tr>
          </w:tbl>
          <w:p w14:paraId="4BDDBDF3">
            <w:pPr>
              <w:ind w:firstLine="480"/>
              <w:rPr>
                <w:rFonts w:hint="eastAsia"/>
                <w:color w:val="auto"/>
              </w:rPr>
            </w:pPr>
            <w:r>
              <w:rPr>
                <w:rFonts w:hint="eastAsia"/>
                <w:color w:val="auto"/>
                <w:lang w:val="en-US" w:eastAsia="zh-CN"/>
              </w:rPr>
              <w:t>5、</w:t>
            </w:r>
            <w:r>
              <w:rPr>
                <w:rFonts w:hint="eastAsia"/>
                <w:color w:val="auto"/>
              </w:rPr>
              <w:t>工程投资</w:t>
            </w:r>
          </w:p>
          <w:p w14:paraId="4C1546AD">
            <w:pPr>
              <w:ind w:firstLine="480"/>
              <w:rPr>
                <w:rFonts w:hint="eastAsia"/>
                <w:color w:val="auto"/>
              </w:rPr>
            </w:pPr>
            <w:r>
              <w:rPr>
                <w:rFonts w:hint="eastAsia"/>
                <w:color w:val="auto"/>
              </w:rPr>
              <w:t>本项目总投资</w:t>
            </w:r>
            <w:r>
              <w:rPr>
                <w:rFonts w:hint="eastAsia"/>
                <w:color w:val="auto"/>
                <w:lang w:val="en-US" w:eastAsia="zh-CN"/>
              </w:rPr>
              <w:t>9461.0305</w:t>
            </w:r>
            <w:r>
              <w:rPr>
                <w:rFonts w:hint="eastAsia"/>
                <w:color w:val="auto"/>
              </w:rPr>
              <w:t>万元。</w:t>
            </w:r>
          </w:p>
        </w:tc>
      </w:tr>
      <w:tr w14:paraId="3FF497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452" w:type="pct"/>
            <w:noWrap w:val="0"/>
            <w:vAlign w:val="center"/>
          </w:tcPr>
          <w:p w14:paraId="345707C2">
            <w:pPr>
              <w:pStyle w:val="38"/>
              <w:rPr>
                <w:color w:val="auto"/>
                <w:highlight w:val="none"/>
              </w:rPr>
            </w:pPr>
            <w:r>
              <w:rPr>
                <w:color w:val="auto"/>
                <w:highlight w:val="none"/>
              </w:rPr>
              <w:t>总平面及现场布置</w:t>
            </w:r>
          </w:p>
        </w:tc>
        <w:tc>
          <w:tcPr>
            <w:tcW w:w="4547" w:type="pct"/>
            <w:noWrap w:val="0"/>
            <w:vAlign w:val="center"/>
          </w:tcPr>
          <w:p w14:paraId="62DDE5B7">
            <w:pPr>
              <w:spacing w:line="360" w:lineRule="auto"/>
              <w:ind w:firstLine="480" w:firstLineChars="200"/>
              <w:rPr>
                <w:color w:val="auto"/>
                <w:kern w:val="0"/>
                <w:szCs w:val="21"/>
              </w:rPr>
            </w:pPr>
            <w:r>
              <w:rPr>
                <w:rFonts w:hint="eastAsia"/>
                <w:color w:val="auto"/>
                <w:highlight w:val="none"/>
                <w:lang w:eastAsia="zh-CN"/>
              </w:rPr>
              <w:t>本项目位于黑龙江省双鸭山市宝清县，线路起点位于</w:t>
            </w:r>
            <w:r>
              <w:rPr>
                <w:rFonts w:hint="eastAsia" w:ascii="Times New Roman" w:hAnsi="Times New Roman" w:eastAsia="宋体" w:cs="Times New Roman"/>
                <w:color w:val="auto"/>
                <w:highlight w:val="none"/>
                <w:lang w:val="en-US" w:eastAsia="zh-CN"/>
              </w:rPr>
              <w:t>清原镇永红村附近与Y034公路交叉口</w:t>
            </w:r>
            <w:r>
              <w:rPr>
                <w:rFonts w:hint="eastAsia"/>
                <w:color w:val="auto"/>
                <w:highlight w:val="none"/>
                <w:lang w:val="en-US" w:eastAsia="zh-CN"/>
              </w:rPr>
              <w:t>处（设计桩号K12+391），路线向东北方向利用现有旧路布线，途经</w:t>
            </w:r>
            <w:r>
              <w:rPr>
                <w:rFonts w:hint="eastAsia" w:cs="Times New Roman"/>
                <w:color w:val="auto"/>
                <w:highlight w:val="none"/>
                <w:lang w:val="en-US" w:eastAsia="zh-CN"/>
              </w:rPr>
              <w:t>两处零散户、联合屯、头道林子村、东旭村、二道林子村、东升卫生院、东升卫生院、中岗村</w:t>
            </w:r>
            <w:r>
              <w:rPr>
                <w:rFonts w:hint="eastAsia"/>
                <w:color w:val="auto"/>
                <w:highlight w:val="none"/>
                <w:lang w:val="en-US" w:eastAsia="zh-CN"/>
              </w:rPr>
              <w:t>，终点位于银龙村</w:t>
            </w:r>
            <w:r>
              <w:rPr>
                <w:rFonts w:hint="eastAsia"/>
                <w:color w:val="auto"/>
                <w:highlight w:val="none"/>
                <w:lang w:eastAsia="zh-CN"/>
              </w:rPr>
              <w:t>（</w:t>
            </w:r>
            <w:r>
              <w:rPr>
                <w:rFonts w:hint="eastAsia"/>
                <w:color w:val="auto"/>
                <w:highlight w:val="none"/>
                <w:lang w:val="en-US" w:eastAsia="zh-CN"/>
              </w:rPr>
              <w:t>设计桩号K55+161</w:t>
            </w:r>
            <w:r>
              <w:rPr>
                <w:rFonts w:hint="eastAsia"/>
                <w:color w:val="auto"/>
                <w:highlight w:val="none"/>
                <w:lang w:eastAsia="zh-CN"/>
              </w:rPr>
              <w:t>）</w:t>
            </w:r>
            <w:r>
              <w:rPr>
                <w:rFonts w:hint="eastAsia" w:ascii="Times New Roman" w:hAnsi="Times New Roman" w:eastAsia="宋体" w:cs="Times New Roman"/>
                <w:color w:val="auto"/>
                <w:highlight w:val="none"/>
                <w:lang w:eastAsia="zh-CN"/>
              </w:rPr>
              <w:t>。</w:t>
            </w:r>
          </w:p>
          <w:p w14:paraId="559B1E0F">
            <w:pPr>
              <w:keepNext w:val="0"/>
              <w:keepLines w:val="0"/>
              <w:widowControl/>
              <w:suppressLineNumbers w:val="0"/>
              <w:jc w:val="both"/>
              <w:rPr>
                <w:rFonts w:hint="eastAsia"/>
                <w:color w:val="auto"/>
                <w:szCs w:val="21"/>
                <w:highlight w:val="none"/>
                <w:lang w:val="en-US" w:eastAsia="zh-CN"/>
              </w:rPr>
            </w:pPr>
            <w:r>
              <w:rPr>
                <w:rFonts w:hint="eastAsia"/>
                <w:color w:val="auto"/>
                <w:szCs w:val="21"/>
              </w:rPr>
              <w:t>本项目</w:t>
            </w:r>
            <w:r>
              <w:rPr>
                <w:rFonts w:hint="eastAsia"/>
                <w:color w:val="auto"/>
                <w:lang w:eastAsia="zh-CN"/>
              </w:rPr>
              <w:t>路线全长</w:t>
            </w:r>
            <w:r>
              <w:rPr>
                <w:rFonts w:hint="eastAsia" w:cs="Times New Roman"/>
                <w:color w:val="auto"/>
                <w:highlight w:val="none"/>
                <w:lang w:val="en-US" w:eastAsia="zh-CN"/>
              </w:rPr>
              <w:t>42.77</w:t>
            </w:r>
            <w:r>
              <w:rPr>
                <w:rFonts w:hint="eastAsia"/>
                <w:color w:val="auto"/>
                <w:lang w:val="en-US" w:eastAsia="zh-CN"/>
              </w:rPr>
              <w:t>km，</w:t>
            </w:r>
            <w:r>
              <w:rPr>
                <w:rFonts w:hint="eastAsia"/>
                <w:color w:val="auto"/>
                <w:lang w:eastAsia="zh-CN"/>
              </w:rPr>
              <w:t>桩号</w:t>
            </w:r>
            <w:r>
              <w:rPr>
                <w:rFonts w:hint="eastAsia"/>
                <w:color w:val="auto"/>
                <w:highlight w:val="none"/>
                <w:lang w:val="en-US" w:eastAsia="zh-CN"/>
              </w:rPr>
              <w:t>K12+391</w:t>
            </w:r>
            <w:r>
              <w:rPr>
                <w:rFonts w:hint="eastAsia"/>
                <w:color w:val="auto"/>
                <w:highlight w:val="none"/>
                <w:lang w:eastAsia="zh-CN"/>
              </w:rPr>
              <w:t>～</w:t>
            </w:r>
            <w:r>
              <w:rPr>
                <w:rFonts w:hint="eastAsia"/>
                <w:color w:val="auto"/>
                <w:highlight w:val="none"/>
                <w:lang w:val="en-US" w:eastAsia="zh-CN"/>
              </w:rPr>
              <w:t>K55+161，本项目永久用地均在原路用地界以内，无新增永久占地，永久占地面积537944m</w:t>
            </w:r>
            <w:r>
              <w:rPr>
                <w:rFonts w:hint="eastAsia"/>
                <w:color w:val="auto"/>
                <w:highlight w:val="none"/>
                <w:vertAlign w:val="superscript"/>
                <w:lang w:val="en-US" w:eastAsia="zh-CN"/>
              </w:rPr>
              <w:t>2</w:t>
            </w:r>
            <w:r>
              <w:rPr>
                <w:rFonts w:ascii="楷体" w:hAnsi="楷体" w:eastAsia="楷体" w:cs="楷体"/>
                <w:color w:val="auto"/>
                <w:kern w:val="0"/>
                <w:sz w:val="28"/>
                <w:szCs w:val="28"/>
                <w:highlight w:val="none"/>
                <w:lang w:val="en-US" w:eastAsia="zh-CN" w:bidi="ar"/>
              </w:rPr>
              <w:t>。</w:t>
            </w:r>
            <w:r>
              <w:rPr>
                <w:rFonts w:hint="eastAsia"/>
                <w:color w:val="auto"/>
                <w:szCs w:val="21"/>
                <w:highlight w:val="none"/>
                <w:lang w:val="en-US" w:eastAsia="zh-CN"/>
              </w:rPr>
              <w:t>本项</w:t>
            </w:r>
            <w:r>
              <w:rPr>
                <w:rFonts w:hint="eastAsia"/>
                <w:color w:val="auto"/>
                <w:szCs w:val="21"/>
                <w:lang w:val="en-US" w:eastAsia="zh-CN"/>
              </w:rPr>
              <w:t>目K12+391</w:t>
            </w:r>
            <w:r>
              <w:rPr>
                <w:rFonts w:hint="eastAsia"/>
                <w:color w:val="auto"/>
                <w:szCs w:val="21"/>
                <w:lang w:eastAsia="zh-CN"/>
              </w:rPr>
              <w:t>～</w:t>
            </w:r>
            <w:r>
              <w:rPr>
                <w:rFonts w:hint="eastAsia"/>
                <w:color w:val="auto"/>
                <w:szCs w:val="21"/>
                <w:lang w:val="en-US" w:eastAsia="zh-CN"/>
              </w:rPr>
              <w:t>K48+240路段采用设计速度30km/h，路基宽度7.5m的三级公路标准建设，</w:t>
            </w:r>
            <w:r>
              <w:rPr>
                <w:rFonts w:hint="eastAsia"/>
                <w:color w:val="auto"/>
                <w:szCs w:val="21"/>
                <w:lang w:eastAsia="zh-CN"/>
              </w:rPr>
              <w:t>路面为水泥混</w:t>
            </w:r>
            <w:r>
              <w:rPr>
                <w:rFonts w:hint="eastAsia"/>
                <w:color w:val="auto"/>
                <w:szCs w:val="21"/>
                <w:highlight w:val="none"/>
                <w:lang w:eastAsia="zh-CN"/>
              </w:rPr>
              <w:t>凝土路面</w:t>
            </w:r>
            <w:r>
              <w:rPr>
                <w:rFonts w:hint="eastAsia"/>
                <w:color w:val="auto"/>
                <w:szCs w:val="21"/>
                <w:highlight w:val="none"/>
                <w:lang w:val="en-US" w:eastAsia="zh-CN"/>
              </w:rPr>
              <w:t>，本项目K48+240</w:t>
            </w:r>
            <w:r>
              <w:rPr>
                <w:rFonts w:hint="eastAsia"/>
                <w:color w:val="auto"/>
                <w:szCs w:val="21"/>
                <w:highlight w:val="none"/>
                <w:lang w:eastAsia="zh-CN"/>
              </w:rPr>
              <w:t>～</w:t>
            </w:r>
            <w:r>
              <w:rPr>
                <w:rFonts w:hint="eastAsia"/>
                <w:color w:val="auto"/>
                <w:szCs w:val="21"/>
                <w:highlight w:val="none"/>
                <w:lang w:val="en-US" w:eastAsia="zh-CN"/>
              </w:rPr>
              <w:t>K55+161路段采用设计速度20km/h，路基宽度6.0m的四级公路标准建设，</w:t>
            </w:r>
            <w:r>
              <w:rPr>
                <w:rFonts w:hint="eastAsia"/>
                <w:color w:val="auto"/>
                <w:szCs w:val="21"/>
                <w:highlight w:val="none"/>
                <w:lang w:eastAsia="zh-CN"/>
              </w:rPr>
              <w:t>路面为水泥混凝土路面</w:t>
            </w:r>
            <w:r>
              <w:rPr>
                <w:rFonts w:hint="eastAsia"/>
                <w:color w:val="auto"/>
                <w:szCs w:val="21"/>
                <w:highlight w:val="none"/>
                <w:lang w:val="en-US" w:eastAsia="zh-CN"/>
              </w:rPr>
              <w:t>。</w:t>
            </w:r>
          </w:p>
          <w:p w14:paraId="28209D54">
            <w:pPr>
              <w:keepNext w:val="0"/>
              <w:keepLines w:val="0"/>
              <w:widowControl/>
              <w:suppressLineNumbers w:val="0"/>
              <w:jc w:val="both"/>
              <w:rPr>
                <w:rFonts w:hint="eastAsia"/>
                <w:color w:val="auto"/>
                <w:szCs w:val="21"/>
              </w:rPr>
            </w:pPr>
            <w:r>
              <w:rPr>
                <w:rFonts w:hint="eastAsia"/>
                <w:color w:val="auto"/>
                <w:szCs w:val="21"/>
                <w:lang w:eastAsia="zh-CN"/>
              </w:rPr>
              <w:t>本项目共设置涵洞</w:t>
            </w:r>
            <w:r>
              <w:rPr>
                <w:rFonts w:hint="eastAsia"/>
                <w:color w:val="auto"/>
                <w:szCs w:val="21"/>
                <w:lang w:val="en-US" w:eastAsia="zh-CN"/>
              </w:rPr>
              <w:t>8道</w:t>
            </w:r>
            <w:r>
              <w:rPr>
                <w:rFonts w:hint="eastAsia"/>
                <w:color w:val="auto"/>
                <w:szCs w:val="21"/>
                <w:lang w:eastAsia="zh-CN"/>
              </w:rPr>
              <w:t>，平面交叉</w:t>
            </w:r>
            <w:r>
              <w:rPr>
                <w:rFonts w:hint="eastAsia"/>
                <w:color w:val="auto"/>
                <w:szCs w:val="21"/>
                <w:lang w:val="en-US" w:eastAsia="zh-CN"/>
              </w:rPr>
              <w:t>167处</w:t>
            </w:r>
            <w:r>
              <w:rPr>
                <w:rFonts w:hint="eastAsia"/>
                <w:color w:val="auto"/>
                <w:szCs w:val="21"/>
                <w:lang w:eastAsia="zh-CN"/>
              </w:rPr>
              <w:t>。现</w:t>
            </w:r>
            <w:r>
              <w:rPr>
                <w:rFonts w:hint="eastAsia"/>
                <w:color w:val="auto"/>
                <w:szCs w:val="21"/>
                <w:lang w:val="en-US" w:eastAsia="zh-CN"/>
              </w:rPr>
              <w:t>有桥梁均满足现有道路通行标准，全部利用，其中K53+756银龙桥</w:t>
            </w:r>
            <w:r>
              <w:rPr>
                <w:rFonts w:hint="eastAsia"/>
                <w:color w:val="auto"/>
                <w:szCs w:val="21"/>
                <w:lang w:eastAsia="zh-CN"/>
              </w:rPr>
              <w:t>现</w:t>
            </w:r>
            <w:r>
              <w:rPr>
                <w:rFonts w:hint="eastAsia"/>
                <w:color w:val="auto"/>
                <w:szCs w:val="21"/>
                <w:lang w:val="en-US" w:eastAsia="zh-CN"/>
              </w:rPr>
              <w:t>有桥梁护栏破损，本次维修护栏后利用。</w:t>
            </w:r>
          </w:p>
          <w:p w14:paraId="5A729F9E">
            <w:pPr>
              <w:spacing w:line="360" w:lineRule="auto"/>
              <w:ind w:firstLine="480" w:firstLineChars="200"/>
              <w:rPr>
                <w:rFonts w:hint="eastAsia"/>
                <w:color w:val="auto"/>
                <w:kern w:val="0"/>
                <w:szCs w:val="21"/>
                <w:highlight w:val="none"/>
              </w:rPr>
            </w:pPr>
            <w:r>
              <w:rPr>
                <w:color w:val="auto"/>
              </w:rPr>
              <w:t>本项目</w:t>
            </w:r>
            <w:r>
              <w:rPr>
                <w:rFonts w:hint="eastAsia"/>
                <w:color w:val="auto"/>
              </w:rPr>
              <w:t>无弃方，</w:t>
            </w:r>
            <w:r>
              <w:rPr>
                <w:rFonts w:hint="eastAsia"/>
                <w:color w:val="auto"/>
                <w:szCs w:val="21"/>
                <w:highlight w:val="none"/>
              </w:rPr>
              <w:t>土方采用外购方式，不设置取</w:t>
            </w:r>
            <w:r>
              <w:rPr>
                <w:rFonts w:hint="eastAsia"/>
                <w:color w:val="auto"/>
                <w:szCs w:val="21"/>
                <w:highlight w:val="none"/>
                <w:lang w:eastAsia="zh-CN"/>
              </w:rPr>
              <w:t>、弃</w:t>
            </w:r>
            <w:r>
              <w:rPr>
                <w:rFonts w:hint="eastAsia"/>
                <w:color w:val="auto"/>
                <w:szCs w:val="21"/>
                <w:highlight w:val="none"/>
              </w:rPr>
              <w:t>土场；本项目</w:t>
            </w:r>
            <w:r>
              <w:rPr>
                <w:rFonts w:hint="eastAsia"/>
                <w:color w:val="auto"/>
                <w:szCs w:val="21"/>
                <w:highlight w:val="none"/>
                <w:lang w:eastAsia="zh-CN"/>
              </w:rPr>
              <w:t>堆料场</w:t>
            </w:r>
            <w:r>
              <w:rPr>
                <w:rFonts w:hint="eastAsia"/>
                <w:color w:val="auto"/>
                <w:szCs w:val="21"/>
                <w:highlight w:val="none"/>
              </w:rPr>
              <w:t>设置在永久占地范围内；</w:t>
            </w:r>
            <w:r>
              <w:rPr>
                <w:rFonts w:hint="eastAsia"/>
                <w:color w:val="auto"/>
                <w:szCs w:val="21"/>
                <w:highlight w:val="none"/>
                <w:lang w:eastAsia="zh-CN"/>
              </w:rPr>
              <w:t>本项目</w:t>
            </w:r>
            <w:r>
              <w:rPr>
                <w:rFonts w:hint="eastAsia" w:cs="Times New Roman"/>
                <w:color w:val="auto"/>
                <w:highlight w:val="none"/>
                <w:vertAlign w:val="baseline"/>
                <w:lang w:eastAsia="zh-CN"/>
              </w:rPr>
              <w:t>施</w:t>
            </w:r>
            <w:r>
              <w:rPr>
                <w:rFonts w:hint="eastAsia"/>
                <w:color w:val="auto"/>
                <w:highlight w:val="none"/>
              </w:rPr>
              <w:t>工便道占地面积</w:t>
            </w:r>
            <w:r>
              <w:rPr>
                <w:rFonts w:hint="eastAsia" w:cs="Times New Roman"/>
                <w:color w:val="auto"/>
                <w:highlight w:val="none"/>
                <w:lang w:val="en-US" w:eastAsia="zh-CN"/>
              </w:rPr>
              <w:t>1800m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val="en-US" w:eastAsia="zh-CN"/>
              </w:rPr>
              <w:t>（</w:t>
            </w:r>
            <w:r>
              <w:rPr>
                <w:rFonts w:hint="eastAsia"/>
                <w:color w:val="auto"/>
                <w:highlight w:val="none"/>
                <w:lang w:eastAsia="zh-CN"/>
              </w:rPr>
              <w:t>便道</w:t>
            </w:r>
            <w:r>
              <w:rPr>
                <w:rFonts w:hint="eastAsia"/>
                <w:color w:val="auto"/>
                <w:highlight w:val="none"/>
              </w:rPr>
              <w:t>总长</w:t>
            </w:r>
            <w:r>
              <w:rPr>
                <w:rFonts w:hint="eastAsia"/>
                <w:color w:val="auto"/>
                <w:highlight w:val="none"/>
                <w:lang w:val="en-US" w:eastAsia="zh-CN"/>
              </w:rPr>
              <w:t>400m</w:t>
            </w:r>
            <w:r>
              <w:rPr>
                <w:rFonts w:hint="eastAsia"/>
                <w:color w:val="auto"/>
                <w:highlight w:val="none"/>
              </w:rPr>
              <w:t>，宽度为</w:t>
            </w:r>
            <w:r>
              <w:rPr>
                <w:rFonts w:hint="eastAsia"/>
                <w:color w:val="auto"/>
                <w:highlight w:val="none"/>
                <w:lang w:val="en-US" w:eastAsia="zh-CN"/>
              </w:rPr>
              <w:t>4.5</w:t>
            </w:r>
            <w:r>
              <w:rPr>
                <w:rFonts w:hint="eastAsia"/>
                <w:color w:val="auto"/>
                <w:highlight w:val="none"/>
              </w:rPr>
              <w:t>m</w:t>
            </w:r>
            <w:r>
              <w:rPr>
                <w:rFonts w:hint="eastAsia" w:cs="Times New Roman"/>
                <w:color w:val="auto"/>
                <w:highlight w:val="none"/>
                <w:vertAlign w:val="baseline"/>
                <w:lang w:val="en-US" w:eastAsia="zh-CN"/>
              </w:rPr>
              <w:t>），</w:t>
            </w:r>
            <w:r>
              <w:rPr>
                <w:rFonts w:hint="eastAsia" w:cs="Times New Roman"/>
                <w:color w:val="auto"/>
                <w:highlight w:val="none"/>
                <w:vertAlign w:val="baseline"/>
                <w:lang w:eastAsia="zh-CN"/>
              </w:rPr>
              <w:t>占地类</w:t>
            </w:r>
            <w:r>
              <w:rPr>
                <w:rFonts w:hint="eastAsia" w:cs="Times New Roman"/>
                <w:color w:val="auto"/>
                <w:sz w:val="24"/>
                <w:szCs w:val="24"/>
                <w:highlight w:val="none"/>
                <w:vertAlign w:val="baseline"/>
                <w:lang w:eastAsia="zh-CN"/>
              </w:rPr>
              <w:t>型为</w:t>
            </w:r>
            <w:r>
              <w:rPr>
                <w:rFonts w:hint="eastAsia" w:cs="Times New Roman"/>
                <w:bCs/>
                <w:color w:val="auto"/>
                <w:kern w:val="2"/>
                <w:sz w:val="24"/>
                <w:szCs w:val="24"/>
                <w:highlight w:val="none"/>
                <w:lang w:val="en-US" w:eastAsia="zh-CN" w:bidi="ar-SA"/>
              </w:rPr>
              <w:t>公路用地，位于永久占地范围内；</w:t>
            </w:r>
            <w:r>
              <w:rPr>
                <w:rFonts w:hint="eastAsia"/>
                <w:color w:val="auto"/>
                <w:szCs w:val="21"/>
                <w:highlight w:val="none"/>
              </w:rPr>
              <w:t>本工程不设置施工驻地，施工人员食宿租赁附近民宅。</w:t>
            </w:r>
            <w:r>
              <w:rPr>
                <w:rFonts w:hint="eastAsia"/>
                <w:color w:val="auto"/>
                <w:highlight w:val="none"/>
              </w:rPr>
              <w:t>项目</w:t>
            </w:r>
            <w:r>
              <w:rPr>
                <w:rFonts w:hint="eastAsia"/>
                <w:color w:val="auto"/>
                <w:highlight w:val="none"/>
                <w:lang w:eastAsia="zh-CN"/>
              </w:rPr>
              <w:t>临时占地包括</w:t>
            </w:r>
            <w:r>
              <w:rPr>
                <w:rFonts w:hint="eastAsia"/>
                <w:color w:val="auto"/>
                <w:highlight w:val="none"/>
                <w:lang w:val="en-US" w:eastAsia="zh-CN"/>
              </w:rPr>
              <w:t>1处拌和站及施工便道，拌和站占地面积4022</w:t>
            </w:r>
            <w:r>
              <w:rPr>
                <w:rFonts w:hint="eastAsia" w:ascii="Times New Roman" w:hAnsi="Times New Roman" w:eastAsia="宋体" w:cs="Times New Roman"/>
                <w:color w:val="auto"/>
                <w:highlight w:val="none"/>
              </w:rPr>
              <w:t>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eastAsia="zh-CN"/>
              </w:rPr>
              <w:t>，占地类型为</w:t>
            </w:r>
            <w:r>
              <w:rPr>
                <w:rFonts w:hint="eastAsia" w:cs="Times New Roman"/>
                <w:color w:val="auto"/>
                <w:highlight w:val="none"/>
                <w:vertAlign w:val="baseline"/>
                <w:lang w:val="en-US" w:eastAsia="zh-CN"/>
              </w:rPr>
              <w:t>设施农用地、裸土地</w:t>
            </w:r>
            <w:r>
              <w:rPr>
                <w:rFonts w:hint="eastAsia"/>
                <w:color w:val="auto"/>
                <w:sz w:val="24"/>
                <w:szCs w:val="24"/>
                <w:highlight w:val="none"/>
                <w:lang w:eastAsia="zh-CN"/>
              </w:rPr>
              <w:t>。</w:t>
            </w:r>
          </w:p>
          <w:p w14:paraId="1ED07168">
            <w:pPr>
              <w:ind w:firstLine="480"/>
              <w:rPr>
                <w:rFonts w:hint="eastAsia"/>
                <w:color w:val="auto"/>
              </w:rPr>
            </w:pPr>
            <w:r>
              <w:rPr>
                <w:rFonts w:hint="eastAsia"/>
                <w:color w:val="auto"/>
                <w:szCs w:val="21"/>
                <w:highlight w:val="none"/>
              </w:rPr>
              <w:t>本项目路线平、纵面缩图见附图</w:t>
            </w:r>
            <w:r>
              <w:rPr>
                <w:rFonts w:hint="eastAsia"/>
                <w:color w:val="auto"/>
                <w:szCs w:val="21"/>
                <w:highlight w:val="none"/>
                <w:lang w:val="en-US" w:eastAsia="zh-CN"/>
              </w:rPr>
              <w:t>2</w:t>
            </w:r>
            <w:r>
              <w:rPr>
                <w:rFonts w:hint="eastAsia"/>
                <w:color w:val="auto"/>
                <w:szCs w:val="21"/>
                <w:highlight w:val="none"/>
              </w:rPr>
              <w:t>。</w:t>
            </w:r>
          </w:p>
        </w:tc>
      </w:tr>
      <w:tr w14:paraId="5C6329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742" w:hRule="atLeast"/>
          <w:jc w:val="center"/>
        </w:trPr>
        <w:tc>
          <w:tcPr>
            <w:tcW w:w="452" w:type="pct"/>
            <w:noWrap w:val="0"/>
            <w:vAlign w:val="center"/>
          </w:tcPr>
          <w:p w14:paraId="68FE8141">
            <w:pPr>
              <w:pStyle w:val="38"/>
              <w:ind w:firstLine="0" w:firstLineChars="0"/>
              <w:rPr>
                <w:rFonts w:hint="eastAsia" w:ascii="Times New Roman" w:hAnsi="Times New Roman" w:eastAsia="宋体" w:cs="Times New Roman"/>
                <w:color w:val="auto"/>
                <w:kern w:val="2"/>
                <w:sz w:val="24"/>
                <w:szCs w:val="24"/>
                <w:highlight w:val="none"/>
                <w:lang w:val="en-US" w:eastAsia="zh-CN" w:bidi="ar-SA"/>
              </w:rPr>
            </w:pPr>
            <w:r>
              <w:rPr>
                <w:color w:val="auto"/>
                <w:highlight w:val="none"/>
              </w:rPr>
              <w:t>施工方案</w:t>
            </w:r>
          </w:p>
        </w:tc>
        <w:tc>
          <w:tcPr>
            <w:tcW w:w="4547" w:type="pct"/>
            <w:noWrap w:val="0"/>
            <w:vAlign w:val="center"/>
          </w:tcPr>
          <w:p w14:paraId="6C16208F">
            <w:pPr>
              <w:spacing w:line="360" w:lineRule="auto"/>
              <w:ind w:firstLine="480" w:firstLineChars="200"/>
              <w:rPr>
                <w:rFonts w:cs="宋体"/>
                <w:color w:val="auto"/>
                <w:kern w:val="0"/>
                <w:szCs w:val="21"/>
              </w:rPr>
            </w:pPr>
            <w:r>
              <w:rPr>
                <w:rFonts w:hint="eastAsia" w:cs="宋体"/>
                <w:color w:val="auto"/>
                <w:kern w:val="0"/>
                <w:szCs w:val="21"/>
              </w:rPr>
              <w:t>1、施工工艺</w:t>
            </w:r>
          </w:p>
          <w:p w14:paraId="45706A88">
            <w:pPr>
              <w:spacing w:line="360" w:lineRule="auto"/>
              <w:ind w:firstLine="480" w:firstLineChars="200"/>
              <w:rPr>
                <w:rFonts w:ascii="宋体" w:hAnsi="宋体"/>
                <w:color w:val="auto"/>
              </w:rPr>
            </w:pPr>
            <w:r>
              <w:rPr>
                <w:rFonts w:hint="eastAsia" w:ascii="宋体" w:hAnsi="宋体"/>
                <w:color w:val="auto"/>
              </w:rPr>
              <w:t>本项目建设过程中路基工程</w:t>
            </w:r>
            <w:r>
              <w:rPr>
                <w:rFonts w:hint="eastAsia" w:ascii="宋体" w:hAnsi="宋体"/>
                <w:color w:val="auto"/>
                <w:lang w:eastAsia="zh-CN"/>
              </w:rPr>
              <w:t>（</w:t>
            </w:r>
            <w:r>
              <w:rPr>
                <w:rFonts w:hint="eastAsia" w:ascii="宋体" w:hAnsi="宋体" w:eastAsia="宋体" w:cs="Times New Roman"/>
                <w:color w:val="auto"/>
                <w:lang w:eastAsia="zh-CN"/>
              </w:rPr>
              <w:t>只对现有公路</w:t>
            </w:r>
            <w:r>
              <w:rPr>
                <w:rFonts w:hint="eastAsia" w:ascii="宋体" w:hAnsi="宋体" w:eastAsia="宋体" w:cs="Times New Roman"/>
                <w:color w:val="auto"/>
                <w:lang w:val="en-US" w:eastAsia="zh-CN"/>
              </w:rPr>
              <w:t>局部存在翻浆、沉陷、破损病害的不达标路基施工作业</w:t>
            </w:r>
            <w:r>
              <w:rPr>
                <w:rFonts w:hint="eastAsia" w:ascii="宋体" w:hAnsi="宋体" w:eastAsia="宋体" w:cs="Times New Roman"/>
                <w:color w:val="auto"/>
                <w:lang w:eastAsia="zh-CN"/>
              </w:rPr>
              <w:t>）</w:t>
            </w:r>
            <w:r>
              <w:rPr>
                <w:rFonts w:hint="eastAsia" w:ascii="宋体" w:hAnsi="宋体" w:eastAsia="宋体" w:cs="Times New Roman"/>
                <w:color w:val="auto"/>
              </w:rPr>
              <w:t>将</w:t>
            </w:r>
            <w:r>
              <w:rPr>
                <w:rFonts w:hint="eastAsia" w:ascii="宋体" w:hAnsi="宋体"/>
                <w:color w:val="auto"/>
              </w:rPr>
              <w:t>首先开工，路面及交通设施等工程后续跟进，各类工程因其作业方式不同，所产生的污染物种类和数量也有所差异，施工工艺流程详见图</w:t>
            </w:r>
            <w:r>
              <w:rPr>
                <w:rFonts w:hint="eastAsia"/>
                <w:color w:val="auto"/>
              </w:rPr>
              <w:t>2-</w:t>
            </w:r>
            <w:r>
              <w:rPr>
                <w:rFonts w:hint="eastAsia"/>
                <w:color w:val="auto"/>
                <w:lang w:val="en-US" w:eastAsia="zh-CN"/>
              </w:rPr>
              <w:t>7</w:t>
            </w:r>
            <w:r>
              <w:rPr>
                <w:rFonts w:hint="eastAsia" w:ascii="宋体" w:hAnsi="宋体"/>
                <w:color w:val="auto"/>
              </w:rPr>
              <w:t>。</w:t>
            </w:r>
          </w:p>
          <w:p w14:paraId="332777F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color w:val="auto"/>
              </w:rPr>
            </w:pPr>
            <w:r>
              <w:rPr>
                <w:color w:val="auto"/>
              </w:rPr>
              <w:object>
                <v:shape id="_x0000_i1025" o:spt="75" type="#_x0000_t75" style="height:176.1pt;width:355.35pt;" o:ole="t" filled="f" o:preferrelative="t" stroked="f" coordsize="21600,21600">
                  <v:path/>
                  <v:fill on="f" focussize="0,0"/>
                  <v:stroke on="f"/>
                  <v:imagedata r:id="rId19" o:title=""/>
                  <o:lock v:ext="edit" aspectratio="t"/>
                  <w10:wrap type="none"/>
                  <w10:anchorlock/>
                </v:shape>
                <o:OLEObject Type="Embed" ProgID="Visio.Drawing.11" ShapeID="_x0000_i1025" DrawAspect="Content" ObjectID="_1468075725" r:id="rId18">
                  <o:LockedField>false</o:LockedField>
                </o:OLEObject>
              </w:object>
            </w:r>
          </w:p>
          <w:p w14:paraId="5B257940">
            <w:pPr>
              <w:spacing w:line="360" w:lineRule="auto"/>
              <w:jc w:val="center"/>
              <w:rPr>
                <w:rFonts w:eastAsia="黑体"/>
                <w:color w:val="auto"/>
              </w:rPr>
            </w:pPr>
            <w:r>
              <w:rPr>
                <w:rFonts w:hint="eastAsia" w:ascii="黑体" w:hAnsi="黑体" w:eastAsia="黑体"/>
                <w:color w:val="auto"/>
              </w:rPr>
              <w:t>图</w:t>
            </w:r>
            <w:r>
              <w:rPr>
                <w:rFonts w:hint="eastAsia" w:eastAsia="黑体"/>
                <w:color w:val="auto"/>
              </w:rPr>
              <w:t>2-</w:t>
            </w:r>
            <w:r>
              <w:rPr>
                <w:rFonts w:hint="eastAsia" w:eastAsia="黑体"/>
                <w:color w:val="auto"/>
                <w:lang w:val="en-US" w:eastAsia="zh-CN"/>
              </w:rPr>
              <w:t>7</w:t>
            </w:r>
            <w:r>
              <w:rPr>
                <w:rFonts w:hint="eastAsia" w:eastAsia="黑体"/>
                <w:color w:val="auto"/>
              </w:rPr>
              <w:t xml:space="preserve">  </w:t>
            </w:r>
            <w:r>
              <w:rPr>
                <w:rFonts w:hint="eastAsia" w:ascii="黑体" w:hAnsi="黑体" w:eastAsia="黑体"/>
                <w:color w:val="auto"/>
              </w:rPr>
              <w:t>项目主要工艺及排污节点图</w:t>
            </w:r>
          </w:p>
          <w:p w14:paraId="018ADBF3">
            <w:pPr>
              <w:ind w:firstLine="480"/>
              <w:rPr>
                <w:color w:val="auto"/>
              </w:rPr>
            </w:pPr>
            <w:r>
              <w:rPr>
                <w:color w:val="auto"/>
              </w:rPr>
              <w:t>（1）现有道路路面</w:t>
            </w:r>
            <w:r>
              <w:rPr>
                <w:rFonts w:hint="eastAsia"/>
                <w:color w:val="auto"/>
                <w:lang w:eastAsia="zh-CN"/>
              </w:rPr>
              <w:t>、路基</w:t>
            </w:r>
            <w:r>
              <w:rPr>
                <w:color w:val="auto"/>
              </w:rPr>
              <w:t>等拆除</w:t>
            </w:r>
          </w:p>
          <w:p w14:paraId="3DDA6FBD">
            <w:pPr>
              <w:ind w:firstLine="480"/>
              <w:rPr>
                <w:color w:val="auto"/>
              </w:rPr>
            </w:pPr>
            <w:r>
              <w:rPr>
                <w:color w:val="auto"/>
              </w:rPr>
              <w:t>本项目现有道路路面</w:t>
            </w:r>
            <w:r>
              <w:rPr>
                <w:rFonts w:hint="eastAsia"/>
                <w:color w:val="auto"/>
                <w:lang w:eastAsia="zh-CN"/>
              </w:rPr>
              <w:t>、路基</w:t>
            </w:r>
            <w:r>
              <w:rPr>
                <w:color w:val="auto"/>
              </w:rPr>
              <w:t>等拆除工程，将导致原有自然景观和生态环境破坏，导致地表裸露，</w:t>
            </w:r>
            <w:r>
              <w:rPr>
                <w:rFonts w:hint="eastAsia"/>
                <w:color w:val="auto"/>
                <w:lang w:eastAsia="zh-CN"/>
              </w:rPr>
              <w:t>并产生</w:t>
            </w:r>
            <w:r>
              <w:rPr>
                <w:color w:val="auto"/>
              </w:rPr>
              <w:t>施工机械噪声和扬尘</w:t>
            </w:r>
            <w:r>
              <w:rPr>
                <w:rFonts w:hint="eastAsia"/>
                <w:color w:val="auto"/>
                <w:lang w:eastAsia="zh-CN"/>
              </w:rPr>
              <w:t>，</w:t>
            </w:r>
            <w:r>
              <w:rPr>
                <w:color w:val="auto"/>
              </w:rPr>
              <w:t>对周围的环境造成污染。</w:t>
            </w:r>
          </w:p>
          <w:p w14:paraId="0A106AFA">
            <w:pPr>
              <w:spacing w:line="360" w:lineRule="auto"/>
              <w:ind w:firstLine="480" w:firstLineChars="200"/>
              <w:rPr>
                <w:rFonts w:ascii="Times New Roman" w:hAnsi="Times New Roman" w:eastAsia="宋体" w:cs="宋体"/>
                <w:color w:val="auto"/>
                <w:kern w:val="0"/>
                <w:sz w:val="24"/>
                <w:szCs w:val="21"/>
              </w:rPr>
            </w:pPr>
            <w:r>
              <w:rPr>
                <w:rFonts w:hint="eastAsia" w:ascii="Times New Roman" w:hAnsi="Times New Roman" w:eastAsia="宋体" w:cs="宋体"/>
                <w:color w:val="auto"/>
                <w:kern w:val="0"/>
                <w:sz w:val="24"/>
                <w:szCs w:val="21"/>
              </w:rPr>
              <w:t>（</w:t>
            </w:r>
            <w:r>
              <w:rPr>
                <w:rFonts w:hint="eastAsia" w:cs="宋体"/>
                <w:color w:val="auto"/>
                <w:kern w:val="0"/>
                <w:sz w:val="24"/>
                <w:szCs w:val="21"/>
                <w:lang w:val="en-US" w:eastAsia="zh-CN"/>
              </w:rPr>
              <w:t>2</w:t>
            </w:r>
            <w:r>
              <w:rPr>
                <w:rFonts w:hint="eastAsia" w:ascii="Times New Roman" w:hAnsi="Times New Roman" w:eastAsia="宋体" w:cs="宋体"/>
                <w:color w:val="auto"/>
                <w:kern w:val="0"/>
                <w:sz w:val="24"/>
                <w:szCs w:val="21"/>
              </w:rPr>
              <w:t>）路基工程</w:t>
            </w:r>
          </w:p>
          <w:p w14:paraId="3E90C827">
            <w:pPr>
              <w:snapToGrid w:val="0"/>
              <w:ind w:firstLine="640"/>
              <w:rPr>
                <w:rFonts w:hint="eastAsia" w:ascii="Times New Roman" w:hAnsi="Times New Roman" w:eastAsia="宋体" w:cs="宋体"/>
                <w:color w:val="auto"/>
                <w:kern w:val="0"/>
                <w:sz w:val="24"/>
                <w:szCs w:val="21"/>
                <w:lang w:eastAsia="zh-CN"/>
              </w:rPr>
            </w:pPr>
            <w:r>
              <w:rPr>
                <w:rFonts w:hint="eastAsia" w:ascii="Times New Roman" w:hAnsi="Times New Roman" w:eastAsia="宋体" w:cs="宋体"/>
                <w:color w:val="auto"/>
                <w:kern w:val="0"/>
                <w:sz w:val="24"/>
                <w:szCs w:val="21"/>
              </w:rPr>
              <w:t>路基施工前应按设计文件进行施工复测及放样。路基土方施工采用汽车运输、机械碾压方法施工。路基土方必须分层碾压，严格控制最佳含水量，达到要求的压实度。分层最大松铺厚度根据机械压实功能确定，单层铺筑厚度不得大于</w:t>
            </w:r>
            <w:r>
              <w:rPr>
                <w:rFonts w:hint="default" w:ascii="Times New Roman" w:hAnsi="Times New Roman" w:eastAsia="宋体" w:cs="宋体"/>
                <w:color w:val="auto"/>
                <w:kern w:val="0"/>
                <w:sz w:val="24"/>
                <w:szCs w:val="21"/>
              </w:rPr>
              <w:t>20cm</w:t>
            </w:r>
            <w:r>
              <w:rPr>
                <w:rFonts w:hint="eastAsia" w:ascii="Times New Roman" w:hAnsi="Times New Roman" w:eastAsia="宋体" w:cs="宋体"/>
                <w:color w:val="auto"/>
                <w:kern w:val="0"/>
                <w:sz w:val="24"/>
                <w:szCs w:val="21"/>
              </w:rPr>
              <w:t>，路基、路床填料最大粒径应符合规范要求。路基处理应避免在春融期和雨季进行，并注意路基施工期间的排水。路侧边沟按《路基排水设计图》施工，使其形成统一的排水系统，要求沟形整齐，排水通畅。应注意施工环境保护，不允许任意扩大取土场面积、随意变更取土场、随意弃土等破坏环境的施工行为。防护工程砌筑前，须将地基夯实，其承载力不小于</w:t>
            </w:r>
            <w:r>
              <w:rPr>
                <w:rFonts w:hint="default" w:ascii="Times New Roman" w:hAnsi="Times New Roman" w:eastAsia="宋体" w:cs="宋体"/>
                <w:color w:val="auto"/>
                <w:kern w:val="0"/>
                <w:sz w:val="24"/>
                <w:szCs w:val="21"/>
              </w:rPr>
              <w:t>0.2Mpa</w:t>
            </w:r>
            <w:r>
              <w:rPr>
                <w:rFonts w:hint="eastAsia" w:ascii="Times New Roman" w:hAnsi="Times New Roman" w:eastAsia="宋体" w:cs="宋体"/>
                <w:color w:val="auto"/>
                <w:kern w:val="0"/>
                <w:sz w:val="24"/>
                <w:szCs w:val="21"/>
              </w:rPr>
              <w:t>。路基施工应注意保通，</w:t>
            </w:r>
            <w:r>
              <w:rPr>
                <w:rFonts w:hint="eastAsia" w:cs="宋体"/>
                <w:color w:val="auto"/>
                <w:kern w:val="0"/>
                <w:sz w:val="24"/>
                <w:szCs w:val="21"/>
                <w:lang w:eastAsia="zh-CN"/>
              </w:rPr>
              <w:t>做好</w:t>
            </w:r>
            <w:r>
              <w:rPr>
                <w:rFonts w:hint="eastAsia" w:ascii="Times New Roman" w:hAnsi="Times New Roman" w:eastAsia="宋体" w:cs="宋体"/>
                <w:color w:val="auto"/>
                <w:kern w:val="0"/>
                <w:sz w:val="24"/>
                <w:szCs w:val="21"/>
              </w:rPr>
              <w:t>文明施工安排。</w:t>
            </w:r>
          </w:p>
          <w:p w14:paraId="30BEC4D0">
            <w:pPr>
              <w:spacing w:line="360" w:lineRule="auto"/>
              <w:ind w:firstLine="480" w:firstLineChars="200"/>
              <w:rPr>
                <w:rFonts w:ascii="Times New Roman" w:hAnsi="Times New Roman" w:eastAsia="宋体" w:cs="宋体"/>
                <w:color w:val="auto"/>
                <w:kern w:val="0"/>
                <w:sz w:val="24"/>
                <w:szCs w:val="21"/>
              </w:rPr>
            </w:pPr>
            <w:r>
              <w:rPr>
                <w:rFonts w:hint="eastAsia" w:ascii="Times New Roman" w:hAnsi="Times New Roman" w:eastAsia="宋体" w:cs="宋体"/>
                <w:color w:val="auto"/>
                <w:kern w:val="0"/>
                <w:sz w:val="24"/>
                <w:szCs w:val="21"/>
              </w:rPr>
              <w:t>（</w:t>
            </w:r>
            <w:r>
              <w:rPr>
                <w:rFonts w:hint="eastAsia" w:cs="宋体"/>
                <w:color w:val="auto"/>
                <w:kern w:val="0"/>
                <w:sz w:val="24"/>
                <w:szCs w:val="21"/>
                <w:lang w:val="en-US" w:eastAsia="zh-CN"/>
              </w:rPr>
              <w:t>3</w:t>
            </w:r>
            <w:r>
              <w:rPr>
                <w:rFonts w:hint="eastAsia" w:ascii="Times New Roman" w:hAnsi="Times New Roman" w:eastAsia="宋体" w:cs="宋体"/>
                <w:color w:val="auto"/>
                <w:kern w:val="0"/>
                <w:sz w:val="24"/>
                <w:szCs w:val="21"/>
              </w:rPr>
              <w:t>）路面工程</w:t>
            </w:r>
          </w:p>
          <w:p w14:paraId="54AAEF24">
            <w:pPr>
              <w:spacing w:line="360" w:lineRule="auto"/>
              <w:ind w:firstLine="480" w:firstLineChars="200"/>
              <w:rPr>
                <w:rFonts w:hint="eastAsia" w:ascii="Times New Roman" w:hAnsi="Times New Roman" w:eastAsia="宋体" w:cs="宋体"/>
                <w:color w:val="auto"/>
                <w:kern w:val="0"/>
                <w:sz w:val="24"/>
                <w:szCs w:val="21"/>
              </w:rPr>
            </w:pPr>
            <w:r>
              <w:rPr>
                <w:rFonts w:hint="eastAsia" w:ascii="Times New Roman" w:hAnsi="Times New Roman" w:eastAsia="宋体" w:cs="宋体"/>
                <w:color w:val="auto"/>
                <w:kern w:val="0"/>
                <w:sz w:val="24"/>
                <w:szCs w:val="21"/>
              </w:rPr>
              <w:t>路面铺筑期间，应收集月、旬、日天气预报，遇有影响路面施工质量的天气时，应暂停施工并采取必要的防范措施。雨季、风天、高温季节、低温季节施工应制定相应的施工方案。做好施工前准备工作，包括施工机械选择、施工组织、摊铺前材料与设备检查及对路基和基层的检测与修整。基层和面层在正式摊铺前，必须铺筑试验路段。路面各层施工要严格控制厚度及标高，以保证设计强度与路面平整度，并应注意土路肩的压实。应注意施工环境保护，污水不得随意排放，废弃的</w:t>
            </w:r>
            <w:r>
              <w:rPr>
                <w:rFonts w:hint="eastAsia" w:cs="宋体"/>
                <w:color w:val="auto"/>
                <w:kern w:val="0"/>
                <w:sz w:val="24"/>
                <w:szCs w:val="21"/>
                <w:lang w:eastAsia="zh-CN"/>
              </w:rPr>
              <w:t>水泥</w:t>
            </w:r>
            <w:r>
              <w:rPr>
                <w:rFonts w:hint="eastAsia" w:ascii="Times New Roman" w:hAnsi="Times New Roman" w:eastAsia="宋体" w:cs="宋体"/>
                <w:color w:val="auto"/>
                <w:kern w:val="0"/>
                <w:sz w:val="24"/>
                <w:szCs w:val="21"/>
              </w:rPr>
              <w:t>混凝土、基层残渣等废弃物应集中堆放或掩埋。外购砂石材料备料运输时，应按设计部门所给的便道上路，以免较重的料车损坏村屯道路和对居民生活带来危害。</w:t>
            </w:r>
          </w:p>
          <w:p w14:paraId="7D7ABB5A">
            <w:pPr>
              <w:spacing w:line="360" w:lineRule="auto"/>
              <w:ind w:firstLine="480" w:firstLineChars="200"/>
              <w:rPr>
                <w:rFonts w:hint="eastAsia" w:ascii="Times New Roman" w:hAnsi="Times New Roman" w:eastAsia="宋体" w:cs="宋体"/>
                <w:color w:val="auto"/>
                <w:kern w:val="0"/>
                <w:sz w:val="24"/>
                <w:szCs w:val="21"/>
              </w:rPr>
            </w:pPr>
            <w:r>
              <w:rPr>
                <w:rFonts w:ascii="宋体" w:hAnsi="宋体" w:eastAsia="宋体" w:cs="宋体"/>
                <w:color w:val="auto"/>
                <w:sz w:val="24"/>
                <w:szCs w:val="24"/>
              </w:rPr>
              <w:t>项目穿越生态敏感区路段，对水泥混凝土路面采用整板更换结合局部修复工艺施工。对保留板块同步开展裂缝密封、板底注浆及破损修补工作。</w:t>
            </w:r>
          </w:p>
          <w:p w14:paraId="41628668">
            <w:pPr>
              <w:pStyle w:val="5"/>
              <w:spacing w:line="360" w:lineRule="auto"/>
              <w:ind w:left="0" w:leftChars="0" w:firstLine="480" w:firstLineChars="200"/>
              <w:rPr>
                <w:rFonts w:hint="eastAsia"/>
                <w:color w:val="auto"/>
                <w:szCs w:val="21"/>
              </w:rPr>
            </w:pPr>
            <w:r>
              <w:rPr>
                <w:rFonts w:hint="eastAsia"/>
                <w:color w:val="auto"/>
                <w:szCs w:val="21"/>
              </w:rPr>
              <w:t>（</w:t>
            </w:r>
            <w:r>
              <w:rPr>
                <w:rFonts w:hint="eastAsia"/>
                <w:color w:val="auto"/>
                <w:szCs w:val="21"/>
                <w:lang w:val="en-US" w:eastAsia="zh-CN"/>
              </w:rPr>
              <w:t>4</w:t>
            </w:r>
            <w:r>
              <w:rPr>
                <w:rFonts w:hint="eastAsia"/>
                <w:color w:val="auto"/>
                <w:szCs w:val="21"/>
              </w:rPr>
              <w:t>）涵洞、交叉工程</w:t>
            </w:r>
          </w:p>
          <w:p w14:paraId="47AFEEF9">
            <w:pPr>
              <w:spacing w:line="360" w:lineRule="auto"/>
              <w:ind w:firstLine="480" w:firstLineChars="200"/>
              <w:rPr>
                <w:rFonts w:hint="eastAsia" w:ascii="Times New Roman" w:hAnsi="Times New Roman" w:eastAsia="宋体" w:cs="宋体"/>
                <w:color w:val="auto"/>
                <w:kern w:val="0"/>
                <w:sz w:val="24"/>
                <w:szCs w:val="21"/>
              </w:rPr>
            </w:pPr>
            <w:r>
              <w:rPr>
                <w:rFonts w:hint="eastAsia" w:ascii="Times New Roman" w:hAnsi="Times New Roman" w:eastAsia="宋体" w:cs="宋体"/>
                <w:color w:val="auto"/>
                <w:kern w:val="0"/>
                <w:sz w:val="24"/>
                <w:szCs w:val="21"/>
                <w:lang w:eastAsia="zh-CN"/>
              </w:rPr>
              <w:t>本项目共设置涵洞</w:t>
            </w:r>
            <w:r>
              <w:rPr>
                <w:rFonts w:hint="eastAsia" w:cs="宋体"/>
                <w:color w:val="auto"/>
                <w:kern w:val="0"/>
                <w:sz w:val="24"/>
                <w:szCs w:val="21"/>
                <w:lang w:val="en-US" w:eastAsia="zh-CN"/>
              </w:rPr>
              <w:t>8</w:t>
            </w:r>
            <w:r>
              <w:rPr>
                <w:rFonts w:hint="eastAsia" w:ascii="Times New Roman" w:hAnsi="Times New Roman" w:eastAsia="宋体" w:cs="宋体"/>
                <w:color w:val="auto"/>
                <w:kern w:val="0"/>
                <w:sz w:val="24"/>
                <w:szCs w:val="21"/>
                <w:lang w:val="en-US" w:eastAsia="zh-CN"/>
              </w:rPr>
              <w:t>道</w:t>
            </w:r>
            <w:r>
              <w:rPr>
                <w:rFonts w:hint="eastAsia" w:ascii="Times New Roman" w:hAnsi="Times New Roman" w:eastAsia="宋体" w:cs="宋体"/>
                <w:color w:val="auto"/>
                <w:kern w:val="0"/>
                <w:sz w:val="24"/>
                <w:szCs w:val="21"/>
                <w:lang w:eastAsia="zh-CN"/>
              </w:rPr>
              <w:t>；平面交叉</w:t>
            </w:r>
            <w:r>
              <w:rPr>
                <w:rFonts w:hint="eastAsia" w:ascii="Times New Roman" w:hAnsi="Times New Roman" w:eastAsia="宋体" w:cs="宋体"/>
                <w:color w:val="auto"/>
                <w:kern w:val="0"/>
                <w:sz w:val="24"/>
                <w:szCs w:val="21"/>
                <w:lang w:val="en-US" w:eastAsia="zh-CN"/>
              </w:rPr>
              <w:t>167处</w:t>
            </w:r>
            <w:r>
              <w:rPr>
                <w:rFonts w:hint="eastAsia" w:ascii="Times New Roman" w:hAnsi="Times New Roman" w:eastAsia="宋体" w:cs="宋体"/>
                <w:color w:val="auto"/>
                <w:kern w:val="0"/>
                <w:sz w:val="24"/>
                <w:szCs w:val="21"/>
                <w:lang w:eastAsia="zh-CN"/>
              </w:rPr>
              <w:t>，</w:t>
            </w:r>
            <w:r>
              <w:rPr>
                <w:rFonts w:hint="eastAsia" w:ascii="Times New Roman" w:hAnsi="Times New Roman" w:eastAsia="宋体" w:cs="宋体"/>
                <w:color w:val="auto"/>
                <w:kern w:val="0"/>
                <w:sz w:val="24"/>
                <w:szCs w:val="21"/>
                <w:lang w:val="en-US" w:eastAsia="zh-CN"/>
              </w:rPr>
              <w:t>其中：与四级、等外公路交叉2处，与四级公路交叉37处，与等外公路交叉128处。平面交叉道路面采用铺筑水泥混凝土路面和碎石土路面。</w:t>
            </w:r>
            <w:r>
              <w:rPr>
                <w:rFonts w:hint="eastAsia" w:ascii="Times New Roman" w:hAnsi="Times New Roman" w:eastAsia="宋体" w:cs="宋体"/>
                <w:color w:val="auto"/>
                <w:kern w:val="0"/>
                <w:sz w:val="24"/>
                <w:szCs w:val="21"/>
              </w:rPr>
              <w:t>涵洞施工是保证施工期的控制性工程，应加快工程进度，保证工程质量，应确保桥头与路基良好衔接过渡，防止跳车现象发生，同时需要做好保通工作，以利于边施工、边通车，争取尽早投入使用。</w:t>
            </w:r>
          </w:p>
          <w:p w14:paraId="39C4D663">
            <w:pPr>
              <w:spacing w:beforeLines="0" w:afterLines="0"/>
              <w:jc w:val="left"/>
              <w:rPr>
                <w:rFonts w:hint="default"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2、保通方案</w:t>
            </w:r>
          </w:p>
          <w:p w14:paraId="4618EB5D">
            <w:pPr>
              <w:pStyle w:val="5"/>
              <w:spacing w:line="360" w:lineRule="auto"/>
              <w:ind w:left="0" w:leftChars="0" w:firstLine="480" w:firstLineChars="200"/>
              <w:rPr>
                <w:rFonts w:hint="eastAsia"/>
                <w:color w:val="auto"/>
                <w:szCs w:val="21"/>
                <w:lang w:val="en-US" w:eastAsia="zh-CN"/>
              </w:rPr>
            </w:pPr>
            <w:r>
              <w:rPr>
                <w:rFonts w:hint="eastAsia"/>
                <w:color w:val="auto"/>
                <w:szCs w:val="21"/>
                <w:lang w:val="en-US" w:eastAsia="zh-CN"/>
              </w:rPr>
              <w:t>本项目为公路改扩建项目，</w:t>
            </w:r>
            <w:r>
              <w:rPr>
                <w:rFonts w:hint="eastAsia"/>
                <w:color w:val="auto"/>
                <w:lang w:val="en-US" w:eastAsia="zh-CN"/>
              </w:rPr>
              <w:t>道路采取全封闭施工组织方案，不涉及</w:t>
            </w:r>
            <w:r>
              <w:rPr>
                <w:rFonts w:hint="default" w:cs="宋体"/>
                <w:color w:val="auto"/>
                <w:vertAlign w:val="baseline"/>
                <w:lang w:val="en-US" w:eastAsia="zh-CN"/>
              </w:rPr>
              <w:t>临时行车道路</w:t>
            </w:r>
            <w:r>
              <w:rPr>
                <w:rFonts w:hint="eastAsia" w:cs="宋体"/>
                <w:color w:val="auto"/>
                <w:vertAlign w:val="baseline"/>
                <w:lang w:val="en-US" w:eastAsia="zh-CN"/>
              </w:rPr>
              <w:t>，</w:t>
            </w:r>
            <w:r>
              <w:rPr>
                <w:rFonts w:hint="eastAsia"/>
                <w:color w:val="auto"/>
                <w:szCs w:val="21"/>
                <w:lang w:val="en-US" w:eastAsia="zh-CN"/>
              </w:rPr>
              <w:t>施工附近村屯过境段可利用村内现有其他道路进行保通，</w:t>
            </w:r>
            <w:r>
              <w:rPr>
                <w:rFonts w:hint="eastAsia"/>
                <w:color w:val="auto"/>
              </w:rPr>
              <w:t>全线设置涵洞</w:t>
            </w:r>
            <w:r>
              <w:rPr>
                <w:rFonts w:hint="eastAsia"/>
                <w:color w:val="auto"/>
                <w:lang w:val="en-US" w:eastAsia="zh-CN"/>
              </w:rPr>
              <w:t>8</w:t>
            </w:r>
            <w:r>
              <w:rPr>
                <w:rFonts w:hint="eastAsia"/>
                <w:color w:val="auto"/>
              </w:rPr>
              <w:t>道</w:t>
            </w:r>
            <w:r>
              <w:rPr>
                <w:rFonts w:hint="eastAsia"/>
                <w:color w:val="auto"/>
                <w:lang w:eastAsia="zh-CN"/>
              </w:rPr>
              <w:t>，涵洞均设置临时施工便道，</w:t>
            </w:r>
            <w:r>
              <w:rPr>
                <w:rFonts w:hint="eastAsia" w:cs="Times New Roman"/>
                <w:color w:val="auto"/>
                <w:highlight w:val="none"/>
                <w:vertAlign w:val="baseline"/>
                <w:lang w:eastAsia="zh-CN"/>
              </w:rPr>
              <w:t>占地类</w:t>
            </w:r>
            <w:r>
              <w:rPr>
                <w:rFonts w:hint="eastAsia" w:cs="Times New Roman"/>
                <w:color w:val="auto"/>
                <w:sz w:val="24"/>
                <w:szCs w:val="24"/>
                <w:highlight w:val="none"/>
                <w:vertAlign w:val="baseline"/>
                <w:lang w:eastAsia="zh-CN"/>
              </w:rPr>
              <w:t>型为</w:t>
            </w:r>
            <w:r>
              <w:rPr>
                <w:rFonts w:hint="eastAsia" w:cs="Times New Roman"/>
                <w:bCs/>
                <w:color w:val="auto"/>
                <w:kern w:val="2"/>
                <w:sz w:val="24"/>
                <w:szCs w:val="24"/>
                <w:highlight w:val="none"/>
                <w:lang w:val="en-US" w:eastAsia="zh-CN" w:bidi="ar-SA"/>
              </w:rPr>
              <w:t>公路用地，位于永久占地范围内</w:t>
            </w:r>
            <w:r>
              <w:rPr>
                <w:rFonts w:hint="eastAsia"/>
                <w:color w:val="auto"/>
                <w:lang w:eastAsia="zh-CN"/>
              </w:rPr>
              <w:t>。</w:t>
            </w:r>
          </w:p>
          <w:p w14:paraId="1400086B">
            <w:pPr>
              <w:pStyle w:val="5"/>
              <w:spacing w:line="360" w:lineRule="auto"/>
              <w:ind w:left="0" w:leftChars="0" w:firstLine="480" w:firstLineChars="200"/>
              <w:rPr>
                <w:rFonts w:hint="eastAsia" w:eastAsia="宋体"/>
                <w:color w:val="auto"/>
                <w:szCs w:val="21"/>
                <w:lang w:eastAsia="zh-CN"/>
              </w:rPr>
            </w:pPr>
            <w:r>
              <w:rPr>
                <w:rFonts w:hint="eastAsia"/>
                <w:color w:val="auto"/>
                <w:szCs w:val="21"/>
                <w:lang w:val="en-US" w:eastAsia="zh-CN"/>
              </w:rPr>
              <w:t>3</w:t>
            </w:r>
            <w:r>
              <w:rPr>
                <w:rFonts w:hint="eastAsia"/>
                <w:color w:val="auto"/>
                <w:szCs w:val="21"/>
              </w:rPr>
              <w:t>、施工</w:t>
            </w:r>
            <w:r>
              <w:rPr>
                <w:rFonts w:hint="eastAsia"/>
                <w:color w:val="auto"/>
                <w:szCs w:val="21"/>
                <w:lang w:eastAsia="zh-CN"/>
              </w:rPr>
              <w:t>安排</w:t>
            </w:r>
          </w:p>
          <w:p w14:paraId="094B7817">
            <w:pPr>
              <w:ind w:firstLine="480" w:firstLineChars="200"/>
              <w:rPr>
                <w:rFonts w:hint="eastAsia"/>
                <w:color w:val="auto"/>
                <w:highlight w:val="none"/>
              </w:rPr>
            </w:pPr>
            <w:r>
              <w:rPr>
                <w:rFonts w:hint="eastAsia"/>
                <w:color w:val="auto"/>
                <w:lang w:eastAsia="zh-CN"/>
              </w:rPr>
              <w:t>公路</w:t>
            </w:r>
            <w:r>
              <w:rPr>
                <w:rFonts w:hint="eastAsia"/>
                <w:color w:val="auto"/>
              </w:rPr>
              <w:t>施工的先后顺序为施工准备工作及临时工程、路基土方工程、排水与防护、</w:t>
            </w:r>
            <w:r>
              <w:rPr>
                <w:rFonts w:hint="eastAsia"/>
                <w:color w:val="auto"/>
                <w:szCs w:val="21"/>
              </w:rPr>
              <w:t>涵洞工程、</w:t>
            </w:r>
            <w:r>
              <w:rPr>
                <w:rFonts w:hint="eastAsia"/>
                <w:color w:val="auto"/>
              </w:rPr>
              <w:t>路面基层、路面面层、绿化工程、交通工程及沿线设施。</w:t>
            </w:r>
          </w:p>
          <w:p w14:paraId="2EE7CBE2">
            <w:pPr>
              <w:ind w:firstLine="480" w:firstLineChars="200"/>
              <w:rPr>
                <w:rFonts w:hint="eastAsia"/>
                <w:color w:val="auto"/>
                <w:highlight w:val="none"/>
              </w:rPr>
            </w:pPr>
            <w:r>
              <w:rPr>
                <w:rFonts w:hint="eastAsia"/>
                <w:color w:val="auto"/>
                <w:highlight w:val="none"/>
              </w:rPr>
              <w:t>本项</w:t>
            </w:r>
            <w:r>
              <w:rPr>
                <w:rFonts w:hint="eastAsia"/>
                <w:color w:val="auto"/>
                <w:sz w:val="24"/>
                <w:szCs w:val="24"/>
                <w:highlight w:val="none"/>
              </w:rPr>
              <w:t>目建设期为20</w:t>
            </w:r>
            <w:r>
              <w:rPr>
                <w:rFonts w:hint="eastAsia"/>
                <w:color w:val="auto"/>
                <w:sz w:val="24"/>
                <w:szCs w:val="24"/>
                <w:highlight w:val="none"/>
                <w:lang w:val="en-US" w:eastAsia="zh-CN"/>
              </w:rPr>
              <w:t>26</w:t>
            </w:r>
            <w:r>
              <w:rPr>
                <w:rFonts w:hint="eastAsia"/>
                <w:color w:val="auto"/>
                <w:sz w:val="24"/>
                <w:szCs w:val="24"/>
                <w:highlight w:val="none"/>
              </w:rPr>
              <w:t>年</w:t>
            </w:r>
            <w:r>
              <w:rPr>
                <w:rFonts w:hint="eastAsia"/>
                <w:color w:val="auto"/>
                <w:sz w:val="24"/>
                <w:szCs w:val="24"/>
                <w:highlight w:val="none"/>
                <w:lang w:val="en-US" w:eastAsia="zh-CN"/>
              </w:rPr>
              <w:t>10</w:t>
            </w:r>
            <w:r>
              <w:rPr>
                <w:rFonts w:hint="eastAsia"/>
                <w:color w:val="auto"/>
                <w:sz w:val="24"/>
                <w:szCs w:val="24"/>
                <w:highlight w:val="none"/>
              </w:rPr>
              <w:t>月～202</w:t>
            </w:r>
            <w:r>
              <w:rPr>
                <w:rFonts w:hint="eastAsia"/>
                <w:color w:val="auto"/>
                <w:sz w:val="24"/>
                <w:szCs w:val="24"/>
                <w:highlight w:val="none"/>
                <w:lang w:val="en-US" w:eastAsia="zh-CN"/>
              </w:rPr>
              <w:t>7</w:t>
            </w:r>
            <w:r>
              <w:rPr>
                <w:rFonts w:hint="eastAsia"/>
                <w:color w:val="auto"/>
                <w:sz w:val="24"/>
                <w:szCs w:val="24"/>
                <w:highlight w:val="none"/>
              </w:rPr>
              <w:t>年</w:t>
            </w:r>
            <w:r>
              <w:rPr>
                <w:rFonts w:hint="eastAsia"/>
                <w:color w:val="auto"/>
                <w:sz w:val="24"/>
                <w:szCs w:val="24"/>
                <w:highlight w:val="none"/>
                <w:lang w:val="en-US" w:eastAsia="zh-CN"/>
              </w:rPr>
              <w:t>10</w:t>
            </w:r>
            <w:r>
              <w:rPr>
                <w:rFonts w:hint="eastAsia"/>
                <w:color w:val="auto"/>
                <w:sz w:val="24"/>
                <w:szCs w:val="24"/>
                <w:highlight w:val="none"/>
              </w:rPr>
              <w:t>月。</w:t>
            </w:r>
          </w:p>
          <w:p w14:paraId="126A8AC7">
            <w:pPr>
              <w:spacing w:line="360" w:lineRule="auto"/>
              <w:ind w:firstLine="480" w:firstLineChars="200"/>
              <w:rPr>
                <w:rFonts w:hint="eastAsia"/>
                <w:color w:val="auto"/>
                <w:lang w:val="en-US" w:eastAsia="zh-CN"/>
              </w:rPr>
            </w:pPr>
            <w:r>
              <w:rPr>
                <w:rFonts w:hint="eastAsia"/>
                <w:color w:val="auto"/>
                <w:lang w:val="en-US" w:eastAsia="zh-CN"/>
              </w:rPr>
              <w:t>4、筑路材料来源和运输条件</w:t>
            </w:r>
          </w:p>
          <w:p w14:paraId="7B4F71DE">
            <w:pPr>
              <w:ind w:firstLine="480"/>
              <w:rPr>
                <w:rFonts w:hint="eastAsia"/>
                <w:color w:val="auto"/>
                <w:lang w:val="en-US" w:eastAsia="zh-CN"/>
              </w:rPr>
            </w:pPr>
            <w:r>
              <w:rPr>
                <w:rFonts w:hint="eastAsia"/>
                <w:color w:val="auto"/>
                <w:lang w:val="en-US" w:eastAsia="zh-CN"/>
              </w:rPr>
              <w:t>（1）石料</w:t>
            </w:r>
          </w:p>
          <w:p w14:paraId="14471E93">
            <w:pPr>
              <w:pStyle w:val="7"/>
              <w:rPr>
                <w:rFonts w:hint="eastAsia" w:ascii="Times New Roman" w:hAnsi="Times New Roman" w:eastAsia="宋体" w:cs="Times New Roman"/>
                <w:color w:val="auto"/>
                <w:lang w:val="en-US" w:eastAsia="zh-CN"/>
              </w:rPr>
            </w:pPr>
            <w:r>
              <w:rPr>
                <w:rFonts w:hint="eastAsia"/>
                <w:color w:val="auto"/>
                <w:lang w:val="en-US" w:eastAsia="zh-CN"/>
              </w:rPr>
              <w:t>石料源自</w:t>
            </w:r>
            <w:r>
              <w:rPr>
                <w:rFonts w:hint="eastAsia" w:ascii="Times New Roman" w:hAnsi="Times New Roman" w:eastAsia="宋体" w:cs="Times New Roman"/>
                <w:color w:val="auto"/>
                <w:lang w:val="en-US" w:eastAsia="zh-CN"/>
              </w:rPr>
              <w:t>丰华采石场，该石场位于宝清县，为我省路面用碎石较大的石场。反击式、颚式碎石机械可</w:t>
            </w:r>
            <w:r>
              <w:rPr>
                <w:rFonts w:hint="eastAsia" w:cs="Times New Roman"/>
                <w:color w:val="auto"/>
                <w:lang w:val="en-US" w:eastAsia="zh-CN"/>
              </w:rPr>
              <w:t>生产</w:t>
            </w:r>
            <w:r>
              <w:rPr>
                <w:rFonts w:hint="eastAsia" w:ascii="Times New Roman" w:hAnsi="Times New Roman" w:eastAsia="宋体" w:cs="Times New Roman"/>
                <w:color w:val="auto"/>
                <w:lang w:val="en-US" w:eastAsia="zh-CN"/>
              </w:rPr>
              <w:t>各种规格的碎石，产量反击式、颚式碎石机械可</w:t>
            </w:r>
            <w:r>
              <w:rPr>
                <w:rFonts w:hint="eastAsia" w:cs="Times New Roman"/>
                <w:color w:val="auto"/>
                <w:lang w:val="en-US" w:eastAsia="zh-CN"/>
              </w:rPr>
              <w:t>生产</w:t>
            </w:r>
            <w:r>
              <w:rPr>
                <w:rFonts w:hint="eastAsia" w:ascii="Times New Roman" w:hAnsi="Times New Roman" w:eastAsia="宋体" w:cs="Times New Roman"/>
                <w:color w:val="auto"/>
                <w:lang w:val="en-US" w:eastAsia="zh-CN"/>
              </w:rPr>
              <w:t>各种规格的碎石，产量大。可用于路面、防护及桥涵混凝土工程。汽车运输至工地。</w:t>
            </w:r>
          </w:p>
          <w:p w14:paraId="4E99D594">
            <w:pPr>
              <w:ind w:firstLine="48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（2）砂场</w:t>
            </w:r>
          </w:p>
          <w:p w14:paraId="4FE16033">
            <w:pPr>
              <w:ind w:firstLine="480"/>
              <w:rPr>
                <w:rFonts w:hint="eastAsia" w:ascii="Times New Roman" w:hAnsi="Times New Roman" w:eastAsia="宋体" w:cs="Times New Roman"/>
                <w:color w:val="auto"/>
                <w:lang w:val="en-US" w:eastAsia="zh-CN"/>
              </w:rPr>
            </w:pPr>
            <w:r>
              <w:rPr>
                <w:rFonts w:hint="eastAsia" w:cs="Times New Roman"/>
                <w:color w:val="auto"/>
                <w:lang w:val="en-US" w:eastAsia="zh-CN"/>
              </w:rPr>
              <w:t>砂料源自</w:t>
            </w:r>
            <w:r>
              <w:rPr>
                <w:rFonts w:hint="eastAsia" w:ascii="Times New Roman" w:hAnsi="Times New Roman" w:eastAsia="宋体" w:cs="Times New Roman"/>
                <w:color w:val="auto"/>
                <w:lang w:val="en-US" w:eastAsia="zh-CN"/>
              </w:rPr>
              <w:t>宝清县鑫山采砂场，该砂场位于宝清县，产中粗砂，砂砾砂纸纯洁，砂砾</w:t>
            </w:r>
            <w:r>
              <w:rPr>
                <w:rFonts w:hint="eastAsia" w:cs="Times New Roman"/>
                <w:color w:val="auto"/>
                <w:lang w:val="en-US" w:eastAsia="zh-CN"/>
              </w:rPr>
              <w:t>磨圆</w:t>
            </w:r>
            <w:r>
              <w:rPr>
                <w:rFonts w:hint="eastAsia" w:ascii="Times New Roman" w:hAnsi="Times New Roman" w:eastAsia="宋体" w:cs="Times New Roman"/>
                <w:color w:val="auto"/>
                <w:lang w:val="en-US" w:eastAsia="zh-CN"/>
              </w:rPr>
              <w:t>性好，可用于防护，路基处理桥涵工程，中粗砂可用于路基、路面、防护及桥涵混凝土工程。</w:t>
            </w:r>
          </w:p>
          <w:p w14:paraId="12416519">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（3）土方</w:t>
            </w:r>
          </w:p>
          <w:p w14:paraId="73DDFF7C">
            <w:pPr>
              <w:ind w:firstLine="480"/>
              <w:rPr>
                <w:rFonts w:hint="default"/>
                <w:color w:val="auto"/>
                <w:lang w:val="en-US" w:eastAsia="zh-CN"/>
              </w:rPr>
            </w:pPr>
            <w:r>
              <w:rPr>
                <w:rFonts w:hint="eastAsia" w:cs="Times New Roman"/>
                <w:color w:val="auto"/>
                <w:lang w:val="en-US" w:eastAsia="zh-CN"/>
              </w:rPr>
              <w:t>土料源自</w:t>
            </w:r>
            <w:r>
              <w:rPr>
                <w:rFonts w:hint="eastAsia" w:ascii="Times New Roman" w:hAnsi="Times New Roman" w:eastAsia="宋体" w:cs="Times New Roman"/>
                <w:color w:val="auto"/>
                <w:lang w:val="en-US" w:eastAsia="zh-CN"/>
              </w:rPr>
              <w:t>丰华土场，存储量丰厚，完全能满足本项目土方需要，初步设计阶段借方采取购买方式，汽车运输至工地。</w:t>
            </w:r>
          </w:p>
        </w:tc>
      </w:tr>
      <w:tr w14:paraId="4C4CB4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01" w:hRule="atLeast"/>
          <w:jc w:val="center"/>
        </w:trPr>
        <w:tc>
          <w:tcPr>
            <w:tcW w:w="452" w:type="pct"/>
            <w:noWrap w:val="0"/>
            <w:vAlign w:val="center"/>
          </w:tcPr>
          <w:p w14:paraId="197B8E9D">
            <w:pPr>
              <w:pStyle w:val="38"/>
              <w:rPr>
                <w:color w:val="auto"/>
                <w:highlight w:val="none"/>
              </w:rPr>
            </w:pPr>
            <w:r>
              <w:rPr>
                <w:color w:val="auto"/>
                <w:highlight w:val="none"/>
              </w:rPr>
              <w:t>其他</w:t>
            </w:r>
          </w:p>
        </w:tc>
        <w:tc>
          <w:tcPr>
            <w:tcW w:w="4547" w:type="pct"/>
            <w:noWrap w:val="0"/>
            <w:vAlign w:val="center"/>
          </w:tcPr>
          <w:p w14:paraId="6F3205FA">
            <w:pPr>
              <w:pStyle w:val="34"/>
              <w:ind w:left="0" w:leftChars="0" w:firstLine="480" w:firstLineChars="200"/>
              <w:jc w:val="both"/>
              <w:rPr>
                <w:rFonts w:hint="eastAsia" w:eastAsia="宋体"/>
                <w:color w:val="auto"/>
                <w:highlight w:val="none"/>
                <w:lang w:eastAsia="zh-CN"/>
              </w:rPr>
            </w:pPr>
            <w:r>
              <w:rPr>
                <w:rFonts w:hint="eastAsia"/>
                <w:color w:val="auto"/>
                <w:highlight w:val="none"/>
                <w:lang w:eastAsia="zh-CN"/>
              </w:rPr>
              <w:t>无</w:t>
            </w:r>
          </w:p>
        </w:tc>
      </w:tr>
    </w:tbl>
    <w:p w14:paraId="6B343309">
      <w:pPr>
        <w:pStyle w:val="31"/>
        <w:rPr>
          <w:rStyle w:val="32"/>
          <w:color w:val="auto"/>
          <w:highlight w:val="none"/>
        </w:rPr>
      </w:pPr>
      <w:r>
        <w:rPr>
          <w:rFonts w:eastAsia="方正仿宋_GB2312"/>
          <w:b/>
          <w:bCs/>
          <w:color w:val="auto"/>
          <w:highlight w:val="none"/>
        </w:rPr>
        <w:br w:type="page"/>
      </w:r>
      <w:bookmarkStart w:id="6" w:name="_Toc787"/>
      <w:bookmarkStart w:id="7" w:name="_Toc8425"/>
      <w:r>
        <w:rPr>
          <w:rStyle w:val="32"/>
          <w:color w:val="auto"/>
          <w:highlight w:val="none"/>
        </w:rPr>
        <w:t>三、生态环境现状、保护目标及评价标准</w:t>
      </w:r>
      <w:bookmarkEnd w:id="6"/>
      <w:bookmarkEnd w:id="7"/>
    </w:p>
    <w:tbl>
      <w:tblPr>
        <w:tblStyle w:val="1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36"/>
        <w:gridCol w:w="7686"/>
      </w:tblGrid>
      <w:tr w14:paraId="5920F9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7" w:hRule="atLeast"/>
          <w:jc w:val="center"/>
        </w:trPr>
        <w:tc>
          <w:tcPr>
            <w:tcW w:w="490" w:type="pct"/>
            <w:noWrap w:val="0"/>
            <w:vAlign w:val="center"/>
          </w:tcPr>
          <w:p w14:paraId="095A9DA9">
            <w:pPr>
              <w:pStyle w:val="38"/>
              <w:rPr>
                <w:rFonts w:hint="default"/>
                <w:color w:val="auto"/>
                <w:highlight w:val="none"/>
              </w:rPr>
            </w:pPr>
            <w:r>
              <w:rPr>
                <w:rFonts w:hint="default"/>
                <w:color w:val="auto"/>
                <w:highlight w:val="none"/>
              </w:rPr>
              <w:t>生态环境现状</w:t>
            </w:r>
          </w:p>
        </w:tc>
        <w:tc>
          <w:tcPr>
            <w:tcW w:w="4509" w:type="pct"/>
            <w:noWrap w:val="0"/>
            <w:vAlign w:val="center"/>
          </w:tcPr>
          <w:p w14:paraId="2F52B586">
            <w:pPr>
              <w:ind w:firstLine="480"/>
              <w:rPr>
                <w:color w:val="auto"/>
                <w:kern w:val="0"/>
                <w:highlight w:val="none"/>
              </w:rPr>
            </w:pPr>
            <w:r>
              <w:rPr>
                <w:rFonts w:hint="eastAsia"/>
                <w:color w:val="auto"/>
                <w:kern w:val="0"/>
                <w:highlight w:val="none"/>
                <w:lang w:val="en-US" w:eastAsia="zh-CN"/>
              </w:rPr>
              <w:t>1</w:t>
            </w:r>
            <w:r>
              <w:rPr>
                <w:color w:val="auto"/>
                <w:kern w:val="0"/>
                <w:highlight w:val="none"/>
              </w:rPr>
              <w:t>、生态环境</w:t>
            </w:r>
          </w:p>
          <w:p w14:paraId="2C051F80">
            <w:pPr>
              <w:widowControl w:val="0"/>
              <w:spacing w:line="360" w:lineRule="auto"/>
              <w:ind w:left="0" w:leftChars="0" w:firstLine="480" w:firstLineChars="200"/>
              <w:jc w:val="both"/>
              <w:rPr>
                <w:color w:val="auto"/>
                <w:kern w:val="0"/>
                <w:highlight w:val="none"/>
              </w:rPr>
            </w:pPr>
            <w:r>
              <w:rPr>
                <w:rFonts w:hint="eastAsia"/>
                <w:color w:val="auto"/>
                <w:highlight w:val="none"/>
                <w:lang w:eastAsia="zh-CN"/>
              </w:rPr>
              <w:t>本项目永久占地面积为</w:t>
            </w:r>
            <w:r>
              <w:rPr>
                <w:rFonts w:hint="eastAsia"/>
                <w:color w:val="auto"/>
                <w:highlight w:val="none"/>
                <w:lang w:val="en-US" w:eastAsia="zh-CN"/>
              </w:rPr>
              <w:t>53.7944hm</w:t>
            </w:r>
            <w:r>
              <w:rPr>
                <w:rFonts w:hint="eastAsia"/>
                <w:color w:val="auto"/>
                <w:highlight w:val="none"/>
                <w:vertAlign w:val="superscript"/>
                <w:lang w:val="en-US" w:eastAsia="zh-CN"/>
              </w:rPr>
              <w:t>2</w:t>
            </w:r>
            <w:r>
              <w:rPr>
                <w:rFonts w:hint="eastAsia"/>
                <w:color w:val="auto"/>
                <w:highlight w:val="none"/>
                <w:lang w:val="en-US" w:eastAsia="zh-CN"/>
              </w:rPr>
              <w:t>，</w:t>
            </w:r>
            <w:r>
              <w:rPr>
                <w:rFonts w:hint="default"/>
                <w:color w:val="auto"/>
                <w:highlight w:val="none"/>
              </w:rPr>
              <w:t>全部为旧路，不新增永久占地</w:t>
            </w:r>
            <w:r>
              <w:rPr>
                <w:rFonts w:hint="eastAsia"/>
                <w:color w:val="auto"/>
                <w:highlight w:val="none"/>
                <w:lang w:eastAsia="zh-CN"/>
              </w:rPr>
              <w:t>；临时占地为</w:t>
            </w:r>
            <w:r>
              <w:rPr>
                <w:rFonts w:hint="eastAsia"/>
                <w:color w:val="auto"/>
                <w:highlight w:val="none"/>
                <w:lang w:val="en-US" w:eastAsia="zh-CN"/>
              </w:rPr>
              <w:t>1处施工场地，</w:t>
            </w:r>
            <w:r>
              <w:rPr>
                <w:color w:val="auto"/>
                <w:highlight w:val="none"/>
              </w:rPr>
              <w:t>占地面积</w:t>
            </w:r>
            <w:r>
              <w:rPr>
                <w:rFonts w:hint="eastAsia"/>
                <w:color w:val="auto"/>
                <w:highlight w:val="none"/>
                <w:lang w:eastAsia="zh-CN"/>
              </w:rPr>
              <w:t>为</w:t>
            </w:r>
            <w:r>
              <w:rPr>
                <w:rFonts w:hint="eastAsia"/>
                <w:color w:val="auto"/>
                <w:highlight w:val="none"/>
                <w:lang w:val="en-US" w:eastAsia="zh-CN"/>
              </w:rPr>
              <w:t>0.4022</w:t>
            </w:r>
            <w:r>
              <w:rPr>
                <w:color w:val="auto"/>
                <w:highlight w:val="none"/>
              </w:rPr>
              <w:t>hm</w:t>
            </w:r>
            <w:r>
              <w:rPr>
                <w:color w:val="auto"/>
                <w:highlight w:val="none"/>
                <w:vertAlign w:val="superscript"/>
              </w:rPr>
              <w:t>2</w:t>
            </w:r>
            <w:r>
              <w:rPr>
                <w:rFonts w:hint="eastAsia" w:cs="Times New Roman"/>
                <w:color w:val="auto"/>
                <w:highlight w:val="none"/>
                <w:vertAlign w:val="baseline"/>
                <w:lang w:eastAsia="zh-CN"/>
              </w:rPr>
              <w:t>，占地类型为</w:t>
            </w:r>
            <w:r>
              <w:rPr>
                <w:rFonts w:hint="eastAsia" w:cs="Times New Roman"/>
                <w:color w:val="auto"/>
                <w:highlight w:val="none"/>
                <w:vertAlign w:val="baseline"/>
                <w:lang w:val="en-US" w:eastAsia="zh-CN"/>
              </w:rPr>
              <w:t>设施农用地、裸土地</w:t>
            </w:r>
            <w:r>
              <w:rPr>
                <w:rFonts w:hint="eastAsia"/>
                <w:color w:val="auto"/>
                <w:highlight w:val="none"/>
                <w:lang w:eastAsia="zh-CN"/>
              </w:rPr>
              <w:t>。</w:t>
            </w:r>
            <w:r>
              <w:rPr>
                <w:color w:val="auto"/>
                <w:sz w:val="24"/>
                <w:szCs w:val="24"/>
                <w:highlight w:val="none"/>
              </w:rPr>
              <w:t>本项目</w:t>
            </w:r>
            <w:r>
              <w:rPr>
                <w:rFonts w:hint="eastAsia"/>
                <w:color w:val="auto"/>
                <w:sz w:val="24"/>
                <w:szCs w:val="24"/>
                <w:highlight w:val="none"/>
                <w:lang w:val="en-US" w:eastAsia="zh-CN"/>
              </w:rPr>
              <w:t>线路桩号K18+920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K20+680段约1.76km</w:t>
            </w:r>
            <w:r>
              <w:rPr>
                <w:color w:val="auto"/>
                <w:sz w:val="24"/>
                <w:szCs w:val="24"/>
                <w:highlight w:val="none"/>
              </w:rPr>
              <w:t>穿越生态保护</w:t>
            </w:r>
            <w:r>
              <w:rPr>
                <w:rFonts w:hint="eastAsia" w:ascii="Times New Roman" w:hAnsi="Times New Roman" w:eastAsia="宋体" w:cs="Times New Roman"/>
                <w:color w:val="auto"/>
                <w:sz w:val="24"/>
                <w:szCs w:val="24"/>
                <w:highlight w:val="none"/>
                <w:lang w:val="en-US" w:eastAsia="zh-CN"/>
              </w:rPr>
              <w:t>红线；本项目线路桩号</w:t>
            </w:r>
            <w:r>
              <w:rPr>
                <w:rFonts w:hint="eastAsia"/>
                <w:color w:val="auto"/>
                <w:sz w:val="24"/>
                <w:szCs w:val="24"/>
                <w:highlight w:val="none"/>
                <w:lang w:val="en-US" w:eastAsia="zh-CN"/>
              </w:rPr>
              <w:t>K19+150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w:t>
            </w:r>
            <w:r>
              <w:rPr>
                <w:rFonts w:hint="eastAsia" w:ascii="Times New Roman" w:hAnsi="Times New Roman" w:eastAsia="宋体" w:cs="Times New Roman"/>
                <w:color w:val="auto"/>
                <w:sz w:val="24"/>
                <w:szCs w:val="24"/>
                <w:highlight w:val="none"/>
                <w:lang w:val="en-US" w:eastAsia="zh-CN"/>
              </w:rPr>
              <w:t>段约1.53km穿越黑龙江东升省级自然</w:t>
            </w:r>
            <w:r>
              <w:rPr>
                <w:rFonts w:hint="eastAsia"/>
                <w:color w:val="auto"/>
                <w:kern w:val="0"/>
                <w:sz w:val="24"/>
                <w:szCs w:val="24"/>
                <w:highlight w:val="none"/>
              </w:rPr>
              <w:t>保护区</w:t>
            </w:r>
            <w:r>
              <w:rPr>
                <w:rFonts w:hint="eastAsia"/>
                <w:color w:val="auto"/>
                <w:kern w:val="0"/>
                <w:sz w:val="24"/>
                <w:szCs w:val="24"/>
                <w:highlight w:val="none"/>
                <w:lang w:eastAsia="zh-CN"/>
              </w:rPr>
              <w:t>；</w:t>
            </w:r>
            <w:r>
              <w:rPr>
                <w:rFonts w:hint="eastAsia"/>
                <w:color w:val="auto"/>
                <w:sz w:val="24"/>
                <w:szCs w:val="24"/>
                <w:highlight w:val="none"/>
                <w:lang w:val="en-US" w:eastAsia="zh-CN"/>
              </w:rPr>
              <w:t>线路桩号K40+900～K51+600段约10.7km穿越黑龙江完达山国家级森林公园。</w:t>
            </w:r>
            <w:r>
              <w:rPr>
                <w:rFonts w:hint="eastAsia" w:ascii="Times New Roman" w:hAnsi="Times New Roman" w:cs="Times New Roman"/>
                <w:color w:val="auto"/>
                <w:sz w:val="24"/>
                <w:highlight w:val="none"/>
                <w:lang w:val="en-US" w:eastAsia="zh-CN"/>
              </w:rPr>
              <w:t>评价范围</w:t>
            </w:r>
            <w:r>
              <w:rPr>
                <w:rFonts w:hint="default" w:ascii="Times New Roman" w:hAnsi="Times New Roman" w:cs="Times New Roman"/>
                <w:color w:val="auto"/>
                <w:sz w:val="24"/>
                <w:highlight w:val="none"/>
                <w:lang w:val="en-US" w:eastAsia="zh-CN"/>
              </w:rPr>
              <w:t>内的生态系统组成有森林生态系统</w:t>
            </w:r>
            <w:r>
              <w:rPr>
                <w:rFonts w:hint="eastAsia"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灌丛生态系统</w:t>
            </w:r>
            <w:r>
              <w:rPr>
                <w:rFonts w:hint="eastAsia"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城镇生态系统</w:t>
            </w:r>
            <w:r>
              <w:rPr>
                <w:rFonts w:hint="eastAsia"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农田生态系统</w:t>
            </w:r>
            <w:r>
              <w:rPr>
                <w:rFonts w:hint="eastAsia"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湿地生态系统</w:t>
            </w:r>
            <w:r>
              <w:rPr>
                <w:rFonts w:hint="eastAsia"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lang w:val="en-US" w:eastAsia="zh-CN"/>
              </w:rPr>
              <w:t>草地生态系统</w:t>
            </w:r>
            <w:r>
              <w:rPr>
                <w:rFonts w:hint="eastAsia" w:ascii="Times New Roman" w:hAnsi="Times New Roman" w:cs="Times New Roman"/>
                <w:color w:val="auto"/>
                <w:sz w:val="24"/>
                <w:highlight w:val="none"/>
                <w:lang w:val="en-US" w:eastAsia="zh-CN"/>
              </w:rPr>
              <w:t>及</w:t>
            </w:r>
            <w:r>
              <w:rPr>
                <w:rFonts w:hint="default" w:ascii="Times New Roman" w:hAnsi="Times New Roman" w:cs="Times New Roman"/>
                <w:color w:val="auto"/>
                <w:sz w:val="24"/>
                <w:highlight w:val="none"/>
                <w:lang w:val="en-US" w:eastAsia="zh-CN"/>
              </w:rPr>
              <w:t>其他</w:t>
            </w:r>
            <w:r>
              <w:rPr>
                <w:rFonts w:hint="eastAsia"/>
                <w:color w:val="auto"/>
                <w:highlight w:val="none"/>
                <w:lang w:val="en-US" w:eastAsia="zh-CN"/>
              </w:rPr>
              <w:t>。</w:t>
            </w:r>
            <w:r>
              <w:rPr>
                <w:rFonts w:hint="eastAsia"/>
                <w:color w:val="auto"/>
                <w:highlight w:val="none"/>
                <w:lang w:eastAsia="zh-CN"/>
              </w:rPr>
              <w:t>本项目沿线重要野生植物为野大豆；</w:t>
            </w:r>
            <w:r>
              <w:rPr>
                <w:rFonts w:hint="eastAsia" w:ascii="Times New Roman" w:hAnsi="Times New Roman" w:eastAsia="宋体" w:cs="Times New Roman"/>
                <w:color w:val="auto"/>
                <w:kern w:val="2"/>
                <w:sz w:val="24"/>
                <w:szCs w:val="24"/>
                <w:highlight w:val="none"/>
                <w:lang w:val="en-US" w:eastAsia="zh-CN" w:bidi="ar-SA"/>
              </w:rPr>
              <w:t>有重要野生动物10种，其中</w:t>
            </w:r>
            <w:r>
              <w:rPr>
                <w:rFonts w:hint="default" w:ascii="Times New Roman" w:hAnsi="Times New Roman" w:eastAsia="宋体" w:cs="Times New Roman"/>
                <w:color w:val="auto"/>
                <w:kern w:val="2"/>
                <w:sz w:val="24"/>
                <w:szCs w:val="24"/>
                <w:highlight w:val="none"/>
                <w:lang w:val="en-US" w:eastAsia="zh-CN" w:bidi="ar-SA"/>
              </w:rPr>
              <w:t>国家二级重点保护鸟类</w:t>
            </w: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种</w:t>
            </w:r>
            <w:r>
              <w:rPr>
                <w:rFonts w:hint="eastAsia" w:ascii="Times New Roman" w:hAnsi="Times New Roman" w:eastAsia="宋体" w:cs="Times New Roman"/>
                <w:color w:val="auto"/>
                <w:kern w:val="2"/>
                <w:sz w:val="24"/>
                <w:szCs w:val="24"/>
                <w:highlight w:val="none"/>
                <w:lang w:val="en-US" w:eastAsia="zh-CN" w:bidi="ar-SA"/>
              </w:rPr>
              <w:t>；省级</w:t>
            </w:r>
            <w:r>
              <w:rPr>
                <w:rFonts w:hint="default" w:ascii="Times New Roman" w:hAnsi="Times New Roman" w:eastAsia="宋体" w:cs="Times New Roman"/>
                <w:color w:val="auto"/>
                <w:kern w:val="2"/>
                <w:sz w:val="24"/>
                <w:szCs w:val="24"/>
                <w:highlight w:val="none"/>
                <w:lang w:val="en-US" w:eastAsia="zh-CN" w:bidi="ar-SA"/>
              </w:rPr>
              <w:t>重点保护物种</w:t>
            </w:r>
            <w:r>
              <w:rPr>
                <w:rFonts w:hint="eastAsia" w:ascii="Times New Roman" w:hAnsi="Times New Roman" w:eastAsia="宋体" w:cs="Times New Roman"/>
                <w:color w:val="auto"/>
                <w:kern w:val="2"/>
                <w:sz w:val="24"/>
                <w:szCs w:val="24"/>
                <w:highlight w:val="none"/>
                <w:lang w:val="en-US" w:eastAsia="zh-CN" w:bidi="ar-SA"/>
              </w:rPr>
              <w:t>8</w:t>
            </w:r>
            <w:r>
              <w:rPr>
                <w:rFonts w:hint="default" w:ascii="Times New Roman" w:hAnsi="Times New Roman" w:eastAsia="宋体" w:cs="Times New Roman"/>
                <w:color w:val="auto"/>
                <w:kern w:val="2"/>
                <w:sz w:val="24"/>
                <w:szCs w:val="24"/>
                <w:highlight w:val="none"/>
                <w:lang w:val="en-US" w:eastAsia="zh-CN" w:bidi="ar-SA"/>
              </w:rPr>
              <w:t>种</w:t>
            </w:r>
            <w:r>
              <w:rPr>
                <w:rFonts w:hint="eastAsia" w:ascii="Times New Roman" w:hAnsi="Times New Roman" w:eastAsia="宋体" w:cs="Times New Roman"/>
                <w:color w:val="auto"/>
                <w:kern w:val="2"/>
                <w:sz w:val="24"/>
                <w:szCs w:val="24"/>
                <w:highlight w:val="none"/>
                <w:lang w:val="en-US" w:eastAsia="zh-CN" w:bidi="ar-SA"/>
              </w:rPr>
              <w:t>，其中省</w:t>
            </w:r>
            <w:r>
              <w:rPr>
                <w:rFonts w:hint="default" w:ascii="Times New Roman" w:hAnsi="Times New Roman" w:eastAsia="宋体" w:cs="Times New Roman"/>
                <w:color w:val="auto"/>
                <w:kern w:val="2"/>
                <w:sz w:val="24"/>
                <w:szCs w:val="24"/>
                <w:highlight w:val="none"/>
                <w:lang w:val="en-US" w:eastAsia="zh-CN" w:bidi="ar-SA"/>
              </w:rPr>
              <w:t>重点保护鸟类</w:t>
            </w:r>
            <w:r>
              <w:rPr>
                <w:rFonts w:hint="eastAsia" w:ascii="Times New Roman" w:hAnsi="Times New Roman" w:eastAsia="宋体" w:cs="Times New Roman"/>
                <w:color w:val="auto"/>
                <w:kern w:val="2"/>
                <w:sz w:val="24"/>
                <w:szCs w:val="24"/>
                <w:highlight w:val="none"/>
                <w:lang w:val="en-US" w:eastAsia="zh-CN" w:bidi="ar-SA"/>
              </w:rPr>
              <w:t>4</w:t>
            </w:r>
            <w:r>
              <w:rPr>
                <w:rFonts w:hint="default" w:ascii="Times New Roman" w:hAnsi="Times New Roman" w:eastAsia="宋体" w:cs="Times New Roman"/>
                <w:color w:val="auto"/>
                <w:kern w:val="2"/>
                <w:sz w:val="24"/>
                <w:szCs w:val="24"/>
                <w:highlight w:val="none"/>
                <w:lang w:val="en-US" w:eastAsia="zh-CN" w:bidi="ar-SA"/>
              </w:rPr>
              <w:t>种</w:t>
            </w:r>
            <w:r>
              <w:rPr>
                <w:rFonts w:hint="eastAsia" w:ascii="Times New Roman" w:hAnsi="Times New Roman" w:eastAsia="宋体" w:cs="Times New Roman"/>
                <w:color w:val="auto"/>
                <w:kern w:val="2"/>
                <w:sz w:val="24"/>
                <w:szCs w:val="24"/>
                <w:highlight w:val="none"/>
                <w:lang w:val="en-US" w:eastAsia="zh-CN" w:bidi="ar-SA"/>
              </w:rPr>
              <w:t>，省</w:t>
            </w:r>
            <w:r>
              <w:rPr>
                <w:rFonts w:hint="default" w:ascii="Times New Roman" w:hAnsi="Times New Roman" w:eastAsia="宋体" w:cs="Times New Roman"/>
                <w:color w:val="auto"/>
                <w:kern w:val="2"/>
                <w:sz w:val="24"/>
                <w:szCs w:val="24"/>
                <w:highlight w:val="none"/>
                <w:lang w:val="en-US" w:eastAsia="zh-CN" w:bidi="ar-SA"/>
              </w:rPr>
              <w:t>重点保护</w:t>
            </w:r>
            <w:r>
              <w:rPr>
                <w:rFonts w:hint="eastAsia" w:ascii="Times New Roman" w:hAnsi="Times New Roman" w:eastAsia="宋体" w:cs="Times New Roman"/>
                <w:color w:val="auto"/>
                <w:kern w:val="2"/>
                <w:sz w:val="24"/>
                <w:szCs w:val="24"/>
                <w:highlight w:val="none"/>
                <w:lang w:val="en-US" w:eastAsia="zh-CN" w:bidi="ar-SA"/>
              </w:rPr>
              <w:t>哺乳</w:t>
            </w:r>
            <w:r>
              <w:rPr>
                <w:rFonts w:hint="default" w:ascii="Times New Roman" w:hAnsi="Times New Roman" w:eastAsia="宋体" w:cs="Times New Roman"/>
                <w:color w:val="auto"/>
                <w:kern w:val="2"/>
                <w:sz w:val="24"/>
                <w:szCs w:val="24"/>
                <w:highlight w:val="none"/>
                <w:lang w:val="en-US" w:eastAsia="zh-CN" w:bidi="ar-SA"/>
              </w:rPr>
              <w:t>类</w:t>
            </w:r>
            <w:r>
              <w:rPr>
                <w:rFonts w:hint="eastAsia" w:ascii="Times New Roman" w:hAnsi="Times New Roman" w:eastAsia="宋体" w:cs="Times New Roman"/>
                <w:color w:val="auto"/>
                <w:kern w:val="2"/>
                <w:sz w:val="24"/>
                <w:szCs w:val="24"/>
                <w:highlight w:val="none"/>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种</w:t>
            </w:r>
            <w:r>
              <w:rPr>
                <w:rFonts w:hint="eastAsia" w:ascii="Times New Roman" w:hAnsi="Times New Roman" w:eastAsia="宋体" w:cs="Times New Roman"/>
                <w:color w:val="auto"/>
                <w:kern w:val="2"/>
                <w:sz w:val="24"/>
                <w:szCs w:val="24"/>
                <w:highlight w:val="none"/>
                <w:lang w:val="en-US" w:eastAsia="zh-CN" w:bidi="ar-SA"/>
              </w:rPr>
              <w:t>，省</w:t>
            </w:r>
            <w:r>
              <w:rPr>
                <w:rFonts w:hint="default" w:ascii="Times New Roman" w:hAnsi="Times New Roman" w:eastAsia="宋体" w:cs="Times New Roman"/>
                <w:color w:val="auto"/>
                <w:kern w:val="2"/>
                <w:sz w:val="24"/>
                <w:szCs w:val="24"/>
                <w:highlight w:val="none"/>
                <w:lang w:val="en-US" w:eastAsia="zh-CN" w:bidi="ar-SA"/>
              </w:rPr>
              <w:t>重点保护</w:t>
            </w:r>
            <w:r>
              <w:rPr>
                <w:rFonts w:hint="eastAsia" w:ascii="Times New Roman" w:hAnsi="Times New Roman" w:eastAsia="宋体" w:cs="Times New Roman"/>
                <w:color w:val="auto"/>
                <w:kern w:val="2"/>
                <w:sz w:val="24"/>
                <w:szCs w:val="24"/>
                <w:highlight w:val="none"/>
                <w:lang w:val="en-US" w:eastAsia="zh-CN" w:bidi="ar-SA"/>
              </w:rPr>
              <w:t>爬行</w:t>
            </w:r>
            <w:r>
              <w:rPr>
                <w:rFonts w:hint="default" w:ascii="Times New Roman" w:hAnsi="Times New Roman" w:eastAsia="宋体" w:cs="Times New Roman"/>
                <w:color w:val="auto"/>
                <w:kern w:val="2"/>
                <w:sz w:val="24"/>
                <w:szCs w:val="24"/>
                <w:highlight w:val="none"/>
                <w:lang w:val="en-US" w:eastAsia="zh-CN" w:bidi="ar-SA"/>
              </w:rPr>
              <w:t>类</w:t>
            </w:r>
            <w:r>
              <w:rPr>
                <w:rFonts w:hint="eastAsia" w:ascii="Times New Roman" w:hAnsi="Times New Roman" w:eastAsia="宋体" w:cs="Times New Roman"/>
                <w:color w:val="auto"/>
                <w:kern w:val="2"/>
                <w:sz w:val="24"/>
                <w:szCs w:val="24"/>
                <w:highlight w:val="none"/>
                <w:lang w:val="en-US" w:eastAsia="zh-CN" w:bidi="ar-SA"/>
              </w:rPr>
              <w:t>1</w:t>
            </w:r>
            <w:r>
              <w:rPr>
                <w:rFonts w:hint="default" w:ascii="Times New Roman" w:hAnsi="Times New Roman" w:eastAsia="宋体" w:cs="Times New Roman"/>
                <w:color w:val="auto"/>
                <w:kern w:val="2"/>
                <w:sz w:val="24"/>
                <w:szCs w:val="24"/>
                <w:highlight w:val="none"/>
                <w:lang w:val="en-US" w:eastAsia="zh-CN" w:bidi="ar-SA"/>
              </w:rPr>
              <w:t>种。无特有种分布</w:t>
            </w:r>
            <w:r>
              <w:rPr>
                <w:rFonts w:hint="eastAsia"/>
                <w:color w:val="auto"/>
                <w:highlight w:val="none"/>
                <w:lang w:eastAsia="zh-CN"/>
              </w:rPr>
              <w:t>。</w:t>
            </w:r>
            <w:r>
              <w:rPr>
                <w:color w:val="auto"/>
                <w:kern w:val="0"/>
                <w:highlight w:val="none"/>
              </w:rPr>
              <w:t>详见生态专章。</w:t>
            </w:r>
          </w:p>
          <w:p w14:paraId="082D4AF1">
            <w:pPr>
              <w:ind w:firstLine="480"/>
              <w:rPr>
                <w:rFonts w:hint="eastAsia"/>
                <w:color w:val="auto"/>
                <w:kern w:val="0"/>
                <w:highlight w:val="none"/>
              </w:rPr>
            </w:pPr>
            <w:r>
              <w:rPr>
                <w:rFonts w:hint="eastAsia"/>
                <w:color w:val="auto"/>
                <w:kern w:val="0"/>
                <w:highlight w:val="none"/>
                <w:lang w:val="en-US" w:eastAsia="zh-CN"/>
              </w:rPr>
              <w:t>2</w:t>
            </w:r>
            <w:r>
              <w:rPr>
                <w:rFonts w:hint="eastAsia"/>
                <w:color w:val="auto"/>
                <w:kern w:val="0"/>
                <w:highlight w:val="none"/>
              </w:rPr>
              <w:t>、环境空气</w:t>
            </w:r>
          </w:p>
          <w:p w14:paraId="3D313358">
            <w:pPr>
              <w:spacing w:line="360" w:lineRule="auto"/>
              <w:ind w:firstLine="480"/>
              <w:rPr>
                <w:rFonts w:hint="eastAsia" w:cs="宋体"/>
                <w:color w:val="auto"/>
                <w:kern w:val="0"/>
                <w:szCs w:val="21"/>
              </w:rPr>
            </w:pPr>
            <w:r>
              <w:rPr>
                <w:rFonts w:hint="eastAsia" w:cs="宋体"/>
                <w:color w:val="auto"/>
                <w:kern w:val="0"/>
                <w:szCs w:val="21"/>
              </w:rPr>
              <w:t>本项目线路穿越</w:t>
            </w:r>
            <w:r>
              <w:rPr>
                <w:rFonts w:hint="eastAsia"/>
                <w:color w:val="auto"/>
                <w:kern w:val="0"/>
                <w:szCs w:val="21"/>
                <w:highlight w:val="none"/>
              </w:rPr>
              <w:t>黑龙江东升省级自然保护区</w:t>
            </w:r>
            <w:r>
              <w:rPr>
                <w:rFonts w:hint="eastAsia" w:cs="宋体"/>
                <w:color w:val="auto"/>
                <w:kern w:val="0"/>
                <w:szCs w:val="21"/>
                <w:lang w:eastAsia="zh-CN"/>
              </w:rPr>
              <w:t>、</w:t>
            </w:r>
            <w:r>
              <w:rPr>
                <w:rFonts w:hint="eastAsia"/>
                <w:color w:val="auto"/>
                <w:highlight w:val="none"/>
                <w:lang w:eastAsia="zh-CN"/>
              </w:rPr>
              <w:t>黑龙江完达山国家级森林公园</w:t>
            </w:r>
            <w:r>
              <w:rPr>
                <w:rFonts w:hint="eastAsia" w:cs="宋体"/>
                <w:color w:val="auto"/>
                <w:kern w:val="0"/>
                <w:szCs w:val="21"/>
              </w:rPr>
              <w:t>所在区域属环境空气质量功能区划中的一类区，其他区域属环境空气质量功能区划中的二类区。</w:t>
            </w:r>
          </w:p>
          <w:p w14:paraId="16BFF88A">
            <w:pPr>
              <w:spacing w:line="360" w:lineRule="auto"/>
              <w:ind w:firstLine="480"/>
              <w:rPr>
                <w:rFonts w:hint="eastAsia" w:ascii="Times New Roman" w:hAnsi="Times New Roman" w:eastAsia="宋体" w:cs="Times New Roman"/>
                <w:color w:val="auto"/>
                <w:kern w:val="0"/>
                <w:highlight w:val="none"/>
                <w:lang w:eastAsia="zh-CN"/>
              </w:rPr>
            </w:pPr>
            <w:r>
              <w:rPr>
                <w:rFonts w:hint="eastAsia" w:cs="Times New Roman"/>
                <w:color w:val="auto"/>
                <w:kern w:val="0"/>
                <w:highlight w:val="none"/>
                <w:lang w:eastAsia="zh-CN"/>
              </w:rPr>
              <w:t>（</w:t>
            </w:r>
            <w:r>
              <w:rPr>
                <w:rFonts w:hint="eastAsia" w:cs="Times New Roman"/>
                <w:color w:val="auto"/>
                <w:kern w:val="0"/>
                <w:highlight w:val="none"/>
                <w:lang w:val="en-US" w:eastAsia="zh-CN"/>
              </w:rPr>
              <w:t>1</w:t>
            </w:r>
            <w:r>
              <w:rPr>
                <w:rFonts w:hint="eastAsia" w:cs="Times New Roman"/>
                <w:color w:val="auto"/>
                <w:kern w:val="0"/>
                <w:highlight w:val="none"/>
                <w:lang w:eastAsia="zh-CN"/>
              </w:rPr>
              <w:t>）</w:t>
            </w:r>
            <w:r>
              <w:rPr>
                <w:rFonts w:hint="eastAsia"/>
                <w:color w:val="auto"/>
                <w:highlight w:val="none"/>
              </w:rPr>
              <w:t>环境空气</w:t>
            </w:r>
            <w:r>
              <w:rPr>
                <w:rFonts w:hint="eastAsia"/>
                <w:color w:val="auto"/>
                <w:highlight w:val="none"/>
                <w:lang w:eastAsia="zh-CN"/>
              </w:rPr>
              <w:t>二类功能区</w:t>
            </w:r>
          </w:p>
          <w:p w14:paraId="09A1B8D6">
            <w:pPr>
              <w:ind w:firstLine="480"/>
              <w:rPr>
                <w:color w:val="auto"/>
                <w:kern w:val="0"/>
              </w:rPr>
            </w:pPr>
            <w:r>
              <w:rPr>
                <w:color w:val="auto"/>
                <w:kern w:val="0"/>
              </w:rPr>
              <w:t>根据《2025年黑龙江省生态环境质量状况》，2025年，双鸭山市空气质量级别</w:t>
            </w:r>
            <w:r>
              <w:rPr>
                <w:rFonts w:hint="eastAsia"/>
                <w:color w:val="auto"/>
                <w:kern w:val="0"/>
                <w:lang w:eastAsia="zh-CN"/>
              </w:rPr>
              <w:t>达到</w:t>
            </w:r>
            <w:r>
              <w:rPr>
                <w:color w:val="auto"/>
                <w:kern w:val="0"/>
              </w:rPr>
              <w:t>二级标准，达标天数为342天</w:t>
            </w:r>
            <w:r>
              <w:rPr>
                <w:rFonts w:hint="eastAsia"/>
                <w:color w:val="auto"/>
                <w:kern w:val="0"/>
                <w:lang w:eastAsia="zh-CN"/>
              </w:rPr>
              <w:t>（</w:t>
            </w:r>
            <w:r>
              <w:rPr>
                <w:color w:val="auto"/>
                <w:kern w:val="0"/>
              </w:rPr>
              <w:t>93.7%</w:t>
            </w:r>
            <w:r>
              <w:rPr>
                <w:rFonts w:hint="eastAsia"/>
                <w:color w:val="auto"/>
                <w:kern w:val="0"/>
                <w:lang w:eastAsia="zh-CN"/>
              </w:rPr>
              <w:t>）</w:t>
            </w:r>
            <w:r>
              <w:rPr>
                <w:color w:val="auto"/>
                <w:kern w:val="0"/>
              </w:rPr>
              <w:t>。PM</w:t>
            </w:r>
            <w:r>
              <w:rPr>
                <w:color w:val="auto"/>
                <w:kern w:val="0"/>
                <w:vertAlign w:val="subscript"/>
              </w:rPr>
              <w:t>2.5</w:t>
            </w:r>
            <w:r>
              <w:rPr>
                <w:color w:val="auto"/>
                <w:kern w:val="0"/>
              </w:rPr>
              <w:t>、PM</w:t>
            </w:r>
            <w:r>
              <w:rPr>
                <w:color w:val="auto"/>
                <w:kern w:val="0"/>
                <w:vertAlign w:val="subscript"/>
              </w:rPr>
              <w:t>10</w:t>
            </w:r>
            <w:r>
              <w:rPr>
                <w:color w:val="auto"/>
                <w:kern w:val="0"/>
              </w:rPr>
              <w:t>、SO</w:t>
            </w:r>
            <w:r>
              <w:rPr>
                <w:color w:val="auto"/>
                <w:kern w:val="0"/>
                <w:vertAlign w:val="subscript"/>
              </w:rPr>
              <w:t>2</w:t>
            </w:r>
            <w:r>
              <w:rPr>
                <w:color w:val="auto"/>
                <w:kern w:val="0"/>
              </w:rPr>
              <w:t>、NO</w:t>
            </w:r>
            <w:r>
              <w:rPr>
                <w:color w:val="auto"/>
                <w:kern w:val="0"/>
                <w:vertAlign w:val="subscript"/>
              </w:rPr>
              <w:t>2</w:t>
            </w:r>
            <w:r>
              <w:rPr>
                <w:color w:val="auto"/>
                <w:kern w:val="0"/>
              </w:rPr>
              <w:t>、CO-95per和O</w:t>
            </w:r>
            <w:r>
              <w:rPr>
                <w:color w:val="auto"/>
                <w:kern w:val="0"/>
                <w:vertAlign w:val="subscript"/>
              </w:rPr>
              <w:t>3</w:t>
            </w:r>
            <w:r>
              <w:rPr>
                <w:color w:val="auto"/>
                <w:kern w:val="0"/>
              </w:rPr>
              <w:t>-8h-90per年均浓度分别为27μg/m³、42μg/m³、12μg/m³、15μg/m³、0.9mg/m³和105μg/m³。</w:t>
            </w:r>
          </w:p>
          <w:p w14:paraId="77571326">
            <w:pPr>
              <w:pStyle w:val="40"/>
              <w:rPr>
                <w:rFonts w:hint="default"/>
                <w:color w:val="auto"/>
                <w:highlight w:val="none"/>
              </w:rPr>
            </w:pPr>
            <w:r>
              <w:rPr>
                <w:rFonts w:hint="default"/>
                <w:color w:val="auto"/>
                <w:highlight w:val="none"/>
              </w:rPr>
              <w:t>表3-1</w:t>
            </w:r>
            <w:r>
              <w:rPr>
                <w:rFonts w:hint="eastAsia"/>
                <w:color w:val="auto"/>
                <w:highlight w:val="none"/>
                <w:lang w:val="en-US" w:eastAsia="zh-CN"/>
              </w:rPr>
              <w:t xml:space="preserve">  </w:t>
            </w:r>
            <w:r>
              <w:rPr>
                <w:rFonts w:hint="default"/>
                <w:color w:val="auto"/>
                <w:highlight w:val="none"/>
              </w:rPr>
              <w:t>区域空气质量现状评价表</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6"/>
              <w:gridCol w:w="2556"/>
              <w:gridCol w:w="1401"/>
              <w:gridCol w:w="1099"/>
              <w:gridCol w:w="792"/>
              <w:gridCol w:w="776"/>
            </w:tblGrid>
            <w:tr w14:paraId="08F4D1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3513F534">
                  <w:pPr>
                    <w:pStyle w:val="29"/>
                    <w:adjustRightInd w:val="0"/>
                    <w:snapToGrid w:val="0"/>
                    <w:rPr>
                      <w:rFonts w:hint="default"/>
                      <w:color w:val="auto"/>
                      <w:sz w:val="21"/>
                      <w:szCs w:val="21"/>
                    </w:rPr>
                  </w:pPr>
                  <w:r>
                    <w:rPr>
                      <w:rFonts w:hint="default"/>
                      <w:color w:val="auto"/>
                      <w:sz w:val="21"/>
                      <w:szCs w:val="21"/>
                    </w:rPr>
                    <w:t>污染物</w:t>
                  </w:r>
                </w:p>
              </w:tc>
              <w:tc>
                <w:tcPr>
                  <w:tcW w:w="1709" w:type="pct"/>
                  <w:noWrap/>
                  <w:vAlign w:val="center"/>
                </w:tcPr>
                <w:p w14:paraId="09F32DC2">
                  <w:pPr>
                    <w:pStyle w:val="29"/>
                    <w:adjustRightInd w:val="0"/>
                    <w:snapToGrid w:val="0"/>
                    <w:rPr>
                      <w:rFonts w:hint="default"/>
                      <w:color w:val="auto"/>
                      <w:sz w:val="21"/>
                      <w:szCs w:val="21"/>
                    </w:rPr>
                  </w:pPr>
                  <w:r>
                    <w:rPr>
                      <w:rFonts w:hint="default"/>
                      <w:color w:val="auto"/>
                      <w:sz w:val="21"/>
                      <w:szCs w:val="21"/>
                    </w:rPr>
                    <w:t>年评价指标</w:t>
                  </w:r>
                </w:p>
              </w:tc>
              <w:tc>
                <w:tcPr>
                  <w:tcW w:w="937" w:type="pct"/>
                  <w:noWrap/>
                  <w:vAlign w:val="center"/>
                </w:tcPr>
                <w:p w14:paraId="6DB97058">
                  <w:pPr>
                    <w:pStyle w:val="29"/>
                    <w:adjustRightInd w:val="0"/>
                    <w:snapToGrid w:val="0"/>
                    <w:rPr>
                      <w:rFonts w:hint="default"/>
                      <w:color w:val="auto"/>
                      <w:sz w:val="21"/>
                      <w:szCs w:val="21"/>
                    </w:rPr>
                  </w:pPr>
                  <w:r>
                    <w:rPr>
                      <w:rFonts w:hint="default"/>
                      <w:color w:val="auto"/>
                      <w:sz w:val="21"/>
                      <w:szCs w:val="21"/>
                    </w:rPr>
                    <w:t>现状浓度/（μg/m</w:t>
                  </w:r>
                  <w:r>
                    <w:rPr>
                      <w:rFonts w:hint="default"/>
                      <w:color w:val="auto"/>
                      <w:sz w:val="21"/>
                      <w:szCs w:val="21"/>
                      <w:vertAlign w:val="superscript"/>
                    </w:rPr>
                    <w:t>3</w:t>
                  </w:r>
                  <w:r>
                    <w:rPr>
                      <w:rFonts w:hint="default"/>
                      <w:color w:val="auto"/>
                      <w:sz w:val="21"/>
                      <w:szCs w:val="21"/>
                    </w:rPr>
                    <w:t>）</w:t>
                  </w:r>
                </w:p>
              </w:tc>
              <w:tc>
                <w:tcPr>
                  <w:tcW w:w="735" w:type="pct"/>
                  <w:noWrap/>
                  <w:vAlign w:val="center"/>
                </w:tcPr>
                <w:p w14:paraId="1F25C1A2">
                  <w:pPr>
                    <w:pStyle w:val="29"/>
                    <w:adjustRightInd w:val="0"/>
                    <w:snapToGrid w:val="0"/>
                    <w:rPr>
                      <w:rFonts w:hint="default"/>
                      <w:color w:val="auto"/>
                      <w:sz w:val="21"/>
                      <w:szCs w:val="21"/>
                    </w:rPr>
                  </w:pPr>
                  <w:r>
                    <w:rPr>
                      <w:rFonts w:hint="default"/>
                      <w:color w:val="auto"/>
                      <w:sz w:val="21"/>
                      <w:szCs w:val="21"/>
                    </w:rPr>
                    <w:t>标准值/（μg/m</w:t>
                  </w:r>
                  <w:r>
                    <w:rPr>
                      <w:rFonts w:hint="default"/>
                      <w:color w:val="auto"/>
                      <w:sz w:val="21"/>
                      <w:szCs w:val="21"/>
                      <w:vertAlign w:val="superscript"/>
                    </w:rPr>
                    <w:t>3</w:t>
                  </w:r>
                  <w:r>
                    <w:rPr>
                      <w:rFonts w:hint="default"/>
                      <w:color w:val="auto"/>
                      <w:sz w:val="21"/>
                      <w:szCs w:val="21"/>
                    </w:rPr>
                    <w:t>）</w:t>
                  </w:r>
                </w:p>
              </w:tc>
              <w:tc>
                <w:tcPr>
                  <w:tcW w:w="530" w:type="pct"/>
                  <w:noWrap/>
                  <w:vAlign w:val="center"/>
                </w:tcPr>
                <w:p w14:paraId="1BB94BD4">
                  <w:pPr>
                    <w:pStyle w:val="29"/>
                    <w:adjustRightInd w:val="0"/>
                    <w:snapToGrid w:val="0"/>
                    <w:rPr>
                      <w:rFonts w:hint="default"/>
                      <w:color w:val="auto"/>
                      <w:sz w:val="21"/>
                      <w:szCs w:val="21"/>
                    </w:rPr>
                  </w:pPr>
                  <w:r>
                    <w:rPr>
                      <w:rFonts w:hint="default"/>
                      <w:color w:val="auto"/>
                      <w:sz w:val="21"/>
                      <w:szCs w:val="21"/>
                    </w:rPr>
                    <w:t>占标率/%</w:t>
                  </w:r>
                </w:p>
              </w:tc>
              <w:tc>
                <w:tcPr>
                  <w:tcW w:w="519" w:type="pct"/>
                  <w:noWrap/>
                  <w:vAlign w:val="center"/>
                </w:tcPr>
                <w:p w14:paraId="585FE945">
                  <w:pPr>
                    <w:pStyle w:val="29"/>
                    <w:adjustRightInd w:val="0"/>
                    <w:snapToGrid w:val="0"/>
                    <w:rPr>
                      <w:rFonts w:hint="default"/>
                      <w:color w:val="auto"/>
                      <w:sz w:val="21"/>
                      <w:szCs w:val="21"/>
                    </w:rPr>
                  </w:pPr>
                  <w:r>
                    <w:rPr>
                      <w:rFonts w:hint="default"/>
                      <w:color w:val="auto"/>
                      <w:sz w:val="21"/>
                      <w:szCs w:val="21"/>
                    </w:rPr>
                    <w:t>达标情况</w:t>
                  </w:r>
                </w:p>
              </w:tc>
            </w:tr>
            <w:tr w14:paraId="03937B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7B8D2206">
                  <w:pPr>
                    <w:adjustRightInd w:val="0"/>
                    <w:snapToGrid w:val="0"/>
                    <w:spacing w:line="240" w:lineRule="auto"/>
                    <w:ind w:firstLine="0" w:firstLineChars="0"/>
                    <w:jc w:val="center"/>
                    <w:textAlignment w:val="baseline"/>
                    <w:rPr>
                      <w:color w:val="auto"/>
                      <w:sz w:val="21"/>
                      <w:szCs w:val="21"/>
                    </w:rPr>
                  </w:pPr>
                  <w:r>
                    <w:rPr>
                      <w:color w:val="auto"/>
                      <w:sz w:val="21"/>
                      <w:szCs w:val="21"/>
                    </w:rPr>
                    <w:t>PM</w:t>
                  </w:r>
                  <w:r>
                    <w:rPr>
                      <w:color w:val="auto"/>
                      <w:sz w:val="21"/>
                      <w:szCs w:val="21"/>
                      <w:vertAlign w:val="subscript"/>
                    </w:rPr>
                    <w:t>2.5</w:t>
                  </w:r>
                </w:p>
              </w:tc>
              <w:tc>
                <w:tcPr>
                  <w:tcW w:w="1709" w:type="pct"/>
                  <w:noWrap/>
                  <w:vAlign w:val="center"/>
                </w:tcPr>
                <w:p w14:paraId="3937E4B1">
                  <w:pPr>
                    <w:adjustRightInd w:val="0"/>
                    <w:snapToGrid w:val="0"/>
                    <w:spacing w:line="240" w:lineRule="auto"/>
                    <w:ind w:firstLine="0" w:firstLineChars="0"/>
                    <w:jc w:val="center"/>
                    <w:textAlignment w:val="baseline"/>
                    <w:rPr>
                      <w:color w:val="auto"/>
                      <w:sz w:val="21"/>
                      <w:szCs w:val="21"/>
                    </w:rPr>
                  </w:pPr>
                  <w:r>
                    <w:rPr>
                      <w:color w:val="auto"/>
                      <w:sz w:val="21"/>
                      <w:szCs w:val="21"/>
                    </w:rPr>
                    <w:t>年平均质量浓度</w:t>
                  </w:r>
                </w:p>
              </w:tc>
              <w:tc>
                <w:tcPr>
                  <w:tcW w:w="937" w:type="pct"/>
                  <w:noWrap/>
                  <w:vAlign w:val="center"/>
                </w:tcPr>
                <w:p w14:paraId="0B497D32">
                  <w:pPr>
                    <w:adjustRightInd w:val="0"/>
                    <w:snapToGrid w:val="0"/>
                    <w:spacing w:line="240" w:lineRule="auto"/>
                    <w:ind w:firstLine="0" w:firstLineChars="0"/>
                    <w:jc w:val="center"/>
                    <w:textAlignment w:val="baseline"/>
                    <w:rPr>
                      <w:color w:val="auto"/>
                      <w:sz w:val="21"/>
                      <w:szCs w:val="21"/>
                    </w:rPr>
                  </w:pPr>
                  <w:r>
                    <w:rPr>
                      <w:rFonts w:hint="eastAsia"/>
                      <w:color w:val="auto"/>
                      <w:sz w:val="21"/>
                      <w:szCs w:val="21"/>
                    </w:rPr>
                    <w:t>27</w:t>
                  </w:r>
                </w:p>
              </w:tc>
              <w:tc>
                <w:tcPr>
                  <w:tcW w:w="735" w:type="pct"/>
                  <w:noWrap/>
                  <w:vAlign w:val="center"/>
                </w:tcPr>
                <w:p w14:paraId="65162ECE">
                  <w:pPr>
                    <w:adjustRightInd w:val="0"/>
                    <w:snapToGrid w:val="0"/>
                    <w:spacing w:line="240" w:lineRule="auto"/>
                    <w:ind w:firstLine="0" w:firstLineChars="0"/>
                    <w:jc w:val="center"/>
                    <w:textAlignment w:val="baseline"/>
                    <w:rPr>
                      <w:color w:val="auto"/>
                      <w:sz w:val="21"/>
                      <w:szCs w:val="21"/>
                    </w:rPr>
                  </w:pPr>
                  <w:r>
                    <w:rPr>
                      <w:color w:val="auto"/>
                      <w:sz w:val="21"/>
                      <w:szCs w:val="21"/>
                    </w:rPr>
                    <w:t>30</w:t>
                  </w:r>
                </w:p>
              </w:tc>
              <w:tc>
                <w:tcPr>
                  <w:tcW w:w="530" w:type="pct"/>
                  <w:noWrap/>
                  <w:vAlign w:val="center"/>
                </w:tcPr>
                <w:p w14:paraId="29FD826D">
                  <w:pPr>
                    <w:widowControl/>
                    <w:adjustRightInd w:val="0"/>
                    <w:snapToGrid w:val="0"/>
                    <w:spacing w:line="240" w:lineRule="auto"/>
                    <w:ind w:firstLine="0" w:firstLineChars="0"/>
                    <w:jc w:val="center"/>
                    <w:textAlignment w:val="center"/>
                    <w:rPr>
                      <w:color w:val="auto"/>
                      <w:sz w:val="21"/>
                      <w:szCs w:val="21"/>
                    </w:rPr>
                  </w:pPr>
                  <w:r>
                    <w:rPr>
                      <w:color w:val="auto"/>
                      <w:kern w:val="0"/>
                      <w:sz w:val="21"/>
                      <w:szCs w:val="21"/>
                      <w:lang w:bidi="ar"/>
                    </w:rPr>
                    <w:t>90.00</w:t>
                  </w:r>
                </w:p>
              </w:tc>
              <w:tc>
                <w:tcPr>
                  <w:tcW w:w="519" w:type="pct"/>
                  <w:noWrap/>
                  <w:vAlign w:val="center"/>
                </w:tcPr>
                <w:p w14:paraId="6938B6F9">
                  <w:pPr>
                    <w:adjustRightInd w:val="0"/>
                    <w:snapToGrid w:val="0"/>
                    <w:spacing w:line="240" w:lineRule="auto"/>
                    <w:ind w:firstLine="0" w:firstLineChars="0"/>
                    <w:jc w:val="center"/>
                    <w:textAlignment w:val="baseline"/>
                    <w:rPr>
                      <w:color w:val="auto"/>
                      <w:sz w:val="21"/>
                      <w:szCs w:val="21"/>
                    </w:rPr>
                  </w:pPr>
                  <w:r>
                    <w:rPr>
                      <w:color w:val="auto"/>
                      <w:sz w:val="21"/>
                      <w:szCs w:val="21"/>
                    </w:rPr>
                    <w:t>达标</w:t>
                  </w:r>
                </w:p>
              </w:tc>
            </w:tr>
            <w:tr w14:paraId="2CEE5B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7CB4D2EB">
                  <w:pPr>
                    <w:adjustRightInd w:val="0"/>
                    <w:snapToGrid w:val="0"/>
                    <w:spacing w:line="240" w:lineRule="auto"/>
                    <w:ind w:firstLine="0" w:firstLineChars="0"/>
                    <w:jc w:val="center"/>
                    <w:textAlignment w:val="baseline"/>
                    <w:rPr>
                      <w:color w:val="auto"/>
                      <w:sz w:val="21"/>
                      <w:szCs w:val="21"/>
                    </w:rPr>
                  </w:pPr>
                  <w:r>
                    <w:rPr>
                      <w:color w:val="auto"/>
                      <w:sz w:val="21"/>
                      <w:szCs w:val="21"/>
                    </w:rPr>
                    <w:t>PM</w:t>
                  </w:r>
                  <w:r>
                    <w:rPr>
                      <w:color w:val="auto"/>
                      <w:sz w:val="21"/>
                      <w:szCs w:val="21"/>
                      <w:vertAlign w:val="subscript"/>
                    </w:rPr>
                    <w:t>10</w:t>
                  </w:r>
                </w:p>
              </w:tc>
              <w:tc>
                <w:tcPr>
                  <w:tcW w:w="1709" w:type="pct"/>
                  <w:noWrap/>
                  <w:vAlign w:val="center"/>
                </w:tcPr>
                <w:p w14:paraId="1A252F70">
                  <w:pPr>
                    <w:adjustRightInd w:val="0"/>
                    <w:snapToGrid w:val="0"/>
                    <w:spacing w:line="240" w:lineRule="auto"/>
                    <w:ind w:firstLine="0" w:firstLineChars="0"/>
                    <w:jc w:val="center"/>
                    <w:textAlignment w:val="baseline"/>
                    <w:rPr>
                      <w:color w:val="auto"/>
                      <w:sz w:val="21"/>
                      <w:szCs w:val="21"/>
                    </w:rPr>
                  </w:pPr>
                  <w:r>
                    <w:rPr>
                      <w:color w:val="auto"/>
                      <w:sz w:val="21"/>
                      <w:szCs w:val="21"/>
                    </w:rPr>
                    <w:t>年平均质量浓度</w:t>
                  </w:r>
                </w:p>
              </w:tc>
              <w:tc>
                <w:tcPr>
                  <w:tcW w:w="937" w:type="pct"/>
                  <w:noWrap/>
                  <w:vAlign w:val="center"/>
                </w:tcPr>
                <w:p w14:paraId="3BBB2CBC">
                  <w:pPr>
                    <w:adjustRightInd w:val="0"/>
                    <w:snapToGrid w:val="0"/>
                    <w:spacing w:line="240" w:lineRule="auto"/>
                    <w:ind w:firstLine="0" w:firstLineChars="0"/>
                    <w:jc w:val="center"/>
                    <w:textAlignment w:val="baseline"/>
                    <w:rPr>
                      <w:color w:val="auto"/>
                      <w:sz w:val="21"/>
                      <w:szCs w:val="21"/>
                    </w:rPr>
                  </w:pPr>
                  <w:r>
                    <w:rPr>
                      <w:rFonts w:hint="eastAsia"/>
                      <w:color w:val="auto"/>
                      <w:sz w:val="21"/>
                      <w:szCs w:val="21"/>
                    </w:rPr>
                    <w:t>42</w:t>
                  </w:r>
                </w:p>
              </w:tc>
              <w:tc>
                <w:tcPr>
                  <w:tcW w:w="735" w:type="pct"/>
                  <w:noWrap/>
                  <w:vAlign w:val="center"/>
                </w:tcPr>
                <w:p w14:paraId="7732CC8C">
                  <w:pPr>
                    <w:adjustRightInd w:val="0"/>
                    <w:snapToGrid w:val="0"/>
                    <w:spacing w:line="240" w:lineRule="auto"/>
                    <w:ind w:firstLine="0" w:firstLineChars="0"/>
                    <w:jc w:val="center"/>
                    <w:textAlignment w:val="baseline"/>
                    <w:rPr>
                      <w:color w:val="auto"/>
                      <w:sz w:val="21"/>
                      <w:szCs w:val="21"/>
                    </w:rPr>
                  </w:pPr>
                  <w:r>
                    <w:rPr>
                      <w:color w:val="auto"/>
                      <w:sz w:val="21"/>
                      <w:szCs w:val="21"/>
                    </w:rPr>
                    <w:t>60</w:t>
                  </w:r>
                </w:p>
              </w:tc>
              <w:tc>
                <w:tcPr>
                  <w:tcW w:w="530" w:type="pct"/>
                  <w:noWrap/>
                  <w:vAlign w:val="center"/>
                </w:tcPr>
                <w:p w14:paraId="2F1D08E3">
                  <w:pPr>
                    <w:widowControl/>
                    <w:adjustRightInd w:val="0"/>
                    <w:snapToGrid w:val="0"/>
                    <w:spacing w:line="240" w:lineRule="auto"/>
                    <w:ind w:firstLine="0" w:firstLineChars="0"/>
                    <w:jc w:val="center"/>
                    <w:textAlignment w:val="center"/>
                    <w:rPr>
                      <w:color w:val="auto"/>
                      <w:sz w:val="21"/>
                      <w:szCs w:val="21"/>
                    </w:rPr>
                  </w:pPr>
                  <w:r>
                    <w:rPr>
                      <w:rFonts w:hint="eastAsia"/>
                      <w:color w:val="auto"/>
                      <w:kern w:val="0"/>
                      <w:sz w:val="21"/>
                      <w:szCs w:val="21"/>
                      <w:lang w:bidi="ar"/>
                    </w:rPr>
                    <w:t>70.00</w:t>
                  </w:r>
                </w:p>
              </w:tc>
              <w:tc>
                <w:tcPr>
                  <w:tcW w:w="519" w:type="pct"/>
                  <w:noWrap/>
                  <w:vAlign w:val="center"/>
                </w:tcPr>
                <w:p w14:paraId="5B3E9985">
                  <w:pPr>
                    <w:adjustRightInd w:val="0"/>
                    <w:snapToGrid w:val="0"/>
                    <w:spacing w:line="240" w:lineRule="auto"/>
                    <w:ind w:firstLine="0" w:firstLineChars="0"/>
                    <w:jc w:val="center"/>
                    <w:textAlignment w:val="baseline"/>
                    <w:rPr>
                      <w:color w:val="auto"/>
                      <w:sz w:val="21"/>
                      <w:szCs w:val="21"/>
                    </w:rPr>
                  </w:pPr>
                  <w:r>
                    <w:rPr>
                      <w:color w:val="auto"/>
                      <w:sz w:val="21"/>
                      <w:szCs w:val="21"/>
                    </w:rPr>
                    <w:t>达标</w:t>
                  </w:r>
                </w:p>
              </w:tc>
            </w:tr>
            <w:tr w14:paraId="279F23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52A4FB0F">
                  <w:pPr>
                    <w:adjustRightInd w:val="0"/>
                    <w:snapToGrid w:val="0"/>
                    <w:spacing w:line="240" w:lineRule="auto"/>
                    <w:ind w:firstLine="0" w:firstLineChars="0"/>
                    <w:jc w:val="center"/>
                    <w:textAlignment w:val="baseline"/>
                    <w:rPr>
                      <w:color w:val="auto"/>
                      <w:sz w:val="21"/>
                      <w:szCs w:val="21"/>
                    </w:rPr>
                  </w:pPr>
                  <w:r>
                    <w:rPr>
                      <w:color w:val="auto"/>
                      <w:sz w:val="21"/>
                      <w:szCs w:val="21"/>
                    </w:rPr>
                    <w:t>NO</w:t>
                  </w:r>
                  <w:r>
                    <w:rPr>
                      <w:color w:val="auto"/>
                      <w:sz w:val="21"/>
                      <w:szCs w:val="21"/>
                      <w:vertAlign w:val="subscript"/>
                    </w:rPr>
                    <w:t>2</w:t>
                  </w:r>
                </w:p>
              </w:tc>
              <w:tc>
                <w:tcPr>
                  <w:tcW w:w="1709" w:type="pct"/>
                  <w:noWrap/>
                  <w:vAlign w:val="center"/>
                </w:tcPr>
                <w:p w14:paraId="0BA73EF5">
                  <w:pPr>
                    <w:adjustRightInd w:val="0"/>
                    <w:snapToGrid w:val="0"/>
                    <w:spacing w:line="240" w:lineRule="auto"/>
                    <w:ind w:firstLine="0" w:firstLineChars="0"/>
                    <w:jc w:val="center"/>
                    <w:textAlignment w:val="baseline"/>
                    <w:rPr>
                      <w:color w:val="auto"/>
                      <w:sz w:val="21"/>
                      <w:szCs w:val="21"/>
                    </w:rPr>
                  </w:pPr>
                  <w:r>
                    <w:rPr>
                      <w:color w:val="auto"/>
                      <w:sz w:val="21"/>
                      <w:szCs w:val="21"/>
                    </w:rPr>
                    <w:t>年平均质量浓度</w:t>
                  </w:r>
                </w:p>
              </w:tc>
              <w:tc>
                <w:tcPr>
                  <w:tcW w:w="937" w:type="pct"/>
                  <w:noWrap/>
                  <w:vAlign w:val="center"/>
                </w:tcPr>
                <w:p w14:paraId="54FA4A14">
                  <w:pPr>
                    <w:adjustRightInd w:val="0"/>
                    <w:snapToGrid w:val="0"/>
                    <w:spacing w:line="240" w:lineRule="auto"/>
                    <w:ind w:firstLine="0" w:firstLineChars="0"/>
                    <w:jc w:val="center"/>
                    <w:textAlignment w:val="baseline"/>
                    <w:rPr>
                      <w:color w:val="auto"/>
                      <w:sz w:val="21"/>
                      <w:szCs w:val="21"/>
                    </w:rPr>
                  </w:pPr>
                  <w:r>
                    <w:rPr>
                      <w:rFonts w:hint="eastAsia"/>
                      <w:color w:val="auto"/>
                      <w:sz w:val="21"/>
                      <w:szCs w:val="21"/>
                    </w:rPr>
                    <w:t>15</w:t>
                  </w:r>
                </w:p>
              </w:tc>
              <w:tc>
                <w:tcPr>
                  <w:tcW w:w="735" w:type="pct"/>
                  <w:noWrap/>
                  <w:vAlign w:val="center"/>
                </w:tcPr>
                <w:p w14:paraId="2FAF57A6">
                  <w:pPr>
                    <w:adjustRightInd w:val="0"/>
                    <w:snapToGrid w:val="0"/>
                    <w:spacing w:line="240" w:lineRule="auto"/>
                    <w:ind w:firstLine="0" w:firstLineChars="0"/>
                    <w:jc w:val="center"/>
                    <w:textAlignment w:val="baseline"/>
                    <w:rPr>
                      <w:color w:val="auto"/>
                      <w:sz w:val="21"/>
                      <w:szCs w:val="21"/>
                    </w:rPr>
                  </w:pPr>
                  <w:r>
                    <w:rPr>
                      <w:color w:val="auto"/>
                      <w:sz w:val="21"/>
                      <w:szCs w:val="21"/>
                    </w:rPr>
                    <w:t>40</w:t>
                  </w:r>
                </w:p>
              </w:tc>
              <w:tc>
                <w:tcPr>
                  <w:tcW w:w="530" w:type="pct"/>
                  <w:noWrap/>
                  <w:vAlign w:val="center"/>
                </w:tcPr>
                <w:p w14:paraId="022B9628">
                  <w:pPr>
                    <w:widowControl/>
                    <w:adjustRightInd w:val="0"/>
                    <w:snapToGrid w:val="0"/>
                    <w:spacing w:line="240" w:lineRule="auto"/>
                    <w:ind w:firstLine="0" w:firstLineChars="0"/>
                    <w:jc w:val="center"/>
                    <w:textAlignment w:val="center"/>
                    <w:rPr>
                      <w:color w:val="auto"/>
                      <w:sz w:val="21"/>
                      <w:szCs w:val="21"/>
                    </w:rPr>
                  </w:pPr>
                  <w:r>
                    <w:rPr>
                      <w:color w:val="auto"/>
                      <w:kern w:val="0"/>
                      <w:sz w:val="21"/>
                      <w:szCs w:val="21"/>
                      <w:lang w:bidi="ar"/>
                    </w:rPr>
                    <w:t>37.50</w:t>
                  </w:r>
                </w:p>
              </w:tc>
              <w:tc>
                <w:tcPr>
                  <w:tcW w:w="519" w:type="pct"/>
                  <w:noWrap/>
                  <w:vAlign w:val="center"/>
                </w:tcPr>
                <w:p w14:paraId="577FE45A">
                  <w:pPr>
                    <w:adjustRightInd w:val="0"/>
                    <w:snapToGrid w:val="0"/>
                    <w:spacing w:line="240" w:lineRule="auto"/>
                    <w:ind w:firstLine="0" w:firstLineChars="0"/>
                    <w:jc w:val="center"/>
                    <w:textAlignment w:val="baseline"/>
                    <w:rPr>
                      <w:color w:val="auto"/>
                      <w:sz w:val="21"/>
                      <w:szCs w:val="21"/>
                    </w:rPr>
                  </w:pPr>
                  <w:r>
                    <w:rPr>
                      <w:color w:val="auto"/>
                      <w:sz w:val="21"/>
                      <w:szCs w:val="21"/>
                    </w:rPr>
                    <w:t>达标</w:t>
                  </w:r>
                </w:p>
              </w:tc>
            </w:tr>
            <w:tr w14:paraId="2ED1F8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13B497CC">
                  <w:pPr>
                    <w:adjustRightInd w:val="0"/>
                    <w:snapToGrid w:val="0"/>
                    <w:spacing w:line="240" w:lineRule="auto"/>
                    <w:ind w:firstLine="0" w:firstLineChars="0"/>
                    <w:jc w:val="center"/>
                    <w:textAlignment w:val="baseline"/>
                    <w:rPr>
                      <w:color w:val="auto"/>
                      <w:sz w:val="21"/>
                      <w:szCs w:val="21"/>
                    </w:rPr>
                  </w:pPr>
                  <w:r>
                    <w:rPr>
                      <w:color w:val="auto"/>
                      <w:sz w:val="21"/>
                      <w:szCs w:val="21"/>
                    </w:rPr>
                    <w:t>SO</w:t>
                  </w:r>
                  <w:r>
                    <w:rPr>
                      <w:color w:val="auto"/>
                      <w:sz w:val="21"/>
                      <w:szCs w:val="21"/>
                      <w:vertAlign w:val="subscript"/>
                    </w:rPr>
                    <w:t>2</w:t>
                  </w:r>
                </w:p>
              </w:tc>
              <w:tc>
                <w:tcPr>
                  <w:tcW w:w="1709" w:type="pct"/>
                  <w:noWrap/>
                  <w:vAlign w:val="center"/>
                </w:tcPr>
                <w:p w14:paraId="15727543">
                  <w:pPr>
                    <w:adjustRightInd w:val="0"/>
                    <w:snapToGrid w:val="0"/>
                    <w:spacing w:line="240" w:lineRule="auto"/>
                    <w:ind w:firstLine="0" w:firstLineChars="0"/>
                    <w:jc w:val="center"/>
                    <w:textAlignment w:val="baseline"/>
                    <w:rPr>
                      <w:color w:val="auto"/>
                      <w:sz w:val="21"/>
                      <w:szCs w:val="21"/>
                    </w:rPr>
                  </w:pPr>
                  <w:r>
                    <w:rPr>
                      <w:color w:val="auto"/>
                      <w:sz w:val="21"/>
                      <w:szCs w:val="21"/>
                    </w:rPr>
                    <w:t>年平均质量浓度</w:t>
                  </w:r>
                </w:p>
              </w:tc>
              <w:tc>
                <w:tcPr>
                  <w:tcW w:w="937" w:type="pct"/>
                  <w:noWrap/>
                  <w:vAlign w:val="center"/>
                </w:tcPr>
                <w:p w14:paraId="0F1E0842">
                  <w:pPr>
                    <w:adjustRightInd w:val="0"/>
                    <w:snapToGrid w:val="0"/>
                    <w:spacing w:line="240" w:lineRule="auto"/>
                    <w:ind w:firstLine="0" w:firstLineChars="0"/>
                    <w:jc w:val="center"/>
                    <w:textAlignment w:val="baseline"/>
                    <w:rPr>
                      <w:color w:val="auto"/>
                      <w:sz w:val="21"/>
                      <w:szCs w:val="21"/>
                    </w:rPr>
                  </w:pPr>
                  <w:r>
                    <w:rPr>
                      <w:rFonts w:hint="eastAsia"/>
                      <w:color w:val="auto"/>
                      <w:sz w:val="21"/>
                      <w:szCs w:val="21"/>
                    </w:rPr>
                    <w:t>12</w:t>
                  </w:r>
                </w:p>
              </w:tc>
              <w:tc>
                <w:tcPr>
                  <w:tcW w:w="735" w:type="pct"/>
                  <w:noWrap/>
                  <w:vAlign w:val="center"/>
                </w:tcPr>
                <w:p w14:paraId="3F5D8888">
                  <w:pPr>
                    <w:adjustRightInd w:val="0"/>
                    <w:snapToGrid w:val="0"/>
                    <w:spacing w:line="240" w:lineRule="auto"/>
                    <w:ind w:firstLine="0" w:firstLineChars="0"/>
                    <w:jc w:val="center"/>
                    <w:textAlignment w:val="baseline"/>
                    <w:rPr>
                      <w:color w:val="auto"/>
                      <w:sz w:val="21"/>
                      <w:szCs w:val="21"/>
                    </w:rPr>
                  </w:pPr>
                  <w:r>
                    <w:rPr>
                      <w:color w:val="auto"/>
                      <w:sz w:val="21"/>
                      <w:szCs w:val="21"/>
                    </w:rPr>
                    <w:t>60</w:t>
                  </w:r>
                </w:p>
              </w:tc>
              <w:tc>
                <w:tcPr>
                  <w:tcW w:w="530" w:type="pct"/>
                  <w:noWrap/>
                  <w:vAlign w:val="center"/>
                </w:tcPr>
                <w:p w14:paraId="3F2D808C">
                  <w:pPr>
                    <w:widowControl/>
                    <w:adjustRightInd w:val="0"/>
                    <w:snapToGrid w:val="0"/>
                    <w:spacing w:line="240" w:lineRule="auto"/>
                    <w:ind w:firstLine="0" w:firstLineChars="0"/>
                    <w:jc w:val="center"/>
                    <w:textAlignment w:val="center"/>
                    <w:rPr>
                      <w:color w:val="auto"/>
                      <w:sz w:val="21"/>
                      <w:szCs w:val="21"/>
                    </w:rPr>
                  </w:pPr>
                  <w:r>
                    <w:rPr>
                      <w:rFonts w:hint="eastAsia"/>
                      <w:color w:val="auto"/>
                      <w:kern w:val="0"/>
                      <w:sz w:val="21"/>
                      <w:szCs w:val="21"/>
                      <w:lang w:bidi="ar"/>
                    </w:rPr>
                    <w:t>20.00</w:t>
                  </w:r>
                </w:p>
              </w:tc>
              <w:tc>
                <w:tcPr>
                  <w:tcW w:w="519" w:type="pct"/>
                  <w:noWrap/>
                  <w:vAlign w:val="center"/>
                </w:tcPr>
                <w:p w14:paraId="0CC0DF9B">
                  <w:pPr>
                    <w:adjustRightInd w:val="0"/>
                    <w:snapToGrid w:val="0"/>
                    <w:spacing w:line="240" w:lineRule="auto"/>
                    <w:ind w:firstLine="0" w:firstLineChars="0"/>
                    <w:jc w:val="center"/>
                    <w:textAlignment w:val="baseline"/>
                    <w:rPr>
                      <w:color w:val="auto"/>
                      <w:sz w:val="21"/>
                      <w:szCs w:val="21"/>
                    </w:rPr>
                  </w:pPr>
                  <w:r>
                    <w:rPr>
                      <w:color w:val="auto"/>
                      <w:sz w:val="21"/>
                      <w:szCs w:val="21"/>
                    </w:rPr>
                    <w:t>达标</w:t>
                  </w:r>
                </w:p>
              </w:tc>
            </w:tr>
            <w:tr w14:paraId="58B8DA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797CECF2">
                  <w:pPr>
                    <w:adjustRightInd w:val="0"/>
                    <w:snapToGrid w:val="0"/>
                    <w:spacing w:line="240" w:lineRule="auto"/>
                    <w:ind w:firstLine="0" w:firstLineChars="0"/>
                    <w:jc w:val="center"/>
                    <w:textAlignment w:val="baseline"/>
                    <w:rPr>
                      <w:color w:val="auto"/>
                      <w:sz w:val="21"/>
                      <w:szCs w:val="21"/>
                    </w:rPr>
                  </w:pPr>
                  <w:r>
                    <w:rPr>
                      <w:color w:val="auto"/>
                      <w:sz w:val="21"/>
                      <w:szCs w:val="21"/>
                    </w:rPr>
                    <w:t>CO</w:t>
                  </w:r>
                </w:p>
              </w:tc>
              <w:tc>
                <w:tcPr>
                  <w:tcW w:w="1709" w:type="pct"/>
                  <w:noWrap/>
                  <w:vAlign w:val="center"/>
                </w:tcPr>
                <w:p w14:paraId="4694C01F">
                  <w:pPr>
                    <w:adjustRightInd w:val="0"/>
                    <w:snapToGrid w:val="0"/>
                    <w:spacing w:line="240" w:lineRule="auto"/>
                    <w:ind w:firstLine="0" w:firstLineChars="0"/>
                    <w:jc w:val="center"/>
                    <w:textAlignment w:val="baseline"/>
                    <w:rPr>
                      <w:color w:val="auto"/>
                      <w:sz w:val="21"/>
                      <w:szCs w:val="21"/>
                    </w:rPr>
                  </w:pPr>
                  <w:r>
                    <w:rPr>
                      <w:color w:val="auto"/>
                      <w:sz w:val="21"/>
                      <w:szCs w:val="21"/>
                    </w:rPr>
                    <w:t>第95百分位数日平均浓度（mg/m</w:t>
                  </w:r>
                  <w:r>
                    <w:rPr>
                      <w:color w:val="auto"/>
                      <w:sz w:val="21"/>
                      <w:szCs w:val="21"/>
                      <w:vertAlign w:val="superscript"/>
                    </w:rPr>
                    <w:t>3</w:t>
                  </w:r>
                  <w:r>
                    <w:rPr>
                      <w:color w:val="auto"/>
                      <w:sz w:val="21"/>
                      <w:szCs w:val="21"/>
                    </w:rPr>
                    <w:t>）</w:t>
                  </w:r>
                </w:p>
              </w:tc>
              <w:tc>
                <w:tcPr>
                  <w:tcW w:w="937" w:type="pct"/>
                  <w:noWrap/>
                  <w:vAlign w:val="center"/>
                </w:tcPr>
                <w:p w14:paraId="3D0637B3">
                  <w:pPr>
                    <w:adjustRightInd w:val="0"/>
                    <w:snapToGrid w:val="0"/>
                    <w:spacing w:line="240" w:lineRule="auto"/>
                    <w:ind w:firstLine="0" w:firstLineChars="0"/>
                    <w:jc w:val="center"/>
                    <w:textAlignment w:val="baseline"/>
                    <w:rPr>
                      <w:color w:val="auto"/>
                      <w:sz w:val="21"/>
                      <w:szCs w:val="21"/>
                    </w:rPr>
                  </w:pPr>
                  <w:r>
                    <w:rPr>
                      <w:rFonts w:hint="eastAsia"/>
                      <w:color w:val="auto"/>
                      <w:sz w:val="21"/>
                      <w:szCs w:val="21"/>
                    </w:rPr>
                    <w:t>0.9</w:t>
                  </w:r>
                </w:p>
              </w:tc>
              <w:tc>
                <w:tcPr>
                  <w:tcW w:w="735" w:type="pct"/>
                  <w:noWrap/>
                  <w:vAlign w:val="center"/>
                </w:tcPr>
                <w:p w14:paraId="480074D8">
                  <w:pPr>
                    <w:adjustRightInd w:val="0"/>
                    <w:snapToGrid w:val="0"/>
                    <w:spacing w:line="240" w:lineRule="auto"/>
                    <w:ind w:firstLine="0" w:firstLineChars="0"/>
                    <w:jc w:val="center"/>
                    <w:textAlignment w:val="baseline"/>
                    <w:rPr>
                      <w:color w:val="auto"/>
                      <w:sz w:val="21"/>
                      <w:szCs w:val="21"/>
                    </w:rPr>
                  </w:pPr>
                  <w:r>
                    <w:rPr>
                      <w:color w:val="auto"/>
                      <w:sz w:val="21"/>
                      <w:szCs w:val="21"/>
                    </w:rPr>
                    <w:t>4</w:t>
                  </w:r>
                </w:p>
              </w:tc>
              <w:tc>
                <w:tcPr>
                  <w:tcW w:w="530" w:type="pct"/>
                  <w:noWrap/>
                  <w:vAlign w:val="center"/>
                </w:tcPr>
                <w:p w14:paraId="20674DCC">
                  <w:pPr>
                    <w:widowControl/>
                    <w:adjustRightInd w:val="0"/>
                    <w:snapToGrid w:val="0"/>
                    <w:spacing w:line="240" w:lineRule="auto"/>
                    <w:ind w:firstLine="0" w:firstLineChars="0"/>
                    <w:jc w:val="center"/>
                    <w:textAlignment w:val="center"/>
                    <w:rPr>
                      <w:color w:val="auto"/>
                      <w:sz w:val="21"/>
                      <w:szCs w:val="21"/>
                    </w:rPr>
                  </w:pPr>
                  <w:r>
                    <w:rPr>
                      <w:color w:val="auto"/>
                      <w:kern w:val="0"/>
                      <w:sz w:val="21"/>
                      <w:szCs w:val="21"/>
                      <w:lang w:bidi="ar"/>
                    </w:rPr>
                    <w:t>22.50</w:t>
                  </w:r>
                </w:p>
              </w:tc>
              <w:tc>
                <w:tcPr>
                  <w:tcW w:w="519" w:type="pct"/>
                  <w:noWrap/>
                  <w:vAlign w:val="center"/>
                </w:tcPr>
                <w:p w14:paraId="7ECAE5A9">
                  <w:pPr>
                    <w:adjustRightInd w:val="0"/>
                    <w:snapToGrid w:val="0"/>
                    <w:spacing w:line="240" w:lineRule="auto"/>
                    <w:ind w:firstLine="0" w:firstLineChars="0"/>
                    <w:jc w:val="center"/>
                    <w:textAlignment w:val="baseline"/>
                    <w:rPr>
                      <w:color w:val="auto"/>
                      <w:sz w:val="21"/>
                      <w:szCs w:val="21"/>
                    </w:rPr>
                  </w:pPr>
                  <w:r>
                    <w:rPr>
                      <w:color w:val="auto"/>
                      <w:sz w:val="21"/>
                      <w:szCs w:val="21"/>
                    </w:rPr>
                    <w:t>达标</w:t>
                  </w:r>
                </w:p>
              </w:tc>
            </w:tr>
            <w:tr w14:paraId="46F4C7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6" w:type="pct"/>
                  <w:noWrap/>
                  <w:vAlign w:val="center"/>
                </w:tcPr>
                <w:p w14:paraId="75E06697">
                  <w:pPr>
                    <w:adjustRightInd w:val="0"/>
                    <w:snapToGrid w:val="0"/>
                    <w:spacing w:line="240" w:lineRule="auto"/>
                    <w:ind w:firstLine="0" w:firstLineChars="0"/>
                    <w:jc w:val="center"/>
                    <w:textAlignment w:val="baseline"/>
                    <w:rPr>
                      <w:color w:val="auto"/>
                      <w:sz w:val="21"/>
                      <w:szCs w:val="21"/>
                    </w:rPr>
                  </w:pPr>
                  <w:r>
                    <w:rPr>
                      <w:color w:val="auto"/>
                      <w:sz w:val="21"/>
                      <w:szCs w:val="21"/>
                    </w:rPr>
                    <w:t>O</w:t>
                  </w:r>
                  <w:r>
                    <w:rPr>
                      <w:color w:val="auto"/>
                      <w:sz w:val="21"/>
                      <w:szCs w:val="21"/>
                      <w:vertAlign w:val="subscript"/>
                    </w:rPr>
                    <w:t>3</w:t>
                  </w:r>
                </w:p>
              </w:tc>
              <w:tc>
                <w:tcPr>
                  <w:tcW w:w="1709" w:type="pct"/>
                  <w:noWrap/>
                  <w:vAlign w:val="center"/>
                </w:tcPr>
                <w:p w14:paraId="711F24A6">
                  <w:pPr>
                    <w:adjustRightInd w:val="0"/>
                    <w:snapToGrid w:val="0"/>
                    <w:spacing w:line="240" w:lineRule="auto"/>
                    <w:ind w:firstLine="0" w:firstLineChars="0"/>
                    <w:jc w:val="center"/>
                    <w:textAlignment w:val="baseline"/>
                    <w:rPr>
                      <w:color w:val="auto"/>
                      <w:sz w:val="21"/>
                      <w:szCs w:val="21"/>
                    </w:rPr>
                  </w:pPr>
                  <w:r>
                    <w:rPr>
                      <w:color w:val="auto"/>
                      <w:sz w:val="21"/>
                      <w:szCs w:val="21"/>
                    </w:rPr>
                    <w:t>第90百分位数8h平均质量浓度</w:t>
                  </w:r>
                </w:p>
              </w:tc>
              <w:tc>
                <w:tcPr>
                  <w:tcW w:w="937" w:type="pct"/>
                  <w:noWrap/>
                  <w:vAlign w:val="center"/>
                </w:tcPr>
                <w:p w14:paraId="5310708E">
                  <w:pPr>
                    <w:adjustRightInd w:val="0"/>
                    <w:snapToGrid w:val="0"/>
                    <w:spacing w:line="240" w:lineRule="auto"/>
                    <w:ind w:firstLine="0" w:firstLineChars="0"/>
                    <w:jc w:val="center"/>
                    <w:textAlignment w:val="baseline"/>
                    <w:rPr>
                      <w:color w:val="auto"/>
                      <w:sz w:val="21"/>
                      <w:szCs w:val="21"/>
                    </w:rPr>
                  </w:pPr>
                  <w:r>
                    <w:rPr>
                      <w:rFonts w:hint="eastAsia"/>
                      <w:color w:val="auto"/>
                      <w:sz w:val="21"/>
                      <w:szCs w:val="21"/>
                    </w:rPr>
                    <w:t>105</w:t>
                  </w:r>
                </w:p>
              </w:tc>
              <w:tc>
                <w:tcPr>
                  <w:tcW w:w="735" w:type="pct"/>
                  <w:noWrap/>
                  <w:vAlign w:val="center"/>
                </w:tcPr>
                <w:p w14:paraId="508EC5BC">
                  <w:pPr>
                    <w:adjustRightInd w:val="0"/>
                    <w:snapToGrid w:val="0"/>
                    <w:spacing w:line="240" w:lineRule="auto"/>
                    <w:ind w:firstLine="0" w:firstLineChars="0"/>
                    <w:jc w:val="center"/>
                    <w:textAlignment w:val="baseline"/>
                    <w:rPr>
                      <w:color w:val="auto"/>
                      <w:sz w:val="21"/>
                      <w:szCs w:val="21"/>
                    </w:rPr>
                  </w:pPr>
                  <w:r>
                    <w:rPr>
                      <w:color w:val="auto"/>
                      <w:sz w:val="21"/>
                      <w:szCs w:val="21"/>
                    </w:rPr>
                    <w:t>160</w:t>
                  </w:r>
                </w:p>
              </w:tc>
              <w:tc>
                <w:tcPr>
                  <w:tcW w:w="530" w:type="pct"/>
                  <w:noWrap/>
                  <w:vAlign w:val="center"/>
                </w:tcPr>
                <w:p w14:paraId="68EEEE0D">
                  <w:pPr>
                    <w:widowControl/>
                    <w:adjustRightInd w:val="0"/>
                    <w:snapToGrid w:val="0"/>
                    <w:spacing w:line="240" w:lineRule="auto"/>
                    <w:ind w:firstLine="0" w:firstLineChars="0"/>
                    <w:jc w:val="center"/>
                    <w:textAlignment w:val="center"/>
                    <w:rPr>
                      <w:color w:val="auto"/>
                      <w:sz w:val="21"/>
                      <w:szCs w:val="21"/>
                    </w:rPr>
                  </w:pPr>
                  <w:r>
                    <w:rPr>
                      <w:color w:val="auto"/>
                      <w:kern w:val="0"/>
                      <w:sz w:val="21"/>
                      <w:szCs w:val="21"/>
                      <w:lang w:bidi="ar"/>
                    </w:rPr>
                    <w:t>65.63</w:t>
                  </w:r>
                </w:p>
              </w:tc>
              <w:tc>
                <w:tcPr>
                  <w:tcW w:w="519" w:type="pct"/>
                  <w:noWrap/>
                  <w:vAlign w:val="center"/>
                </w:tcPr>
                <w:p w14:paraId="04E5C49E">
                  <w:pPr>
                    <w:adjustRightInd w:val="0"/>
                    <w:snapToGrid w:val="0"/>
                    <w:spacing w:line="240" w:lineRule="auto"/>
                    <w:ind w:firstLine="0" w:firstLineChars="0"/>
                    <w:jc w:val="center"/>
                    <w:textAlignment w:val="baseline"/>
                    <w:rPr>
                      <w:color w:val="auto"/>
                      <w:sz w:val="21"/>
                      <w:szCs w:val="21"/>
                    </w:rPr>
                  </w:pPr>
                  <w:r>
                    <w:rPr>
                      <w:color w:val="auto"/>
                      <w:sz w:val="21"/>
                      <w:szCs w:val="21"/>
                    </w:rPr>
                    <w:t>达标</w:t>
                  </w:r>
                </w:p>
              </w:tc>
            </w:tr>
          </w:tbl>
          <w:p w14:paraId="675B6021">
            <w:pPr>
              <w:ind w:firstLine="480"/>
              <w:rPr>
                <w:color w:val="auto"/>
                <w:kern w:val="0"/>
              </w:rPr>
            </w:pPr>
            <w:r>
              <w:rPr>
                <w:color w:val="auto"/>
                <w:kern w:val="0"/>
              </w:rPr>
              <w:t>根据《2025年黑龙江省生态环境质量状况》，2025年双鸭山市属于环境空气达标区</w:t>
            </w:r>
            <w:r>
              <w:rPr>
                <w:rFonts w:hint="eastAsia"/>
                <w:color w:val="auto"/>
                <w:kern w:val="0"/>
              </w:rPr>
              <w:t>，</w:t>
            </w:r>
            <w:r>
              <w:rPr>
                <w:color w:val="auto"/>
                <w:kern w:val="0"/>
              </w:rPr>
              <w:t>且PM</w:t>
            </w:r>
            <w:r>
              <w:rPr>
                <w:color w:val="auto"/>
                <w:kern w:val="0"/>
                <w:vertAlign w:val="subscript"/>
              </w:rPr>
              <w:t>2.5</w:t>
            </w:r>
            <w:r>
              <w:rPr>
                <w:color w:val="auto"/>
                <w:kern w:val="0"/>
              </w:rPr>
              <w:t>、PM</w:t>
            </w:r>
            <w:r>
              <w:rPr>
                <w:color w:val="auto"/>
                <w:kern w:val="0"/>
                <w:vertAlign w:val="subscript"/>
              </w:rPr>
              <w:t>10</w:t>
            </w:r>
            <w:r>
              <w:rPr>
                <w:color w:val="auto"/>
                <w:kern w:val="0"/>
              </w:rPr>
              <w:t>、SO</w:t>
            </w:r>
            <w:r>
              <w:rPr>
                <w:color w:val="auto"/>
                <w:kern w:val="0"/>
                <w:vertAlign w:val="subscript"/>
              </w:rPr>
              <w:t>2</w:t>
            </w:r>
            <w:r>
              <w:rPr>
                <w:color w:val="auto"/>
                <w:kern w:val="0"/>
              </w:rPr>
              <w:t>、NO</w:t>
            </w:r>
            <w:r>
              <w:rPr>
                <w:color w:val="auto"/>
                <w:kern w:val="0"/>
                <w:vertAlign w:val="subscript"/>
              </w:rPr>
              <w:t>2</w:t>
            </w:r>
            <w:r>
              <w:rPr>
                <w:color w:val="auto"/>
                <w:kern w:val="0"/>
              </w:rPr>
              <w:t>、CO-95per 和O</w:t>
            </w:r>
            <w:r>
              <w:rPr>
                <w:color w:val="auto"/>
                <w:kern w:val="0"/>
                <w:vertAlign w:val="subscript"/>
              </w:rPr>
              <w:t>3</w:t>
            </w:r>
            <w:r>
              <w:rPr>
                <w:color w:val="auto"/>
                <w:kern w:val="0"/>
              </w:rPr>
              <w:t>-8h-90per 年均浓度均满足《环境空气质量标准》（GB3095-2026）过渡阶段二级标准。</w:t>
            </w:r>
          </w:p>
          <w:p w14:paraId="20681490">
            <w:pPr>
              <w:pStyle w:val="4"/>
              <w:ind w:firstLine="480" w:firstLineChars="20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）环境空气一类功能区</w:t>
            </w:r>
          </w:p>
          <w:p w14:paraId="0E2F1F9C">
            <w:pPr>
              <w:rPr>
                <w:color w:val="auto"/>
                <w:highlight w:val="none"/>
              </w:rPr>
            </w:pPr>
            <w:r>
              <w:rPr>
                <w:rFonts w:hint="eastAsia"/>
                <w:color w:val="auto"/>
                <w:highlight w:val="none"/>
              </w:rPr>
              <w:t>1）监测因子</w:t>
            </w:r>
          </w:p>
          <w:p w14:paraId="216D18E3">
            <w:pPr>
              <w:rPr>
                <w:rFonts w:hint="eastAsia"/>
                <w:color w:val="auto"/>
                <w:highlight w:val="none"/>
              </w:rPr>
            </w:pPr>
            <w:r>
              <w:rPr>
                <w:rFonts w:hint="eastAsia"/>
                <w:color w:val="auto"/>
                <w:highlight w:val="none"/>
              </w:rPr>
              <w:t>由于本项目穿越</w:t>
            </w:r>
            <w:r>
              <w:rPr>
                <w:rFonts w:hint="eastAsia"/>
                <w:color w:val="auto"/>
                <w:highlight w:val="none"/>
                <w:lang w:eastAsia="zh-CN"/>
              </w:rPr>
              <w:t>黑龙江完达山国家级森林公园和</w:t>
            </w:r>
            <w:r>
              <w:rPr>
                <w:rFonts w:hint="eastAsia"/>
                <w:color w:val="auto"/>
                <w:kern w:val="0"/>
                <w:szCs w:val="21"/>
                <w:highlight w:val="none"/>
              </w:rPr>
              <w:t>黑龙江东升省级自然保护区</w:t>
            </w:r>
            <w:r>
              <w:rPr>
                <w:rFonts w:hint="eastAsia"/>
                <w:color w:val="auto"/>
                <w:highlight w:val="none"/>
              </w:rPr>
              <w:t>，因此对一类区环境空气质量进行补充监测，监测因子为PM</w:t>
            </w:r>
            <w:r>
              <w:rPr>
                <w:rFonts w:hint="eastAsia"/>
                <w:color w:val="auto"/>
                <w:highlight w:val="none"/>
                <w:vertAlign w:val="subscript"/>
              </w:rPr>
              <w:t>10</w:t>
            </w:r>
            <w:r>
              <w:rPr>
                <w:rFonts w:hint="eastAsia"/>
                <w:color w:val="auto"/>
                <w:highlight w:val="none"/>
              </w:rPr>
              <w:t>、PM</w:t>
            </w:r>
            <w:r>
              <w:rPr>
                <w:rFonts w:hint="eastAsia"/>
                <w:color w:val="auto"/>
                <w:highlight w:val="none"/>
                <w:vertAlign w:val="subscript"/>
              </w:rPr>
              <w:t>2.5</w:t>
            </w:r>
            <w:r>
              <w:rPr>
                <w:rFonts w:hint="eastAsia"/>
                <w:color w:val="auto"/>
                <w:highlight w:val="none"/>
              </w:rPr>
              <w:t>、SO</w:t>
            </w:r>
            <w:r>
              <w:rPr>
                <w:rFonts w:hint="eastAsia"/>
                <w:color w:val="auto"/>
                <w:highlight w:val="none"/>
                <w:vertAlign w:val="subscript"/>
              </w:rPr>
              <w:t>2</w:t>
            </w:r>
            <w:r>
              <w:rPr>
                <w:rFonts w:hint="eastAsia"/>
                <w:color w:val="auto"/>
                <w:highlight w:val="none"/>
              </w:rPr>
              <w:t>、NO</w:t>
            </w:r>
            <w:r>
              <w:rPr>
                <w:rFonts w:hint="eastAsia"/>
                <w:color w:val="auto"/>
                <w:highlight w:val="none"/>
                <w:vertAlign w:val="subscript"/>
              </w:rPr>
              <w:t>2</w:t>
            </w:r>
            <w:r>
              <w:rPr>
                <w:rFonts w:hint="eastAsia"/>
                <w:color w:val="auto"/>
                <w:highlight w:val="none"/>
              </w:rPr>
              <w:t>、CO、O</w:t>
            </w:r>
            <w:r>
              <w:rPr>
                <w:rFonts w:hint="eastAsia"/>
                <w:color w:val="auto"/>
                <w:highlight w:val="none"/>
                <w:vertAlign w:val="subscript"/>
              </w:rPr>
              <w:t>3</w:t>
            </w:r>
            <w:r>
              <w:rPr>
                <w:rFonts w:hint="eastAsia"/>
                <w:color w:val="auto"/>
                <w:highlight w:val="none"/>
                <w:vertAlign w:val="baseline"/>
                <w:lang w:eastAsia="zh-CN"/>
              </w:rPr>
              <w:t>、</w:t>
            </w:r>
            <w:r>
              <w:rPr>
                <w:rFonts w:hint="eastAsia"/>
                <w:color w:val="auto"/>
                <w:highlight w:val="none"/>
                <w:vertAlign w:val="baseline"/>
                <w:lang w:val="en-US" w:eastAsia="zh-CN"/>
              </w:rPr>
              <w:t>TSP</w:t>
            </w:r>
            <w:r>
              <w:rPr>
                <w:rFonts w:hint="eastAsia"/>
                <w:color w:val="auto"/>
                <w:highlight w:val="none"/>
              </w:rPr>
              <w:t>。</w:t>
            </w:r>
          </w:p>
          <w:p w14:paraId="4963C63F">
            <w:pPr>
              <w:rPr>
                <w:color w:val="auto"/>
                <w:highlight w:val="none"/>
              </w:rPr>
            </w:pPr>
            <w:r>
              <w:rPr>
                <w:rFonts w:hint="eastAsia"/>
                <w:color w:val="auto"/>
                <w:highlight w:val="none"/>
              </w:rPr>
              <w:t>2）监测点位</w:t>
            </w:r>
          </w:p>
          <w:p w14:paraId="27866FA1">
            <w:pPr>
              <w:rPr>
                <w:color w:val="auto"/>
                <w:highlight w:val="none"/>
              </w:rPr>
            </w:pPr>
            <w:r>
              <w:rPr>
                <w:rFonts w:hint="eastAsia"/>
                <w:color w:val="auto"/>
                <w:highlight w:val="none"/>
              </w:rPr>
              <w:t>根据拟建工程的污染特征、当地气象条件、地形分布及评价区域环境功能区划要求等，本次评价在</w:t>
            </w:r>
            <w:r>
              <w:rPr>
                <w:rFonts w:hint="eastAsia"/>
                <w:color w:val="auto"/>
                <w:kern w:val="0"/>
                <w:szCs w:val="21"/>
                <w:highlight w:val="none"/>
              </w:rPr>
              <w:t>黑龙江东升省级自然保护区</w:t>
            </w:r>
            <w:r>
              <w:rPr>
                <w:rFonts w:hint="eastAsia"/>
                <w:color w:val="auto"/>
                <w:highlight w:val="none"/>
              </w:rPr>
              <w:t>设置1个环境空气一类区监测点。</w:t>
            </w:r>
          </w:p>
          <w:p w14:paraId="1E5B22A3">
            <w:pPr>
              <w:pStyle w:val="40"/>
              <w:rPr>
                <w:rFonts w:hint="eastAsia"/>
                <w:color w:val="auto"/>
                <w:highlight w:val="none"/>
              </w:rPr>
            </w:pPr>
            <w:r>
              <w:rPr>
                <w:rFonts w:hint="eastAsia"/>
                <w:color w:val="auto"/>
                <w:highlight w:val="none"/>
              </w:rPr>
              <w:t>表</w:t>
            </w:r>
            <w:r>
              <w:rPr>
                <w:rFonts w:hint="eastAsia"/>
                <w:color w:val="auto"/>
                <w:highlight w:val="none"/>
                <w:lang w:val="en-US" w:eastAsia="zh-CN"/>
              </w:rPr>
              <w:t xml:space="preserve">3-2 </w:t>
            </w:r>
            <w:r>
              <w:rPr>
                <w:rFonts w:hint="eastAsia"/>
                <w:color w:val="auto"/>
                <w:highlight w:val="none"/>
              </w:rPr>
              <w:t xml:space="preserve"> 其他污染物补充监测点位基本信息</w:t>
            </w:r>
          </w:p>
          <w:tbl>
            <w:tblPr>
              <w:tblStyle w:val="1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772"/>
              <w:gridCol w:w="1370"/>
              <w:gridCol w:w="1201"/>
              <w:gridCol w:w="936"/>
              <w:gridCol w:w="1705"/>
              <w:gridCol w:w="646"/>
              <w:gridCol w:w="837"/>
            </w:tblGrid>
            <w:tr w14:paraId="64C9BB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517" w:type="pct"/>
                  <w:vMerge w:val="restart"/>
                  <w:noWrap w:val="0"/>
                  <w:vAlign w:val="center"/>
                </w:tcPr>
                <w:p w14:paraId="30809C72">
                  <w:pPr>
                    <w:spacing w:line="240" w:lineRule="auto"/>
                    <w:ind w:firstLine="0" w:firstLineChars="0"/>
                    <w:jc w:val="center"/>
                    <w:rPr>
                      <w:bCs/>
                      <w:color w:val="auto"/>
                      <w:sz w:val="21"/>
                      <w:szCs w:val="21"/>
                      <w:highlight w:val="none"/>
                    </w:rPr>
                  </w:pPr>
                  <w:r>
                    <w:rPr>
                      <w:bCs/>
                      <w:color w:val="auto"/>
                      <w:sz w:val="21"/>
                      <w:szCs w:val="21"/>
                      <w:highlight w:val="none"/>
                    </w:rPr>
                    <w:t>监测点</w:t>
                  </w:r>
                </w:p>
                <w:p w14:paraId="2BA87923">
                  <w:pPr>
                    <w:spacing w:line="240" w:lineRule="auto"/>
                    <w:ind w:firstLine="0" w:firstLineChars="0"/>
                    <w:jc w:val="center"/>
                    <w:rPr>
                      <w:bCs/>
                      <w:color w:val="auto"/>
                      <w:sz w:val="21"/>
                      <w:szCs w:val="21"/>
                      <w:highlight w:val="none"/>
                    </w:rPr>
                  </w:pPr>
                  <w:r>
                    <w:rPr>
                      <w:bCs/>
                      <w:color w:val="auto"/>
                      <w:sz w:val="21"/>
                      <w:szCs w:val="21"/>
                      <w:highlight w:val="none"/>
                    </w:rPr>
                    <w:t>名称</w:t>
                  </w:r>
                </w:p>
              </w:tc>
              <w:tc>
                <w:tcPr>
                  <w:tcW w:w="1721" w:type="pct"/>
                  <w:gridSpan w:val="2"/>
                  <w:noWrap w:val="0"/>
                  <w:vAlign w:val="center"/>
                </w:tcPr>
                <w:p w14:paraId="6A9F4DBA">
                  <w:pPr>
                    <w:spacing w:line="240" w:lineRule="auto"/>
                    <w:ind w:firstLine="0" w:firstLineChars="0"/>
                    <w:jc w:val="center"/>
                    <w:rPr>
                      <w:bCs/>
                      <w:color w:val="auto"/>
                      <w:sz w:val="21"/>
                      <w:szCs w:val="21"/>
                      <w:highlight w:val="none"/>
                    </w:rPr>
                  </w:pPr>
                  <w:r>
                    <w:rPr>
                      <w:bCs/>
                      <w:color w:val="auto"/>
                      <w:sz w:val="21"/>
                      <w:szCs w:val="21"/>
                      <w:highlight w:val="none"/>
                    </w:rPr>
                    <w:t>监测点坐标</w:t>
                  </w:r>
                </w:p>
              </w:tc>
              <w:tc>
                <w:tcPr>
                  <w:tcW w:w="626" w:type="pct"/>
                  <w:vMerge w:val="restart"/>
                  <w:noWrap w:val="0"/>
                  <w:vAlign w:val="center"/>
                </w:tcPr>
                <w:p w14:paraId="3B513000">
                  <w:pPr>
                    <w:spacing w:line="240" w:lineRule="auto"/>
                    <w:ind w:firstLine="0" w:firstLineChars="0"/>
                    <w:jc w:val="center"/>
                    <w:rPr>
                      <w:bCs/>
                      <w:color w:val="auto"/>
                      <w:sz w:val="21"/>
                      <w:szCs w:val="21"/>
                      <w:highlight w:val="none"/>
                    </w:rPr>
                  </w:pPr>
                  <w:r>
                    <w:rPr>
                      <w:bCs/>
                      <w:color w:val="auto"/>
                      <w:sz w:val="21"/>
                      <w:szCs w:val="21"/>
                      <w:highlight w:val="none"/>
                    </w:rPr>
                    <w:t>监测因子</w:t>
                  </w:r>
                </w:p>
              </w:tc>
              <w:tc>
                <w:tcPr>
                  <w:tcW w:w="1141" w:type="pct"/>
                  <w:vMerge w:val="restart"/>
                  <w:noWrap w:val="0"/>
                  <w:vAlign w:val="center"/>
                </w:tcPr>
                <w:p w14:paraId="61630F94">
                  <w:pPr>
                    <w:spacing w:line="240" w:lineRule="auto"/>
                    <w:ind w:firstLine="0" w:firstLineChars="0"/>
                    <w:jc w:val="center"/>
                    <w:rPr>
                      <w:bCs/>
                      <w:color w:val="auto"/>
                      <w:sz w:val="21"/>
                      <w:szCs w:val="21"/>
                      <w:highlight w:val="none"/>
                    </w:rPr>
                  </w:pPr>
                  <w:r>
                    <w:rPr>
                      <w:bCs/>
                      <w:color w:val="auto"/>
                      <w:sz w:val="21"/>
                      <w:szCs w:val="21"/>
                      <w:highlight w:val="none"/>
                    </w:rPr>
                    <w:t>监测时段</w:t>
                  </w:r>
                </w:p>
              </w:tc>
              <w:tc>
                <w:tcPr>
                  <w:tcW w:w="432" w:type="pct"/>
                  <w:vMerge w:val="restart"/>
                  <w:noWrap w:val="0"/>
                  <w:vAlign w:val="center"/>
                </w:tcPr>
                <w:p w14:paraId="19A8F7BE">
                  <w:pPr>
                    <w:spacing w:line="240" w:lineRule="auto"/>
                    <w:ind w:firstLine="0" w:firstLineChars="0"/>
                    <w:jc w:val="center"/>
                    <w:rPr>
                      <w:bCs/>
                      <w:color w:val="auto"/>
                      <w:sz w:val="21"/>
                      <w:szCs w:val="21"/>
                      <w:highlight w:val="none"/>
                    </w:rPr>
                  </w:pPr>
                  <w:r>
                    <w:rPr>
                      <w:bCs/>
                      <w:color w:val="auto"/>
                      <w:sz w:val="21"/>
                      <w:szCs w:val="21"/>
                      <w:highlight w:val="none"/>
                    </w:rPr>
                    <w:t>相对</w:t>
                  </w:r>
                  <w:r>
                    <w:rPr>
                      <w:rFonts w:hint="eastAsia"/>
                      <w:bCs/>
                      <w:color w:val="auto"/>
                      <w:sz w:val="21"/>
                      <w:szCs w:val="21"/>
                      <w:highlight w:val="none"/>
                      <w:lang w:eastAsia="zh-CN"/>
                    </w:rPr>
                    <w:t>道路</w:t>
                  </w:r>
                  <w:r>
                    <w:rPr>
                      <w:bCs/>
                      <w:color w:val="auto"/>
                      <w:sz w:val="21"/>
                      <w:szCs w:val="21"/>
                      <w:highlight w:val="none"/>
                    </w:rPr>
                    <w:t>方位</w:t>
                  </w:r>
                </w:p>
              </w:tc>
              <w:tc>
                <w:tcPr>
                  <w:tcW w:w="560" w:type="pct"/>
                  <w:vMerge w:val="restart"/>
                  <w:noWrap w:val="0"/>
                  <w:vAlign w:val="center"/>
                </w:tcPr>
                <w:p w14:paraId="3414C226">
                  <w:pPr>
                    <w:spacing w:line="240" w:lineRule="auto"/>
                    <w:ind w:firstLine="0" w:firstLineChars="0"/>
                    <w:jc w:val="center"/>
                    <w:rPr>
                      <w:bCs/>
                      <w:color w:val="auto"/>
                      <w:sz w:val="21"/>
                      <w:szCs w:val="21"/>
                      <w:highlight w:val="none"/>
                    </w:rPr>
                  </w:pPr>
                  <w:r>
                    <w:rPr>
                      <w:bCs/>
                      <w:color w:val="auto"/>
                      <w:sz w:val="21"/>
                      <w:szCs w:val="21"/>
                      <w:highlight w:val="none"/>
                    </w:rPr>
                    <w:t>相对</w:t>
                  </w:r>
                  <w:r>
                    <w:rPr>
                      <w:rFonts w:hint="eastAsia"/>
                      <w:bCs/>
                      <w:color w:val="auto"/>
                      <w:sz w:val="21"/>
                      <w:szCs w:val="21"/>
                      <w:highlight w:val="none"/>
                      <w:lang w:eastAsia="zh-CN"/>
                    </w:rPr>
                    <w:t>道路</w:t>
                  </w:r>
                  <w:r>
                    <w:rPr>
                      <w:bCs/>
                      <w:color w:val="auto"/>
                      <w:sz w:val="21"/>
                      <w:szCs w:val="21"/>
                      <w:highlight w:val="none"/>
                    </w:rPr>
                    <w:t>距离（m）</w:t>
                  </w:r>
                </w:p>
              </w:tc>
            </w:tr>
            <w:tr w14:paraId="38C0F8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517" w:type="pct"/>
                  <w:vMerge w:val="continue"/>
                  <w:noWrap w:val="0"/>
                  <w:vAlign w:val="center"/>
                </w:tcPr>
                <w:p w14:paraId="574BFC9E">
                  <w:pPr>
                    <w:spacing w:line="240" w:lineRule="auto"/>
                    <w:ind w:firstLine="0" w:firstLineChars="0"/>
                    <w:jc w:val="center"/>
                    <w:rPr>
                      <w:bCs/>
                      <w:color w:val="auto"/>
                      <w:sz w:val="21"/>
                      <w:szCs w:val="21"/>
                      <w:highlight w:val="none"/>
                    </w:rPr>
                  </w:pPr>
                </w:p>
              </w:tc>
              <w:tc>
                <w:tcPr>
                  <w:tcW w:w="917" w:type="pct"/>
                  <w:noWrap w:val="0"/>
                  <w:vAlign w:val="center"/>
                </w:tcPr>
                <w:p w14:paraId="7BD2D244">
                  <w:pPr>
                    <w:spacing w:line="240" w:lineRule="auto"/>
                    <w:ind w:firstLine="0" w:firstLineChars="0"/>
                    <w:jc w:val="center"/>
                    <w:rPr>
                      <w:rFonts w:hint="eastAsia"/>
                      <w:bCs/>
                      <w:color w:val="auto"/>
                      <w:sz w:val="21"/>
                      <w:szCs w:val="21"/>
                      <w:highlight w:val="none"/>
                    </w:rPr>
                  </w:pPr>
                  <w:r>
                    <w:rPr>
                      <w:rFonts w:hint="eastAsia"/>
                      <w:bCs/>
                      <w:color w:val="auto"/>
                      <w:sz w:val="21"/>
                      <w:szCs w:val="21"/>
                      <w:highlight w:val="none"/>
                    </w:rPr>
                    <w:t>东经</w:t>
                  </w:r>
                </w:p>
              </w:tc>
              <w:tc>
                <w:tcPr>
                  <w:tcW w:w="803" w:type="pct"/>
                  <w:noWrap w:val="0"/>
                  <w:vAlign w:val="center"/>
                </w:tcPr>
                <w:p w14:paraId="0DFFEAA5">
                  <w:pPr>
                    <w:spacing w:line="240" w:lineRule="auto"/>
                    <w:ind w:firstLine="0" w:firstLineChars="0"/>
                    <w:jc w:val="center"/>
                    <w:rPr>
                      <w:rFonts w:hint="eastAsia"/>
                      <w:bCs/>
                      <w:color w:val="auto"/>
                      <w:sz w:val="21"/>
                      <w:szCs w:val="21"/>
                      <w:highlight w:val="none"/>
                    </w:rPr>
                  </w:pPr>
                  <w:r>
                    <w:rPr>
                      <w:rFonts w:hint="eastAsia"/>
                      <w:bCs/>
                      <w:color w:val="auto"/>
                      <w:sz w:val="21"/>
                      <w:szCs w:val="21"/>
                      <w:highlight w:val="none"/>
                    </w:rPr>
                    <w:t>北纬</w:t>
                  </w:r>
                </w:p>
              </w:tc>
              <w:tc>
                <w:tcPr>
                  <w:tcW w:w="626" w:type="pct"/>
                  <w:vMerge w:val="continue"/>
                  <w:noWrap w:val="0"/>
                  <w:vAlign w:val="center"/>
                </w:tcPr>
                <w:p w14:paraId="183D69A1">
                  <w:pPr>
                    <w:spacing w:line="240" w:lineRule="auto"/>
                    <w:ind w:firstLine="0" w:firstLineChars="0"/>
                    <w:jc w:val="center"/>
                    <w:rPr>
                      <w:bCs/>
                      <w:color w:val="auto"/>
                      <w:sz w:val="21"/>
                      <w:szCs w:val="21"/>
                      <w:highlight w:val="none"/>
                    </w:rPr>
                  </w:pPr>
                </w:p>
              </w:tc>
              <w:tc>
                <w:tcPr>
                  <w:tcW w:w="1141" w:type="pct"/>
                  <w:vMerge w:val="continue"/>
                  <w:noWrap w:val="0"/>
                  <w:vAlign w:val="center"/>
                </w:tcPr>
                <w:p w14:paraId="24197392">
                  <w:pPr>
                    <w:spacing w:line="240" w:lineRule="auto"/>
                    <w:ind w:firstLine="0" w:firstLineChars="0"/>
                    <w:jc w:val="center"/>
                    <w:rPr>
                      <w:bCs/>
                      <w:color w:val="auto"/>
                      <w:sz w:val="21"/>
                      <w:szCs w:val="21"/>
                      <w:highlight w:val="none"/>
                    </w:rPr>
                  </w:pPr>
                </w:p>
              </w:tc>
              <w:tc>
                <w:tcPr>
                  <w:tcW w:w="432" w:type="pct"/>
                  <w:vMerge w:val="continue"/>
                  <w:noWrap w:val="0"/>
                  <w:vAlign w:val="center"/>
                </w:tcPr>
                <w:p w14:paraId="1A4EF6F9">
                  <w:pPr>
                    <w:spacing w:line="240" w:lineRule="auto"/>
                    <w:ind w:firstLine="0" w:firstLineChars="0"/>
                    <w:jc w:val="center"/>
                    <w:rPr>
                      <w:bCs/>
                      <w:color w:val="auto"/>
                      <w:sz w:val="21"/>
                      <w:szCs w:val="21"/>
                      <w:highlight w:val="none"/>
                    </w:rPr>
                  </w:pPr>
                </w:p>
              </w:tc>
              <w:tc>
                <w:tcPr>
                  <w:tcW w:w="560" w:type="pct"/>
                  <w:vMerge w:val="continue"/>
                  <w:noWrap w:val="0"/>
                  <w:vAlign w:val="center"/>
                </w:tcPr>
                <w:p w14:paraId="75D2273E">
                  <w:pPr>
                    <w:spacing w:line="240" w:lineRule="auto"/>
                    <w:ind w:firstLine="0" w:firstLineChars="0"/>
                    <w:jc w:val="center"/>
                    <w:rPr>
                      <w:bCs/>
                      <w:color w:val="auto"/>
                      <w:sz w:val="21"/>
                      <w:szCs w:val="21"/>
                      <w:highlight w:val="none"/>
                    </w:rPr>
                  </w:pPr>
                </w:p>
              </w:tc>
            </w:tr>
            <w:tr w14:paraId="449FBA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517" w:type="pct"/>
                  <w:noWrap w:val="0"/>
                  <w:vAlign w:val="center"/>
                </w:tcPr>
                <w:p w14:paraId="34D3B4B2">
                  <w:pPr>
                    <w:spacing w:line="240" w:lineRule="auto"/>
                    <w:ind w:firstLine="0" w:firstLineChars="0"/>
                    <w:jc w:val="center"/>
                    <w:rPr>
                      <w:bCs/>
                      <w:color w:val="auto"/>
                      <w:sz w:val="21"/>
                      <w:szCs w:val="21"/>
                      <w:highlight w:val="none"/>
                    </w:rPr>
                  </w:pPr>
                  <w:r>
                    <w:rPr>
                      <w:rFonts w:hint="eastAsia"/>
                      <w:color w:val="auto"/>
                      <w:kern w:val="0"/>
                      <w:sz w:val="21"/>
                      <w:szCs w:val="21"/>
                      <w:highlight w:val="none"/>
                    </w:rPr>
                    <w:t>黑龙江东升省级自然保护区</w:t>
                  </w:r>
                </w:p>
              </w:tc>
              <w:tc>
                <w:tcPr>
                  <w:tcW w:w="917" w:type="pct"/>
                  <w:noWrap w:val="0"/>
                  <w:vAlign w:val="center"/>
                </w:tcPr>
                <w:p w14:paraId="002DE201">
                  <w:pPr>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132°19'03.3003"</w:t>
                  </w:r>
                </w:p>
              </w:tc>
              <w:tc>
                <w:tcPr>
                  <w:tcW w:w="803" w:type="pct"/>
                  <w:noWrap w:val="0"/>
                  <w:vAlign w:val="center"/>
                </w:tcPr>
                <w:p w14:paraId="2EB92094">
                  <w:pPr>
                    <w:ind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46°26'49.5604"</w:t>
                  </w:r>
                </w:p>
              </w:tc>
              <w:tc>
                <w:tcPr>
                  <w:tcW w:w="626" w:type="pct"/>
                  <w:noWrap w:val="0"/>
                  <w:vAlign w:val="center"/>
                </w:tcPr>
                <w:p w14:paraId="15BC17D1">
                  <w:pPr>
                    <w:spacing w:line="240" w:lineRule="auto"/>
                    <w:ind w:firstLine="0" w:firstLineChars="0"/>
                    <w:jc w:val="center"/>
                    <w:rPr>
                      <w:rFonts w:hint="default" w:eastAsia="宋体"/>
                      <w:bCs/>
                      <w:color w:val="auto"/>
                      <w:sz w:val="21"/>
                      <w:szCs w:val="21"/>
                      <w:highlight w:val="none"/>
                      <w:lang w:val="en-US" w:eastAsia="zh-CN"/>
                    </w:rPr>
                  </w:pPr>
                  <w:r>
                    <w:rPr>
                      <w:rFonts w:hint="eastAsia"/>
                      <w:color w:val="auto"/>
                      <w:sz w:val="21"/>
                      <w:szCs w:val="21"/>
                      <w:highlight w:val="none"/>
                    </w:rPr>
                    <w:t>PM</w:t>
                  </w:r>
                  <w:r>
                    <w:rPr>
                      <w:rFonts w:hint="eastAsia"/>
                      <w:color w:val="auto"/>
                      <w:sz w:val="21"/>
                      <w:szCs w:val="21"/>
                      <w:highlight w:val="none"/>
                      <w:vertAlign w:val="subscript"/>
                    </w:rPr>
                    <w:t>10</w:t>
                  </w:r>
                  <w:r>
                    <w:rPr>
                      <w:rFonts w:hint="eastAsia"/>
                      <w:color w:val="auto"/>
                      <w:sz w:val="21"/>
                      <w:szCs w:val="21"/>
                      <w:highlight w:val="none"/>
                    </w:rPr>
                    <w:t>、PM</w:t>
                  </w:r>
                  <w:r>
                    <w:rPr>
                      <w:rFonts w:hint="eastAsia"/>
                      <w:color w:val="auto"/>
                      <w:sz w:val="21"/>
                      <w:szCs w:val="21"/>
                      <w:highlight w:val="none"/>
                      <w:vertAlign w:val="subscript"/>
                    </w:rPr>
                    <w:t>2.5</w:t>
                  </w:r>
                  <w:r>
                    <w:rPr>
                      <w:rFonts w:hint="eastAsia"/>
                      <w:color w:val="auto"/>
                      <w:sz w:val="21"/>
                      <w:szCs w:val="21"/>
                      <w:highlight w:val="none"/>
                    </w:rPr>
                    <w:t>、SO</w:t>
                  </w:r>
                  <w:r>
                    <w:rPr>
                      <w:rFonts w:hint="eastAsia"/>
                      <w:color w:val="auto"/>
                      <w:sz w:val="21"/>
                      <w:szCs w:val="21"/>
                      <w:highlight w:val="none"/>
                      <w:vertAlign w:val="subscript"/>
                    </w:rPr>
                    <w:t>2</w:t>
                  </w:r>
                  <w:r>
                    <w:rPr>
                      <w:rFonts w:hint="eastAsia"/>
                      <w:color w:val="auto"/>
                      <w:sz w:val="21"/>
                      <w:szCs w:val="21"/>
                      <w:highlight w:val="none"/>
                    </w:rPr>
                    <w:t>、NO</w:t>
                  </w:r>
                  <w:r>
                    <w:rPr>
                      <w:rFonts w:hint="eastAsia"/>
                      <w:color w:val="auto"/>
                      <w:sz w:val="21"/>
                      <w:szCs w:val="21"/>
                      <w:highlight w:val="none"/>
                      <w:vertAlign w:val="subscript"/>
                    </w:rPr>
                    <w:t>2</w:t>
                  </w:r>
                  <w:r>
                    <w:rPr>
                      <w:rFonts w:hint="eastAsia"/>
                      <w:color w:val="auto"/>
                      <w:sz w:val="21"/>
                      <w:szCs w:val="21"/>
                      <w:highlight w:val="none"/>
                    </w:rPr>
                    <w:t>、CO、O</w:t>
                  </w:r>
                  <w:r>
                    <w:rPr>
                      <w:rFonts w:hint="eastAsia"/>
                      <w:color w:val="auto"/>
                      <w:sz w:val="21"/>
                      <w:szCs w:val="21"/>
                      <w:highlight w:val="none"/>
                      <w:vertAlign w:val="subscript"/>
                    </w:rPr>
                    <w:t>3</w:t>
                  </w:r>
                  <w:r>
                    <w:rPr>
                      <w:rFonts w:hint="eastAsia"/>
                      <w:color w:val="auto"/>
                      <w:sz w:val="21"/>
                      <w:szCs w:val="21"/>
                      <w:highlight w:val="none"/>
                      <w:vertAlign w:val="baseline"/>
                      <w:lang w:eastAsia="zh-CN"/>
                    </w:rPr>
                    <w:t>、</w:t>
                  </w:r>
                  <w:r>
                    <w:rPr>
                      <w:rFonts w:hint="eastAsia"/>
                      <w:color w:val="auto"/>
                      <w:sz w:val="21"/>
                      <w:szCs w:val="21"/>
                      <w:highlight w:val="none"/>
                      <w:vertAlign w:val="baseline"/>
                      <w:lang w:val="en-US" w:eastAsia="zh-CN"/>
                    </w:rPr>
                    <w:t>TSP</w:t>
                  </w:r>
                </w:p>
              </w:tc>
              <w:tc>
                <w:tcPr>
                  <w:tcW w:w="1141" w:type="pct"/>
                  <w:noWrap w:val="0"/>
                  <w:vAlign w:val="center"/>
                </w:tcPr>
                <w:p w14:paraId="65F62E6A">
                  <w:pPr>
                    <w:spacing w:line="240" w:lineRule="auto"/>
                    <w:ind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rPr>
                    <w:t>1小时平均值：SO</w:t>
                  </w:r>
                  <w:r>
                    <w:rPr>
                      <w:rFonts w:hint="eastAsia"/>
                      <w:bCs/>
                      <w:color w:val="auto"/>
                      <w:sz w:val="21"/>
                      <w:szCs w:val="21"/>
                      <w:highlight w:val="none"/>
                      <w:vertAlign w:val="subscript"/>
                    </w:rPr>
                    <w:t>2</w:t>
                  </w:r>
                  <w:r>
                    <w:rPr>
                      <w:rFonts w:hint="eastAsia"/>
                      <w:bCs/>
                      <w:color w:val="auto"/>
                      <w:sz w:val="21"/>
                      <w:szCs w:val="21"/>
                      <w:highlight w:val="none"/>
                    </w:rPr>
                    <w:t>、NO</w:t>
                  </w:r>
                  <w:r>
                    <w:rPr>
                      <w:rFonts w:hint="eastAsia"/>
                      <w:bCs/>
                      <w:color w:val="auto"/>
                      <w:sz w:val="21"/>
                      <w:szCs w:val="21"/>
                      <w:highlight w:val="none"/>
                      <w:vertAlign w:val="subscript"/>
                    </w:rPr>
                    <w:t>2</w:t>
                  </w:r>
                  <w:r>
                    <w:rPr>
                      <w:rFonts w:hint="eastAsia"/>
                      <w:bCs/>
                      <w:color w:val="auto"/>
                      <w:sz w:val="21"/>
                      <w:szCs w:val="21"/>
                      <w:highlight w:val="none"/>
                    </w:rPr>
                    <w:t>、CO、O</w:t>
                  </w:r>
                  <w:r>
                    <w:rPr>
                      <w:rFonts w:hint="eastAsia"/>
                      <w:bCs/>
                      <w:color w:val="auto"/>
                      <w:sz w:val="21"/>
                      <w:szCs w:val="21"/>
                      <w:highlight w:val="none"/>
                      <w:vertAlign w:val="subscript"/>
                    </w:rPr>
                    <w:t>3</w:t>
                  </w:r>
                  <w:r>
                    <w:rPr>
                      <w:rFonts w:hint="eastAsia"/>
                      <w:bCs/>
                      <w:color w:val="auto"/>
                      <w:sz w:val="21"/>
                      <w:szCs w:val="21"/>
                      <w:highlight w:val="none"/>
                    </w:rPr>
                    <w:t>；8小时平均值：O</w:t>
                  </w:r>
                  <w:r>
                    <w:rPr>
                      <w:rFonts w:hint="eastAsia"/>
                      <w:bCs/>
                      <w:color w:val="auto"/>
                      <w:sz w:val="21"/>
                      <w:szCs w:val="21"/>
                      <w:highlight w:val="none"/>
                      <w:vertAlign w:val="subscript"/>
                    </w:rPr>
                    <w:t>3</w:t>
                  </w:r>
                  <w:r>
                    <w:rPr>
                      <w:rFonts w:hint="eastAsia"/>
                      <w:bCs/>
                      <w:color w:val="auto"/>
                      <w:sz w:val="21"/>
                      <w:szCs w:val="21"/>
                      <w:highlight w:val="none"/>
                    </w:rPr>
                    <w:t>；24小时平均值：SO</w:t>
                  </w:r>
                  <w:r>
                    <w:rPr>
                      <w:rFonts w:hint="eastAsia"/>
                      <w:bCs/>
                      <w:color w:val="auto"/>
                      <w:sz w:val="21"/>
                      <w:szCs w:val="21"/>
                      <w:highlight w:val="none"/>
                      <w:vertAlign w:val="subscript"/>
                    </w:rPr>
                    <w:t>2</w:t>
                  </w:r>
                  <w:r>
                    <w:rPr>
                      <w:rFonts w:hint="eastAsia"/>
                      <w:bCs/>
                      <w:color w:val="auto"/>
                      <w:sz w:val="21"/>
                      <w:szCs w:val="21"/>
                      <w:highlight w:val="none"/>
                    </w:rPr>
                    <w:t>、NO</w:t>
                  </w:r>
                  <w:r>
                    <w:rPr>
                      <w:rFonts w:hint="eastAsia"/>
                      <w:bCs/>
                      <w:color w:val="auto"/>
                      <w:sz w:val="21"/>
                      <w:szCs w:val="21"/>
                      <w:highlight w:val="none"/>
                      <w:vertAlign w:val="subscript"/>
                    </w:rPr>
                    <w:t>2</w:t>
                  </w:r>
                  <w:r>
                    <w:rPr>
                      <w:rFonts w:hint="eastAsia"/>
                      <w:bCs/>
                      <w:color w:val="auto"/>
                      <w:sz w:val="21"/>
                      <w:szCs w:val="21"/>
                      <w:highlight w:val="none"/>
                    </w:rPr>
                    <w:t>、CO、PM</w:t>
                  </w:r>
                  <w:r>
                    <w:rPr>
                      <w:rFonts w:hint="eastAsia"/>
                      <w:bCs/>
                      <w:color w:val="auto"/>
                      <w:sz w:val="21"/>
                      <w:szCs w:val="21"/>
                      <w:highlight w:val="none"/>
                      <w:vertAlign w:val="subscript"/>
                    </w:rPr>
                    <w:t>10</w:t>
                  </w:r>
                  <w:r>
                    <w:rPr>
                      <w:rFonts w:hint="eastAsia"/>
                      <w:bCs/>
                      <w:color w:val="auto"/>
                      <w:sz w:val="21"/>
                      <w:szCs w:val="21"/>
                      <w:highlight w:val="none"/>
                    </w:rPr>
                    <w:t>、PM</w:t>
                  </w:r>
                  <w:r>
                    <w:rPr>
                      <w:rFonts w:hint="eastAsia"/>
                      <w:bCs/>
                      <w:color w:val="auto"/>
                      <w:sz w:val="21"/>
                      <w:szCs w:val="21"/>
                      <w:highlight w:val="none"/>
                      <w:vertAlign w:val="subscript"/>
                    </w:rPr>
                    <w:t>2.5</w:t>
                  </w:r>
                  <w:r>
                    <w:rPr>
                      <w:rFonts w:hint="eastAsia"/>
                      <w:bCs/>
                      <w:color w:val="auto"/>
                      <w:sz w:val="21"/>
                      <w:szCs w:val="21"/>
                      <w:highlight w:val="none"/>
                      <w:vertAlign w:val="baseline"/>
                      <w:lang w:eastAsia="zh-CN"/>
                    </w:rPr>
                    <w:t>、日均值：</w:t>
                  </w:r>
                  <w:r>
                    <w:rPr>
                      <w:rFonts w:hint="eastAsia"/>
                      <w:bCs/>
                      <w:color w:val="auto"/>
                      <w:sz w:val="21"/>
                      <w:szCs w:val="21"/>
                      <w:highlight w:val="none"/>
                      <w:vertAlign w:val="baseline"/>
                      <w:lang w:val="en-US" w:eastAsia="zh-CN"/>
                    </w:rPr>
                    <w:t>TSP</w:t>
                  </w:r>
                </w:p>
              </w:tc>
              <w:tc>
                <w:tcPr>
                  <w:tcW w:w="432" w:type="pct"/>
                  <w:noWrap w:val="0"/>
                  <w:vAlign w:val="center"/>
                </w:tcPr>
                <w:p w14:paraId="3D6DABF5">
                  <w:pPr>
                    <w:tabs>
                      <w:tab w:val="left" w:pos="460"/>
                    </w:tabs>
                    <w:spacing w:line="240" w:lineRule="auto"/>
                    <w:ind w:firstLine="0" w:firstLineChars="0"/>
                    <w:jc w:val="center"/>
                    <w:rPr>
                      <w:rFonts w:hint="eastAsia" w:eastAsia="宋体"/>
                      <w:bCs/>
                      <w:color w:val="auto"/>
                      <w:sz w:val="21"/>
                      <w:szCs w:val="21"/>
                      <w:highlight w:val="none"/>
                      <w:lang w:eastAsia="zh-CN"/>
                    </w:rPr>
                  </w:pPr>
                  <w:r>
                    <w:rPr>
                      <w:rFonts w:hint="eastAsia"/>
                      <w:color w:val="auto"/>
                      <w:sz w:val="21"/>
                      <w:szCs w:val="21"/>
                      <w:highlight w:val="none"/>
                      <w:lang w:eastAsia="zh-CN"/>
                    </w:rPr>
                    <w:t>道路西侧</w:t>
                  </w:r>
                </w:p>
              </w:tc>
              <w:tc>
                <w:tcPr>
                  <w:tcW w:w="560" w:type="pct"/>
                  <w:noWrap w:val="0"/>
                  <w:vAlign w:val="center"/>
                </w:tcPr>
                <w:p w14:paraId="66AF1943">
                  <w:pPr>
                    <w:tabs>
                      <w:tab w:val="left" w:pos="460"/>
                    </w:tabs>
                    <w:spacing w:line="240" w:lineRule="auto"/>
                    <w:ind w:firstLine="0" w:firstLineChars="0"/>
                    <w:jc w:val="center"/>
                    <w:rPr>
                      <w:rFonts w:hint="default" w:eastAsia="宋体"/>
                      <w:bCs/>
                      <w:color w:val="auto"/>
                      <w:sz w:val="21"/>
                      <w:szCs w:val="21"/>
                      <w:highlight w:val="none"/>
                      <w:lang w:val="en-US" w:eastAsia="zh-CN"/>
                    </w:rPr>
                  </w:pPr>
                  <w:r>
                    <w:rPr>
                      <w:rFonts w:hint="eastAsia"/>
                      <w:color w:val="auto"/>
                      <w:sz w:val="21"/>
                      <w:szCs w:val="21"/>
                      <w:highlight w:val="none"/>
                      <w:lang w:val="en-US" w:eastAsia="zh-CN"/>
                    </w:rPr>
                    <w:t>50</w:t>
                  </w:r>
                </w:p>
              </w:tc>
            </w:tr>
          </w:tbl>
          <w:p w14:paraId="759279E9">
            <w:pPr>
              <w:ind w:left="0" w:leftChars="0" w:firstLine="0" w:firstLineChars="0"/>
              <w:jc w:val="center"/>
              <w:rPr>
                <w:rFonts w:hint="eastAsia"/>
                <w:color w:val="auto"/>
                <w:highlight w:val="none"/>
              </w:rPr>
            </w:pPr>
            <w:r>
              <w:rPr>
                <w:color w:val="auto"/>
              </w:rPr>
              <w:drawing>
                <wp:inline distT="0" distB="0" distL="114300" distR="114300">
                  <wp:extent cx="4742815" cy="3844925"/>
                  <wp:effectExtent l="9525" t="9525" r="10160" b="1270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0"/>
                          <a:stretch>
                            <a:fillRect/>
                          </a:stretch>
                        </pic:blipFill>
                        <pic:spPr>
                          <a:xfrm>
                            <a:off x="0" y="0"/>
                            <a:ext cx="4742815" cy="3844925"/>
                          </a:xfrm>
                          <a:prstGeom prst="rect">
                            <a:avLst/>
                          </a:prstGeom>
                          <a:noFill/>
                          <a:ln>
                            <a:solidFill>
                              <a:schemeClr val="tx1"/>
                            </a:solidFill>
                          </a:ln>
                        </pic:spPr>
                      </pic:pic>
                    </a:graphicData>
                  </a:graphic>
                </wp:inline>
              </w:drawing>
            </w:r>
          </w:p>
          <w:p w14:paraId="3139A34B">
            <w:pPr>
              <w:pStyle w:val="40"/>
              <w:rPr>
                <w:rFonts w:hint="eastAsia"/>
                <w:color w:val="auto"/>
                <w:highlight w:val="none"/>
              </w:rPr>
            </w:pPr>
            <w:r>
              <w:rPr>
                <w:rFonts w:hint="eastAsia"/>
                <w:color w:val="auto"/>
                <w:highlight w:val="none"/>
              </w:rPr>
              <w:t>图</w:t>
            </w:r>
            <w:r>
              <w:rPr>
                <w:rFonts w:hint="eastAsia"/>
                <w:color w:val="auto"/>
                <w:highlight w:val="none"/>
                <w:lang w:val="en-US" w:eastAsia="zh-CN"/>
              </w:rPr>
              <w:t>3-1</w:t>
            </w:r>
            <w:r>
              <w:rPr>
                <w:rFonts w:hint="eastAsia"/>
                <w:color w:val="auto"/>
                <w:highlight w:val="none"/>
              </w:rPr>
              <w:t xml:space="preserve">  环境空气质量补充监测点位示意图</w:t>
            </w:r>
          </w:p>
          <w:p w14:paraId="478307F3">
            <w:pPr>
              <w:rPr>
                <w:rFonts w:hint="eastAsia"/>
                <w:color w:val="auto"/>
                <w:highlight w:val="none"/>
              </w:rPr>
            </w:pPr>
            <w:r>
              <w:rPr>
                <w:rFonts w:hint="eastAsia"/>
                <w:color w:val="auto"/>
                <w:highlight w:val="none"/>
              </w:rPr>
              <w:t>3）监测时间</w:t>
            </w:r>
          </w:p>
          <w:p w14:paraId="4BFC613B">
            <w:pPr>
              <w:rPr>
                <w:rFonts w:hint="eastAsia"/>
                <w:color w:val="auto"/>
                <w:highlight w:val="none"/>
              </w:rPr>
            </w:pPr>
            <w:r>
              <w:rPr>
                <w:rFonts w:hint="eastAsia"/>
                <w:color w:val="auto"/>
                <w:highlight w:val="none"/>
              </w:rPr>
              <w:t>监测数据委托</w:t>
            </w:r>
            <w:r>
              <w:rPr>
                <w:rFonts w:hint="eastAsia"/>
                <w:color w:val="auto"/>
                <w:highlight w:val="none"/>
                <w:lang w:eastAsia="zh-CN"/>
              </w:rPr>
              <w:t>中科指南针（黑龙江）检验检测有限公司</w:t>
            </w:r>
            <w:r>
              <w:rPr>
                <w:rFonts w:hint="eastAsia"/>
                <w:color w:val="auto"/>
                <w:highlight w:val="none"/>
              </w:rPr>
              <w:t>进行监测，监测时间为202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4</w:t>
            </w:r>
            <w:r>
              <w:rPr>
                <w:rFonts w:hint="eastAsia"/>
                <w:color w:val="auto"/>
                <w:highlight w:val="none"/>
              </w:rPr>
              <w:t>月</w:t>
            </w:r>
            <w:r>
              <w:rPr>
                <w:rFonts w:hint="eastAsia"/>
                <w:color w:val="auto"/>
                <w:highlight w:val="none"/>
                <w:lang w:val="en-US" w:eastAsia="zh-CN"/>
              </w:rPr>
              <w:t>29</w:t>
            </w:r>
            <w:r>
              <w:rPr>
                <w:rFonts w:hint="eastAsia"/>
                <w:color w:val="auto"/>
                <w:highlight w:val="none"/>
              </w:rPr>
              <w:t>日至20</w:t>
            </w:r>
            <w:r>
              <w:rPr>
                <w:rFonts w:hint="eastAsia"/>
                <w:color w:val="auto"/>
                <w:highlight w:val="none"/>
                <w:lang w:val="en-US" w:eastAsia="zh-CN"/>
              </w:rPr>
              <w:t>26</w:t>
            </w:r>
            <w:r>
              <w:rPr>
                <w:rFonts w:hint="eastAsia"/>
                <w:color w:val="auto"/>
                <w:highlight w:val="none"/>
              </w:rPr>
              <w:t>年</w:t>
            </w:r>
            <w:r>
              <w:rPr>
                <w:rFonts w:hint="eastAsia"/>
                <w:color w:val="auto"/>
                <w:highlight w:val="none"/>
                <w:lang w:val="en-US" w:eastAsia="zh-CN"/>
              </w:rPr>
              <w:t>5</w:t>
            </w:r>
            <w:r>
              <w:rPr>
                <w:rFonts w:hint="eastAsia"/>
                <w:color w:val="auto"/>
                <w:highlight w:val="none"/>
              </w:rPr>
              <w:t>月</w:t>
            </w:r>
            <w:r>
              <w:rPr>
                <w:rFonts w:hint="eastAsia"/>
                <w:color w:val="auto"/>
                <w:highlight w:val="none"/>
                <w:lang w:val="en-US" w:eastAsia="zh-CN"/>
              </w:rPr>
              <w:t>6</w:t>
            </w:r>
            <w:r>
              <w:rPr>
                <w:rFonts w:hint="eastAsia"/>
                <w:color w:val="auto"/>
                <w:highlight w:val="none"/>
              </w:rPr>
              <w:t>日连续监测</w:t>
            </w:r>
            <w:r>
              <w:rPr>
                <w:rFonts w:hint="eastAsia"/>
                <w:color w:val="auto"/>
                <w:highlight w:val="none"/>
                <w:lang w:val="en-US" w:eastAsia="zh-CN"/>
              </w:rPr>
              <w:t>7</w:t>
            </w:r>
            <w:r>
              <w:rPr>
                <w:rFonts w:hint="eastAsia"/>
                <w:color w:val="auto"/>
                <w:highlight w:val="none"/>
              </w:rPr>
              <w:t>d，SO</w:t>
            </w:r>
            <w:r>
              <w:rPr>
                <w:rFonts w:hint="eastAsia"/>
                <w:color w:val="auto"/>
                <w:highlight w:val="none"/>
                <w:vertAlign w:val="subscript"/>
              </w:rPr>
              <w:t>2</w:t>
            </w:r>
            <w:r>
              <w:rPr>
                <w:rFonts w:hint="eastAsia"/>
                <w:color w:val="auto"/>
                <w:highlight w:val="none"/>
              </w:rPr>
              <w:t>、NO</w:t>
            </w:r>
            <w:r>
              <w:rPr>
                <w:rFonts w:hint="eastAsia"/>
                <w:color w:val="auto"/>
                <w:highlight w:val="none"/>
                <w:vertAlign w:val="subscript"/>
              </w:rPr>
              <w:t>2</w:t>
            </w:r>
            <w:r>
              <w:rPr>
                <w:rFonts w:hint="eastAsia"/>
                <w:color w:val="auto"/>
                <w:highlight w:val="none"/>
              </w:rPr>
              <w:t>、CO、O</w:t>
            </w:r>
            <w:r>
              <w:rPr>
                <w:rFonts w:hint="eastAsia"/>
                <w:color w:val="auto"/>
                <w:highlight w:val="none"/>
                <w:vertAlign w:val="subscript"/>
              </w:rPr>
              <w:t>3</w:t>
            </w:r>
            <w:r>
              <w:rPr>
                <w:rFonts w:hint="eastAsia"/>
                <w:color w:val="auto"/>
                <w:highlight w:val="none"/>
              </w:rPr>
              <w:t>监测小时值，小时值采样分为4个时段，02:00</w:t>
            </w:r>
            <w:r>
              <w:rPr>
                <w:rFonts w:hint="eastAsia" w:ascii="宋体" w:hAnsi="宋体" w:cs="宋体"/>
                <w:color w:val="auto"/>
                <w:highlight w:val="none"/>
              </w:rPr>
              <w:t>～</w:t>
            </w:r>
            <w:r>
              <w:rPr>
                <w:rFonts w:hint="eastAsia"/>
                <w:color w:val="auto"/>
                <w:highlight w:val="none"/>
              </w:rPr>
              <w:t>03:00、08:00</w:t>
            </w:r>
            <w:r>
              <w:rPr>
                <w:rFonts w:hint="eastAsia" w:ascii="宋体" w:hAnsi="宋体" w:cs="宋体"/>
                <w:color w:val="auto"/>
                <w:highlight w:val="none"/>
              </w:rPr>
              <w:t>～</w:t>
            </w:r>
            <w:r>
              <w:rPr>
                <w:rFonts w:hint="eastAsia"/>
                <w:color w:val="auto"/>
                <w:highlight w:val="none"/>
              </w:rPr>
              <w:t>09:00、14:00</w:t>
            </w:r>
            <w:r>
              <w:rPr>
                <w:rFonts w:hint="eastAsia" w:ascii="宋体" w:hAnsi="宋体" w:cs="宋体"/>
                <w:color w:val="auto"/>
                <w:highlight w:val="none"/>
              </w:rPr>
              <w:t>～</w:t>
            </w:r>
            <w:r>
              <w:rPr>
                <w:rFonts w:hint="eastAsia"/>
                <w:color w:val="auto"/>
                <w:highlight w:val="none"/>
              </w:rPr>
              <w:t>15:00、20:00</w:t>
            </w:r>
            <w:r>
              <w:rPr>
                <w:rFonts w:hint="eastAsia" w:ascii="宋体" w:hAnsi="宋体" w:cs="宋体"/>
                <w:color w:val="auto"/>
                <w:highlight w:val="none"/>
              </w:rPr>
              <w:t>～</w:t>
            </w:r>
            <w:r>
              <w:rPr>
                <w:rFonts w:hint="eastAsia"/>
                <w:color w:val="auto"/>
                <w:highlight w:val="none"/>
              </w:rPr>
              <w:t>21:00，每个时段采样不少于45min。O</w:t>
            </w:r>
            <w:r>
              <w:rPr>
                <w:rFonts w:hint="eastAsia"/>
                <w:color w:val="auto"/>
                <w:highlight w:val="none"/>
                <w:vertAlign w:val="subscript"/>
              </w:rPr>
              <w:t>3</w:t>
            </w:r>
            <w:r>
              <w:rPr>
                <w:rFonts w:hint="eastAsia"/>
                <w:color w:val="auto"/>
                <w:highlight w:val="none"/>
              </w:rPr>
              <w:t>监测8小时平均值，每8h至少有6h平均浓度值。SO</w:t>
            </w:r>
            <w:r>
              <w:rPr>
                <w:rFonts w:hint="eastAsia"/>
                <w:color w:val="auto"/>
                <w:highlight w:val="none"/>
                <w:vertAlign w:val="subscript"/>
              </w:rPr>
              <w:t>2</w:t>
            </w:r>
            <w:r>
              <w:rPr>
                <w:rFonts w:hint="eastAsia"/>
                <w:color w:val="auto"/>
                <w:highlight w:val="none"/>
              </w:rPr>
              <w:t>、NO</w:t>
            </w:r>
            <w:r>
              <w:rPr>
                <w:rFonts w:hint="eastAsia"/>
                <w:color w:val="auto"/>
                <w:highlight w:val="none"/>
                <w:vertAlign w:val="subscript"/>
              </w:rPr>
              <w:t>2</w:t>
            </w:r>
            <w:r>
              <w:rPr>
                <w:rFonts w:hint="eastAsia"/>
                <w:color w:val="auto"/>
                <w:highlight w:val="none"/>
              </w:rPr>
              <w:t>、CO、PM</w:t>
            </w:r>
            <w:r>
              <w:rPr>
                <w:rFonts w:hint="eastAsia"/>
                <w:color w:val="auto"/>
                <w:highlight w:val="none"/>
                <w:vertAlign w:val="subscript"/>
              </w:rPr>
              <w:t>10</w:t>
            </w:r>
            <w:r>
              <w:rPr>
                <w:rFonts w:hint="eastAsia"/>
                <w:color w:val="auto"/>
                <w:highlight w:val="none"/>
              </w:rPr>
              <w:t>、PM</w:t>
            </w:r>
            <w:r>
              <w:rPr>
                <w:rFonts w:hint="eastAsia"/>
                <w:color w:val="auto"/>
                <w:highlight w:val="none"/>
                <w:vertAlign w:val="subscript"/>
              </w:rPr>
              <w:t>2.5</w:t>
            </w:r>
            <w:r>
              <w:rPr>
                <w:rFonts w:hint="eastAsia"/>
                <w:color w:val="auto"/>
                <w:highlight w:val="none"/>
              </w:rPr>
              <w:t>监测</w:t>
            </w:r>
            <w:r>
              <w:rPr>
                <w:rFonts w:hint="eastAsia"/>
                <w:color w:val="auto"/>
                <w:highlight w:val="none"/>
                <w:lang w:val="en-US" w:eastAsia="zh-CN"/>
              </w:rPr>
              <w:t>日均值，</w:t>
            </w:r>
            <w:r>
              <w:rPr>
                <w:rFonts w:hint="eastAsia"/>
                <w:color w:val="auto"/>
                <w:highlight w:val="none"/>
              </w:rPr>
              <w:t>每天采样不少于2</w:t>
            </w:r>
            <w:r>
              <w:rPr>
                <w:rFonts w:hint="eastAsia"/>
                <w:color w:val="auto"/>
                <w:highlight w:val="none"/>
                <w:lang w:val="en-US" w:eastAsia="zh-CN"/>
              </w:rPr>
              <w:t>0</w:t>
            </w:r>
            <w:r>
              <w:rPr>
                <w:rFonts w:hint="eastAsia"/>
                <w:color w:val="auto"/>
                <w:highlight w:val="none"/>
              </w:rPr>
              <w:t>h。</w:t>
            </w:r>
            <w:r>
              <w:rPr>
                <w:rFonts w:hint="eastAsia"/>
                <w:color w:val="auto"/>
                <w:highlight w:val="none"/>
                <w:lang w:val="en-US" w:eastAsia="zh-CN"/>
              </w:rPr>
              <w:t>TSP监测日均值，</w:t>
            </w:r>
            <w:r>
              <w:rPr>
                <w:rFonts w:hint="eastAsia"/>
                <w:color w:val="auto"/>
                <w:highlight w:val="none"/>
              </w:rPr>
              <w:t>每天采样不少于2</w:t>
            </w:r>
            <w:r>
              <w:rPr>
                <w:rFonts w:hint="eastAsia"/>
                <w:color w:val="auto"/>
                <w:highlight w:val="none"/>
                <w:lang w:val="en-US" w:eastAsia="zh-CN"/>
              </w:rPr>
              <w:t>4</w:t>
            </w:r>
            <w:r>
              <w:rPr>
                <w:rFonts w:hint="eastAsia"/>
                <w:color w:val="auto"/>
                <w:highlight w:val="none"/>
              </w:rPr>
              <w:t>h。</w:t>
            </w:r>
          </w:p>
          <w:p w14:paraId="2943C5DE">
            <w:pPr>
              <w:rPr>
                <w:color w:val="auto"/>
                <w:highlight w:val="none"/>
              </w:rPr>
            </w:pPr>
            <w:r>
              <w:rPr>
                <w:rFonts w:hint="eastAsia"/>
                <w:color w:val="auto"/>
                <w:highlight w:val="none"/>
              </w:rPr>
              <w:t>4）监测分析方法</w:t>
            </w:r>
          </w:p>
          <w:p w14:paraId="4358AECE">
            <w:pPr>
              <w:rPr>
                <w:rFonts w:hint="eastAsia"/>
                <w:color w:val="auto"/>
                <w:highlight w:val="none"/>
              </w:rPr>
            </w:pPr>
            <w:r>
              <w:rPr>
                <w:rFonts w:hint="eastAsia"/>
                <w:color w:val="auto"/>
                <w:highlight w:val="none"/>
              </w:rPr>
              <w:t>监测及分析方法按国家颁发的《环境空气质量标准》（GB3095</w:t>
            </w:r>
            <w:r>
              <w:rPr>
                <w:rFonts w:hint="eastAsia" w:eastAsia="黑体" w:cs="Times New Roman"/>
                <w:color w:val="auto"/>
                <w:sz w:val="24"/>
                <w:szCs w:val="24"/>
                <w:highlight w:val="none"/>
                <w:lang w:val="en-US" w:eastAsia="zh-CN"/>
              </w:rPr>
              <w:t>—</w:t>
            </w:r>
            <w:r>
              <w:rPr>
                <w:rFonts w:hint="eastAsia"/>
                <w:color w:val="auto"/>
                <w:highlight w:val="none"/>
              </w:rPr>
              <w:t>20</w:t>
            </w:r>
            <w:r>
              <w:rPr>
                <w:rFonts w:hint="eastAsia"/>
                <w:color w:val="auto"/>
                <w:highlight w:val="none"/>
                <w:lang w:val="en-US" w:eastAsia="zh-CN"/>
              </w:rPr>
              <w:t>26</w:t>
            </w:r>
            <w:r>
              <w:rPr>
                <w:rFonts w:hint="eastAsia"/>
                <w:color w:val="auto"/>
                <w:highlight w:val="none"/>
              </w:rPr>
              <w:t>）和《环境监测技术规范》中的有关规定和要求进行。</w:t>
            </w:r>
          </w:p>
          <w:p w14:paraId="437E45D3">
            <w:pPr>
              <w:rPr>
                <w:rFonts w:hint="eastAsia"/>
                <w:color w:val="auto"/>
                <w:highlight w:val="none"/>
              </w:rPr>
            </w:pPr>
            <w:r>
              <w:rPr>
                <w:rFonts w:hint="eastAsia"/>
                <w:color w:val="auto"/>
                <w:highlight w:val="none"/>
              </w:rPr>
              <w:t>5）监测结果</w:t>
            </w:r>
          </w:p>
          <w:p w14:paraId="2F6C7E53">
            <w:pPr>
              <w:pStyle w:val="40"/>
              <w:rPr>
                <w:color w:val="auto"/>
                <w:highlight w:val="none"/>
              </w:rPr>
            </w:pPr>
            <w:r>
              <w:rPr>
                <w:color w:val="auto"/>
                <w:highlight w:val="none"/>
              </w:rPr>
              <w:t>表</w:t>
            </w:r>
            <w:r>
              <w:rPr>
                <w:rFonts w:hint="eastAsia"/>
                <w:color w:val="auto"/>
                <w:highlight w:val="none"/>
                <w:lang w:val="en-US" w:eastAsia="zh-CN"/>
              </w:rPr>
              <w:t>3-3</w:t>
            </w:r>
            <w:r>
              <w:rPr>
                <w:rFonts w:hint="eastAsia"/>
                <w:color w:val="auto"/>
                <w:highlight w:val="none"/>
              </w:rPr>
              <w:t xml:space="preserve">  </w:t>
            </w:r>
            <w:r>
              <w:rPr>
                <w:color w:val="auto"/>
                <w:highlight w:val="none"/>
              </w:rPr>
              <w:t>本项目环境空气小时值现状监测评价表</w:t>
            </w:r>
          </w:p>
          <w:tbl>
            <w:tblPr>
              <w:tblStyle w:val="18"/>
              <w:tblW w:w="4997"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175"/>
              <w:gridCol w:w="768"/>
              <w:gridCol w:w="1301"/>
              <w:gridCol w:w="931"/>
              <w:gridCol w:w="688"/>
              <w:gridCol w:w="803"/>
              <w:gridCol w:w="1028"/>
              <w:gridCol w:w="773"/>
            </w:tblGrid>
            <w:tr w14:paraId="2CB1E0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6" w:type="pct"/>
                  <w:noWrap w:val="0"/>
                  <w:vAlign w:val="center"/>
                </w:tcPr>
                <w:p w14:paraId="2115C5C6">
                  <w:pPr>
                    <w:spacing w:line="240" w:lineRule="auto"/>
                    <w:ind w:firstLine="0" w:firstLineChars="0"/>
                    <w:jc w:val="center"/>
                    <w:rPr>
                      <w:color w:val="auto"/>
                      <w:kern w:val="0"/>
                      <w:sz w:val="21"/>
                      <w:szCs w:val="21"/>
                      <w:highlight w:val="none"/>
                    </w:rPr>
                  </w:pPr>
                  <w:r>
                    <w:rPr>
                      <w:color w:val="auto"/>
                      <w:kern w:val="0"/>
                      <w:sz w:val="21"/>
                      <w:szCs w:val="21"/>
                      <w:highlight w:val="none"/>
                    </w:rPr>
                    <w:t>监测点位</w:t>
                  </w:r>
                </w:p>
              </w:tc>
              <w:tc>
                <w:tcPr>
                  <w:tcW w:w="514" w:type="pct"/>
                  <w:noWrap w:val="0"/>
                  <w:vAlign w:val="center"/>
                </w:tcPr>
                <w:p w14:paraId="1F9A7BDC">
                  <w:pPr>
                    <w:spacing w:line="240" w:lineRule="auto"/>
                    <w:ind w:firstLine="0" w:firstLineChars="0"/>
                    <w:jc w:val="center"/>
                    <w:rPr>
                      <w:color w:val="auto"/>
                      <w:kern w:val="0"/>
                      <w:sz w:val="21"/>
                      <w:szCs w:val="21"/>
                      <w:highlight w:val="none"/>
                    </w:rPr>
                  </w:pPr>
                  <w:r>
                    <w:rPr>
                      <w:color w:val="auto"/>
                      <w:kern w:val="0"/>
                      <w:sz w:val="21"/>
                      <w:szCs w:val="21"/>
                      <w:highlight w:val="none"/>
                    </w:rPr>
                    <w:t>污染物</w:t>
                  </w:r>
                </w:p>
              </w:tc>
              <w:tc>
                <w:tcPr>
                  <w:tcW w:w="871" w:type="pct"/>
                  <w:noWrap w:val="0"/>
                  <w:vAlign w:val="center"/>
                </w:tcPr>
                <w:p w14:paraId="6E5FEA42">
                  <w:pPr>
                    <w:spacing w:line="240" w:lineRule="auto"/>
                    <w:ind w:firstLine="0" w:firstLineChars="0"/>
                    <w:jc w:val="center"/>
                    <w:rPr>
                      <w:color w:val="auto"/>
                      <w:kern w:val="0"/>
                      <w:sz w:val="21"/>
                      <w:szCs w:val="21"/>
                      <w:highlight w:val="none"/>
                    </w:rPr>
                  </w:pPr>
                  <w:r>
                    <w:rPr>
                      <w:color w:val="auto"/>
                      <w:kern w:val="0"/>
                      <w:sz w:val="21"/>
                      <w:szCs w:val="21"/>
                      <w:highlight w:val="none"/>
                    </w:rPr>
                    <w:t>浓度范围（</w:t>
                  </w:r>
                  <w:r>
                    <w:rPr>
                      <w:rFonts w:hint="eastAsia" w:cs="Times New Roman"/>
                      <w:color w:val="auto"/>
                      <w:sz w:val="21"/>
                      <w:szCs w:val="18"/>
                      <w:highlight w:val="none"/>
                      <w:lang w:val="en-US" w:eastAsia="zh-CN"/>
                    </w:rPr>
                    <w:t>mg</w:t>
                  </w:r>
                  <w:r>
                    <w:rPr>
                      <w:color w:val="auto"/>
                      <w:kern w:val="0"/>
                      <w:sz w:val="21"/>
                      <w:szCs w:val="21"/>
                      <w:highlight w:val="none"/>
                    </w:rPr>
                    <w:t>/m</w:t>
                  </w:r>
                  <w:r>
                    <w:rPr>
                      <w:color w:val="auto"/>
                      <w:kern w:val="0"/>
                      <w:sz w:val="21"/>
                      <w:szCs w:val="21"/>
                      <w:highlight w:val="none"/>
                      <w:vertAlign w:val="superscript"/>
                    </w:rPr>
                    <w:t>3</w:t>
                  </w:r>
                  <w:r>
                    <w:rPr>
                      <w:color w:val="auto"/>
                      <w:kern w:val="0"/>
                      <w:sz w:val="21"/>
                      <w:szCs w:val="21"/>
                      <w:highlight w:val="none"/>
                    </w:rPr>
                    <w:t>）</w:t>
                  </w:r>
                </w:p>
              </w:tc>
              <w:tc>
                <w:tcPr>
                  <w:tcW w:w="623" w:type="pct"/>
                  <w:noWrap w:val="0"/>
                  <w:vAlign w:val="center"/>
                </w:tcPr>
                <w:p w14:paraId="3225756A">
                  <w:pPr>
                    <w:spacing w:line="240" w:lineRule="auto"/>
                    <w:ind w:firstLine="0" w:firstLineChars="0"/>
                    <w:jc w:val="center"/>
                    <w:rPr>
                      <w:color w:val="auto"/>
                      <w:kern w:val="0"/>
                      <w:sz w:val="21"/>
                      <w:szCs w:val="21"/>
                      <w:highlight w:val="none"/>
                    </w:rPr>
                  </w:pPr>
                  <w:r>
                    <w:rPr>
                      <w:color w:val="auto"/>
                      <w:kern w:val="0"/>
                      <w:sz w:val="21"/>
                      <w:szCs w:val="21"/>
                      <w:highlight w:val="none"/>
                    </w:rPr>
                    <w:t>平均时间</w:t>
                  </w:r>
                </w:p>
              </w:tc>
              <w:tc>
                <w:tcPr>
                  <w:tcW w:w="460" w:type="pct"/>
                  <w:noWrap w:val="0"/>
                  <w:vAlign w:val="center"/>
                </w:tcPr>
                <w:p w14:paraId="0A4558D1">
                  <w:pPr>
                    <w:spacing w:line="240" w:lineRule="auto"/>
                    <w:ind w:firstLine="0" w:firstLineChars="0"/>
                    <w:jc w:val="center"/>
                    <w:rPr>
                      <w:rFonts w:hint="eastAsia"/>
                      <w:color w:val="auto"/>
                      <w:kern w:val="0"/>
                      <w:sz w:val="21"/>
                      <w:szCs w:val="21"/>
                      <w:highlight w:val="none"/>
                    </w:rPr>
                  </w:pPr>
                  <w:r>
                    <w:rPr>
                      <w:color w:val="auto"/>
                      <w:kern w:val="0"/>
                      <w:sz w:val="21"/>
                      <w:szCs w:val="21"/>
                      <w:highlight w:val="none"/>
                    </w:rPr>
                    <w:t>超标率</w:t>
                  </w:r>
                  <w:r>
                    <w:rPr>
                      <w:rFonts w:hint="eastAsia"/>
                      <w:color w:val="auto"/>
                      <w:kern w:val="0"/>
                      <w:sz w:val="21"/>
                      <w:szCs w:val="21"/>
                      <w:highlight w:val="none"/>
                    </w:rPr>
                    <w:t>（%）</w:t>
                  </w:r>
                </w:p>
              </w:tc>
              <w:tc>
                <w:tcPr>
                  <w:tcW w:w="537" w:type="pct"/>
                  <w:noWrap w:val="0"/>
                  <w:vAlign w:val="center"/>
                </w:tcPr>
                <w:p w14:paraId="25E246A3">
                  <w:pPr>
                    <w:spacing w:line="240" w:lineRule="auto"/>
                    <w:ind w:firstLine="0" w:firstLineChars="0"/>
                    <w:jc w:val="center"/>
                    <w:rPr>
                      <w:color w:val="auto"/>
                      <w:kern w:val="0"/>
                      <w:sz w:val="21"/>
                      <w:szCs w:val="21"/>
                      <w:highlight w:val="none"/>
                    </w:rPr>
                  </w:pPr>
                  <w:r>
                    <w:rPr>
                      <w:color w:val="auto"/>
                      <w:kern w:val="0"/>
                      <w:sz w:val="21"/>
                      <w:szCs w:val="21"/>
                      <w:highlight w:val="none"/>
                    </w:rPr>
                    <w:t>标准值</w:t>
                  </w:r>
                  <w:r>
                    <w:rPr>
                      <w:rFonts w:hint="eastAsia"/>
                      <w:color w:val="auto"/>
                      <w:kern w:val="0"/>
                      <w:sz w:val="21"/>
                      <w:szCs w:val="21"/>
                      <w:highlight w:val="none"/>
                    </w:rPr>
                    <w:t>（</w:t>
                  </w:r>
                  <w:r>
                    <w:rPr>
                      <w:rFonts w:hint="eastAsia" w:cs="Times New Roman"/>
                      <w:color w:val="auto"/>
                      <w:sz w:val="21"/>
                      <w:szCs w:val="18"/>
                      <w:highlight w:val="none"/>
                      <w:lang w:val="en-US" w:eastAsia="zh-CN"/>
                    </w:rPr>
                    <w:t>mg</w:t>
                  </w:r>
                  <w:r>
                    <w:rPr>
                      <w:color w:val="auto"/>
                      <w:kern w:val="0"/>
                      <w:sz w:val="21"/>
                      <w:szCs w:val="21"/>
                      <w:highlight w:val="none"/>
                    </w:rPr>
                    <w:t>/m</w:t>
                  </w:r>
                  <w:r>
                    <w:rPr>
                      <w:color w:val="auto"/>
                      <w:kern w:val="0"/>
                      <w:sz w:val="21"/>
                      <w:szCs w:val="21"/>
                      <w:highlight w:val="none"/>
                      <w:vertAlign w:val="superscript"/>
                    </w:rPr>
                    <w:t>3</w:t>
                  </w:r>
                  <w:r>
                    <w:rPr>
                      <w:rFonts w:hint="eastAsia"/>
                      <w:color w:val="auto"/>
                      <w:kern w:val="0"/>
                      <w:sz w:val="21"/>
                      <w:szCs w:val="21"/>
                      <w:highlight w:val="none"/>
                    </w:rPr>
                    <w:t>）</w:t>
                  </w:r>
                </w:p>
              </w:tc>
              <w:tc>
                <w:tcPr>
                  <w:tcW w:w="688" w:type="pct"/>
                  <w:noWrap w:val="0"/>
                  <w:vAlign w:val="center"/>
                </w:tcPr>
                <w:p w14:paraId="6B953535">
                  <w:pPr>
                    <w:spacing w:line="240" w:lineRule="auto"/>
                    <w:ind w:firstLine="0" w:firstLineChars="0"/>
                    <w:jc w:val="center"/>
                    <w:rPr>
                      <w:color w:val="auto"/>
                      <w:kern w:val="0"/>
                      <w:sz w:val="21"/>
                      <w:szCs w:val="21"/>
                      <w:highlight w:val="none"/>
                    </w:rPr>
                  </w:pPr>
                  <w:r>
                    <w:rPr>
                      <w:color w:val="auto"/>
                      <w:kern w:val="0"/>
                      <w:sz w:val="21"/>
                      <w:szCs w:val="21"/>
                      <w:highlight w:val="none"/>
                    </w:rPr>
                    <w:t>最大浓度占标率</w:t>
                  </w:r>
                  <w:r>
                    <w:rPr>
                      <w:rFonts w:hint="eastAsia"/>
                      <w:color w:val="auto"/>
                      <w:kern w:val="0"/>
                      <w:sz w:val="21"/>
                      <w:szCs w:val="21"/>
                      <w:highlight w:val="none"/>
                    </w:rPr>
                    <w:t>（%）</w:t>
                  </w:r>
                </w:p>
              </w:tc>
              <w:tc>
                <w:tcPr>
                  <w:tcW w:w="517" w:type="pct"/>
                  <w:noWrap w:val="0"/>
                  <w:vAlign w:val="center"/>
                </w:tcPr>
                <w:p w14:paraId="6A0BF315">
                  <w:pPr>
                    <w:spacing w:line="240" w:lineRule="auto"/>
                    <w:ind w:firstLine="0" w:firstLineChars="0"/>
                    <w:jc w:val="center"/>
                    <w:rPr>
                      <w:color w:val="auto"/>
                      <w:kern w:val="0"/>
                      <w:sz w:val="21"/>
                      <w:szCs w:val="21"/>
                      <w:highlight w:val="none"/>
                    </w:rPr>
                  </w:pPr>
                  <w:r>
                    <w:rPr>
                      <w:color w:val="auto"/>
                      <w:kern w:val="0"/>
                      <w:sz w:val="21"/>
                      <w:szCs w:val="21"/>
                      <w:highlight w:val="none"/>
                    </w:rPr>
                    <w:t>达标情况</w:t>
                  </w:r>
                </w:p>
              </w:tc>
            </w:tr>
            <w:tr w14:paraId="558859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6" w:type="pct"/>
                  <w:vMerge w:val="restart"/>
                  <w:noWrap w:val="0"/>
                  <w:vAlign w:val="center"/>
                </w:tcPr>
                <w:p w14:paraId="7552B4C7">
                  <w:pPr>
                    <w:spacing w:line="240" w:lineRule="auto"/>
                    <w:ind w:firstLine="0" w:firstLineChars="0"/>
                    <w:jc w:val="center"/>
                    <w:rPr>
                      <w:rFonts w:hint="eastAsia" w:eastAsia="宋体"/>
                      <w:color w:val="auto"/>
                      <w:kern w:val="0"/>
                      <w:sz w:val="21"/>
                      <w:szCs w:val="21"/>
                      <w:highlight w:val="yellow"/>
                      <w:lang w:eastAsia="zh-CN"/>
                    </w:rPr>
                  </w:pPr>
                  <w:r>
                    <w:rPr>
                      <w:rFonts w:hint="eastAsia"/>
                      <w:color w:val="auto"/>
                      <w:kern w:val="0"/>
                      <w:sz w:val="21"/>
                      <w:szCs w:val="21"/>
                      <w:highlight w:val="none"/>
                    </w:rPr>
                    <w:t>黑龙江东升省级自然保护区</w:t>
                  </w:r>
                </w:p>
              </w:tc>
              <w:tc>
                <w:tcPr>
                  <w:tcW w:w="514" w:type="pct"/>
                  <w:noWrap w:val="0"/>
                  <w:vAlign w:val="center"/>
                </w:tcPr>
                <w:p w14:paraId="54F4D743">
                  <w:pPr>
                    <w:spacing w:line="240" w:lineRule="auto"/>
                    <w:ind w:firstLine="0" w:firstLineChars="0"/>
                    <w:jc w:val="center"/>
                    <w:rPr>
                      <w:color w:val="auto"/>
                      <w:kern w:val="0"/>
                      <w:sz w:val="21"/>
                      <w:szCs w:val="21"/>
                      <w:highlight w:val="none"/>
                    </w:rPr>
                  </w:pPr>
                  <w:r>
                    <w:rPr>
                      <w:color w:val="auto"/>
                      <w:kern w:val="0"/>
                      <w:sz w:val="21"/>
                      <w:szCs w:val="21"/>
                      <w:highlight w:val="none"/>
                    </w:rPr>
                    <w:t>NO</w:t>
                  </w:r>
                  <w:r>
                    <w:rPr>
                      <w:color w:val="auto"/>
                      <w:kern w:val="0"/>
                      <w:sz w:val="21"/>
                      <w:szCs w:val="21"/>
                      <w:highlight w:val="none"/>
                      <w:vertAlign w:val="subscript"/>
                    </w:rPr>
                    <w:t>2</w:t>
                  </w:r>
                </w:p>
              </w:tc>
              <w:tc>
                <w:tcPr>
                  <w:tcW w:w="871" w:type="pct"/>
                  <w:noWrap w:val="0"/>
                  <w:vAlign w:val="center"/>
                </w:tcPr>
                <w:p w14:paraId="7F3F7BB9">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sz w:val="21"/>
                      <w:szCs w:val="21"/>
                      <w:highlight w:val="none"/>
                      <w:lang w:val="en-US" w:eastAsia="zh-CN"/>
                    </w:rPr>
                    <w:t>0.007L</w:t>
                  </w:r>
                </w:p>
              </w:tc>
              <w:tc>
                <w:tcPr>
                  <w:tcW w:w="623" w:type="pct"/>
                  <w:noWrap w:val="0"/>
                  <w:vAlign w:val="center"/>
                </w:tcPr>
                <w:p w14:paraId="51BC0E2B">
                  <w:pPr>
                    <w:spacing w:line="240" w:lineRule="auto"/>
                    <w:ind w:firstLine="0" w:firstLineChars="0"/>
                    <w:jc w:val="center"/>
                    <w:rPr>
                      <w:color w:val="auto"/>
                      <w:kern w:val="0"/>
                      <w:sz w:val="21"/>
                      <w:szCs w:val="21"/>
                      <w:highlight w:val="none"/>
                    </w:rPr>
                  </w:pPr>
                  <w:r>
                    <w:rPr>
                      <w:color w:val="auto"/>
                      <w:kern w:val="0"/>
                      <w:sz w:val="21"/>
                      <w:szCs w:val="21"/>
                      <w:highlight w:val="none"/>
                    </w:rPr>
                    <w:t>1小时</w:t>
                  </w:r>
                </w:p>
              </w:tc>
              <w:tc>
                <w:tcPr>
                  <w:tcW w:w="460" w:type="pct"/>
                  <w:noWrap w:val="0"/>
                  <w:vAlign w:val="center"/>
                </w:tcPr>
                <w:p w14:paraId="1466CD78">
                  <w:pPr>
                    <w:spacing w:line="240" w:lineRule="auto"/>
                    <w:ind w:firstLine="0" w:firstLineChars="0"/>
                    <w:jc w:val="center"/>
                    <w:rPr>
                      <w:color w:val="auto"/>
                      <w:kern w:val="0"/>
                      <w:sz w:val="21"/>
                      <w:szCs w:val="21"/>
                      <w:highlight w:val="none"/>
                    </w:rPr>
                  </w:pPr>
                  <w:r>
                    <w:rPr>
                      <w:color w:val="auto"/>
                      <w:kern w:val="0"/>
                      <w:sz w:val="21"/>
                      <w:szCs w:val="21"/>
                      <w:highlight w:val="none"/>
                    </w:rPr>
                    <w:t>0</w:t>
                  </w:r>
                </w:p>
              </w:tc>
              <w:tc>
                <w:tcPr>
                  <w:tcW w:w="537" w:type="pct"/>
                  <w:noWrap w:val="0"/>
                  <w:vAlign w:val="center"/>
                </w:tcPr>
                <w:p w14:paraId="0B1C45BE">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0.2</w:t>
                  </w:r>
                </w:p>
              </w:tc>
              <w:tc>
                <w:tcPr>
                  <w:tcW w:w="688" w:type="pct"/>
                  <w:noWrap w:val="0"/>
                  <w:vAlign w:val="center"/>
                </w:tcPr>
                <w:p w14:paraId="1D76D2C4">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w:t>
                  </w:r>
                </w:p>
              </w:tc>
              <w:tc>
                <w:tcPr>
                  <w:tcW w:w="517" w:type="pct"/>
                  <w:noWrap w:val="0"/>
                  <w:vAlign w:val="center"/>
                </w:tcPr>
                <w:p w14:paraId="2F33312B">
                  <w:pPr>
                    <w:spacing w:line="240" w:lineRule="auto"/>
                    <w:ind w:firstLine="0" w:firstLineChars="0"/>
                    <w:jc w:val="center"/>
                    <w:rPr>
                      <w:color w:val="auto"/>
                      <w:kern w:val="0"/>
                      <w:sz w:val="21"/>
                      <w:szCs w:val="21"/>
                      <w:highlight w:val="none"/>
                    </w:rPr>
                  </w:pPr>
                  <w:r>
                    <w:rPr>
                      <w:color w:val="auto"/>
                      <w:kern w:val="0"/>
                      <w:sz w:val="21"/>
                      <w:szCs w:val="21"/>
                      <w:highlight w:val="none"/>
                    </w:rPr>
                    <w:t>达标</w:t>
                  </w:r>
                </w:p>
              </w:tc>
            </w:tr>
            <w:tr w14:paraId="7FC4A6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6" w:type="pct"/>
                  <w:vMerge w:val="continue"/>
                  <w:noWrap w:val="0"/>
                  <w:vAlign w:val="center"/>
                </w:tcPr>
                <w:p w14:paraId="1C456418">
                  <w:pPr>
                    <w:spacing w:line="240" w:lineRule="auto"/>
                    <w:ind w:firstLine="0" w:firstLineChars="0"/>
                    <w:jc w:val="center"/>
                    <w:rPr>
                      <w:color w:val="auto"/>
                      <w:kern w:val="0"/>
                      <w:sz w:val="21"/>
                      <w:szCs w:val="21"/>
                      <w:highlight w:val="yellow"/>
                    </w:rPr>
                  </w:pPr>
                </w:p>
              </w:tc>
              <w:tc>
                <w:tcPr>
                  <w:tcW w:w="514" w:type="pct"/>
                  <w:noWrap w:val="0"/>
                  <w:vAlign w:val="center"/>
                </w:tcPr>
                <w:p w14:paraId="3F42761D">
                  <w:pPr>
                    <w:spacing w:line="240" w:lineRule="auto"/>
                    <w:ind w:firstLine="0" w:firstLineChars="0"/>
                    <w:jc w:val="center"/>
                    <w:rPr>
                      <w:color w:val="auto"/>
                      <w:kern w:val="0"/>
                      <w:sz w:val="21"/>
                      <w:szCs w:val="21"/>
                      <w:highlight w:val="none"/>
                    </w:rPr>
                  </w:pPr>
                  <w:r>
                    <w:rPr>
                      <w:color w:val="auto"/>
                      <w:kern w:val="0"/>
                      <w:sz w:val="21"/>
                      <w:szCs w:val="21"/>
                      <w:highlight w:val="none"/>
                    </w:rPr>
                    <w:t>SO</w:t>
                  </w:r>
                  <w:r>
                    <w:rPr>
                      <w:color w:val="auto"/>
                      <w:kern w:val="0"/>
                      <w:sz w:val="21"/>
                      <w:szCs w:val="21"/>
                      <w:highlight w:val="none"/>
                      <w:vertAlign w:val="subscript"/>
                    </w:rPr>
                    <w:t>2</w:t>
                  </w:r>
                </w:p>
              </w:tc>
              <w:tc>
                <w:tcPr>
                  <w:tcW w:w="871" w:type="pct"/>
                  <w:noWrap w:val="0"/>
                  <w:vAlign w:val="center"/>
                </w:tcPr>
                <w:p w14:paraId="4003786B">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sz w:val="21"/>
                      <w:szCs w:val="21"/>
                      <w:highlight w:val="none"/>
                      <w:lang w:val="en-US" w:eastAsia="zh-CN"/>
                    </w:rPr>
                    <w:t>0.009-0.019</w:t>
                  </w:r>
                </w:p>
              </w:tc>
              <w:tc>
                <w:tcPr>
                  <w:tcW w:w="623" w:type="pct"/>
                  <w:noWrap w:val="0"/>
                  <w:vAlign w:val="center"/>
                </w:tcPr>
                <w:p w14:paraId="4BEFCA27">
                  <w:pPr>
                    <w:spacing w:line="240" w:lineRule="auto"/>
                    <w:ind w:firstLine="0" w:firstLineChars="0"/>
                    <w:jc w:val="center"/>
                    <w:rPr>
                      <w:color w:val="auto"/>
                      <w:kern w:val="0"/>
                      <w:sz w:val="21"/>
                      <w:szCs w:val="21"/>
                      <w:highlight w:val="none"/>
                    </w:rPr>
                  </w:pPr>
                  <w:r>
                    <w:rPr>
                      <w:color w:val="auto"/>
                      <w:kern w:val="0"/>
                      <w:sz w:val="21"/>
                      <w:szCs w:val="21"/>
                      <w:highlight w:val="none"/>
                    </w:rPr>
                    <w:t>1小时</w:t>
                  </w:r>
                </w:p>
              </w:tc>
              <w:tc>
                <w:tcPr>
                  <w:tcW w:w="460" w:type="pct"/>
                  <w:noWrap w:val="0"/>
                  <w:vAlign w:val="center"/>
                </w:tcPr>
                <w:p w14:paraId="2444B142">
                  <w:pPr>
                    <w:spacing w:line="240" w:lineRule="auto"/>
                    <w:ind w:firstLine="0" w:firstLineChars="0"/>
                    <w:jc w:val="center"/>
                    <w:rPr>
                      <w:color w:val="auto"/>
                      <w:kern w:val="0"/>
                      <w:sz w:val="21"/>
                      <w:szCs w:val="21"/>
                      <w:highlight w:val="none"/>
                    </w:rPr>
                  </w:pPr>
                  <w:r>
                    <w:rPr>
                      <w:color w:val="auto"/>
                      <w:kern w:val="0"/>
                      <w:sz w:val="21"/>
                      <w:szCs w:val="21"/>
                      <w:highlight w:val="none"/>
                    </w:rPr>
                    <w:t>0</w:t>
                  </w:r>
                </w:p>
              </w:tc>
              <w:tc>
                <w:tcPr>
                  <w:tcW w:w="537" w:type="pct"/>
                  <w:noWrap w:val="0"/>
                  <w:vAlign w:val="center"/>
                </w:tcPr>
                <w:p w14:paraId="5DA201F4">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0.15</w:t>
                  </w:r>
                </w:p>
              </w:tc>
              <w:tc>
                <w:tcPr>
                  <w:tcW w:w="688" w:type="pct"/>
                  <w:noWrap w:val="0"/>
                  <w:vAlign w:val="center"/>
                </w:tcPr>
                <w:p w14:paraId="20EA354E">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12.67</w:t>
                  </w:r>
                </w:p>
              </w:tc>
              <w:tc>
                <w:tcPr>
                  <w:tcW w:w="517" w:type="pct"/>
                  <w:noWrap w:val="0"/>
                  <w:vAlign w:val="center"/>
                </w:tcPr>
                <w:p w14:paraId="2CDBF7BD">
                  <w:pPr>
                    <w:spacing w:line="240" w:lineRule="auto"/>
                    <w:ind w:firstLine="0" w:firstLineChars="0"/>
                    <w:jc w:val="center"/>
                    <w:rPr>
                      <w:color w:val="auto"/>
                      <w:kern w:val="0"/>
                      <w:sz w:val="21"/>
                      <w:szCs w:val="21"/>
                      <w:highlight w:val="none"/>
                    </w:rPr>
                  </w:pPr>
                  <w:r>
                    <w:rPr>
                      <w:color w:val="auto"/>
                      <w:kern w:val="0"/>
                      <w:sz w:val="21"/>
                      <w:szCs w:val="21"/>
                      <w:highlight w:val="none"/>
                    </w:rPr>
                    <w:t>达标</w:t>
                  </w:r>
                </w:p>
              </w:tc>
            </w:tr>
            <w:tr w14:paraId="5F4A5D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6" w:type="pct"/>
                  <w:vMerge w:val="continue"/>
                  <w:noWrap w:val="0"/>
                  <w:vAlign w:val="center"/>
                </w:tcPr>
                <w:p w14:paraId="387F6DA4">
                  <w:pPr>
                    <w:spacing w:line="240" w:lineRule="auto"/>
                    <w:ind w:firstLine="0" w:firstLineChars="0"/>
                    <w:jc w:val="center"/>
                    <w:rPr>
                      <w:color w:val="auto"/>
                      <w:kern w:val="0"/>
                      <w:sz w:val="21"/>
                      <w:szCs w:val="21"/>
                      <w:highlight w:val="yellow"/>
                    </w:rPr>
                  </w:pPr>
                </w:p>
              </w:tc>
              <w:tc>
                <w:tcPr>
                  <w:tcW w:w="514" w:type="pct"/>
                  <w:noWrap w:val="0"/>
                  <w:vAlign w:val="center"/>
                </w:tcPr>
                <w:p w14:paraId="060070C6">
                  <w:pPr>
                    <w:spacing w:line="240" w:lineRule="auto"/>
                    <w:ind w:firstLine="0" w:firstLineChars="0"/>
                    <w:jc w:val="center"/>
                    <w:rPr>
                      <w:color w:val="auto"/>
                      <w:kern w:val="0"/>
                      <w:sz w:val="21"/>
                      <w:szCs w:val="21"/>
                      <w:highlight w:val="none"/>
                    </w:rPr>
                  </w:pPr>
                  <w:r>
                    <w:rPr>
                      <w:color w:val="auto"/>
                      <w:kern w:val="0"/>
                      <w:sz w:val="21"/>
                      <w:szCs w:val="21"/>
                      <w:highlight w:val="none"/>
                    </w:rPr>
                    <w:t>CO</w:t>
                  </w:r>
                </w:p>
              </w:tc>
              <w:tc>
                <w:tcPr>
                  <w:tcW w:w="871" w:type="pct"/>
                  <w:noWrap w:val="0"/>
                  <w:vAlign w:val="center"/>
                </w:tcPr>
                <w:p w14:paraId="5C972F3B">
                  <w:pPr>
                    <w:spacing w:line="240" w:lineRule="auto"/>
                    <w:ind w:firstLine="0" w:firstLineChars="0"/>
                    <w:jc w:val="center"/>
                    <w:rPr>
                      <w:rFonts w:hint="eastAsia" w:eastAsia="宋体"/>
                      <w:color w:val="auto"/>
                      <w:kern w:val="0"/>
                      <w:sz w:val="21"/>
                      <w:szCs w:val="21"/>
                      <w:highlight w:val="none"/>
                      <w:lang w:val="en-US" w:eastAsia="zh-CN"/>
                    </w:rPr>
                  </w:pPr>
                  <w:r>
                    <w:rPr>
                      <w:rFonts w:hint="eastAsia" w:ascii="Times New Roman" w:hAnsi="Times New Roman" w:cs="Times New Roman"/>
                      <w:color w:val="auto"/>
                      <w:sz w:val="21"/>
                      <w:szCs w:val="21"/>
                      <w:highlight w:val="none"/>
                      <w:lang w:val="en-US" w:eastAsia="zh-CN"/>
                    </w:rPr>
                    <w:t>0.3</w:t>
                  </w:r>
                  <w:r>
                    <w:rPr>
                      <w:rFonts w:hint="eastAsia"/>
                      <w:color w:val="auto"/>
                      <w:sz w:val="21"/>
                      <w:szCs w:val="21"/>
                      <w:highlight w:val="none"/>
                      <w:lang w:val="en-US" w:eastAsia="zh-CN"/>
                    </w:rPr>
                    <w:t>L</w:t>
                  </w:r>
                </w:p>
              </w:tc>
              <w:tc>
                <w:tcPr>
                  <w:tcW w:w="623" w:type="pct"/>
                  <w:noWrap w:val="0"/>
                  <w:vAlign w:val="center"/>
                </w:tcPr>
                <w:p w14:paraId="01D0E3F3">
                  <w:pPr>
                    <w:spacing w:line="240" w:lineRule="auto"/>
                    <w:ind w:firstLine="0" w:firstLineChars="0"/>
                    <w:jc w:val="center"/>
                    <w:rPr>
                      <w:color w:val="auto"/>
                      <w:kern w:val="0"/>
                      <w:sz w:val="21"/>
                      <w:szCs w:val="21"/>
                      <w:highlight w:val="none"/>
                    </w:rPr>
                  </w:pPr>
                  <w:r>
                    <w:rPr>
                      <w:color w:val="auto"/>
                      <w:kern w:val="0"/>
                      <w:sz w:val="21"/>
                      <w:szCs w:val="21"/>
                      <w:highlight w:val="none"/>
                    </w:rPr>
                    <w:t>1小时</w:t>
                  </w:r>
                </w:p>
              </w:tc>
              <w:tc>
                <w:tcPr>
                  <w:tcW w:w="460" w:type="pct"/>
                  <w:noWrap w:val="0"/>
                  <w:vAlign w:val="center"/>
                </w:tcPr>
                <w:p w14:paraId="7C268C92">
                  <w:pPr>
                    <w:spacing w:line="240" w:lineRule="auto"/>
                    <w:ind w:firstLine="0" w:firstLineChars="0"/>
                    <w:jc w:val="center"/>
                    <w:rPr>
                      <w:color w:val="auto"/>
                      <w:kern w:val="0"/>
                      <w:sz w:val="21"/>
                      <w:szCs w:val="21"/>
                      <w:highlight w:val="none"/>
                    </w:rPr>
                  </w:pPr>
                  <w:r>
                    <w:rPr>
                      <w:color w:val="auto"/>
                      <w:kern w:val="0"/>
                      <w:sz w:val="21"/>
                      <w:szCs w:val="21"/>
                      <w:highlight w:val="none"/>
                    </w:rPr>
                    <w:t>0</w:t>
                  </w:r>
                </w:p>
              </w:tc>
              <w:tc>
                <w:tcPr>
                  <w:tcW w:w="537" w:type="pct"/>
                  <w:noWrap w:val="0"/>
                  <w:vAlign w:val="center"/>
                </w:tcPr>
                <w:p w14:paraId="78C26F9B">
                  <w:pPr>
                    <w:spacing w:line="240" w:lineRule="auto"/>
                    <w:ind w:firstLine="0" w:firstLineChars="0"/>
                    <w:jc w:val="center"/>
                    <w:rPr>
                      <w:rFonts w:hint="default" w:eastAsia="宋体"/>
                      <w:color w:val="auto"/>
                      <w:kern w:val="0"/>
                      <w:sz w:val="21"/>
                      <w:szCs w:val="21"/>
                      <w:highlight w:val="none"/>
                      <w:lang w:val="en-US" w:eastAsia="zh-CN"/>
                    </w:rPr>
                  </w:pPr>
                  <w:r>
                    <w:rPr>
                      <w:color w:val="auto"/>
                      <w:kern w:val="0"/>
                      <w:sz w:val="21"/>
                      <w:szCs w:val="21"/>
                      <w:highlight w:val="none"/>
                    </w:rPr>
                    <w:t>10</w:t>
                  </w:r>
                </w:p>
              </w:tc>
              <w:tc>
                <w:tcPr>
                  <w:tcW w:w="688" w:type="pct"/>
                  <w:noWrap w:val="0"/>
                  <w:vAlign w:val="center"/>
                </w:tcPr>
                <w:p w14:paraId="04264D41">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w:t>
                  </w:r>
                </w:p>
              </w:tc>
              <w:tc>
                <w:tcPr>
                  <w:tcW w:w="517" w:type="pct"/>
                  <w:noWrap w:val="0"/>
                  <w:vAlign w:val="center"/>
                </w:tcPr>
                <w:p w14:paraId="68A69B59">
                  <w:pPr>
                    <w:spacing w:line="240" w:lineRule="auto"/>
                    <w:ind w:firstLine="0" w:firstLineChars="0"/>
                    <w:jc w:val="center"/>
                    <w:rPr>
                      <w:color w:val="auto"/>
                      <w:kern w:val="0"/>
                      <w:sz w:val="21"/>
                      <w:szCs w:val="21"/>
                      <w:highlight w:val="none"/>
                    </w:rPr>
                  </w:pPr>
                  <w:r>
                    <w:rPr>
                      <w:color w:val="auto"/>
                      <w:kern w:val="0"/>
                      <w:sz w:val="21"/>
                      <w:szCs w:val="21"/>
                      <w:highlight w:val="none"/>
                    </w:rPr>
                    <w:t>达标</w:t>
                  </w:r>
                </w:p>
              </w:tc>
            </w:tr>
            <w:tr w14:paraId="73E92EF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6" w:type="pct"/>
                  <w:vMerge w:val="continue"/>
                  <w:noWrap w:val="0"/>
                  <w:vAlign w:val="center"/>
                </w:tcPr>
                <w:p w14:paraId="1D2AE59B">
                  <w:pPr>
                    <w:spacing w:line="240" w:lineRule="auto"/>
                    <w:ind w:firstLine="0" w:firstLineChars="0"/>
                    <w:jc w:val="center"/>
                    <w:rPr>
                      <w:color w:val="auto"/>
                      <w:kern w:val="0"/>
                      <w:sz w:val="21"/>
                      <w:szCs w:val="21"/>
                      <w:highlight w:val="yellow"/>
                    </w:rPr>
                  </w:pPr>
                </w:p>
              </w:tc>
              <w:tc>
                <w:tcPr>
                  <w:tcW w:w="514" w:type="pct"/>
                  <w:noWrap w:val="0"/>
                  <w:vAlign w:val="center"/>
                </w:tcPr>
                <w:p w14:paraId="4F7CA40D">
                  <w:pPr>
                    <w:spacing w:line="240" w:lineRule="auto"/>
                    <w:ind w:firstLine="0" w:firstLineChars="0"/>
                    <w:jc w:val="center"/>
                    <w:rPr>
                      <w:color w:val="auto"/>
                      <w:kern w:val="0"/>
                      <w:sz w:val="21"/>
                      <w:szCs w:val="21"/>
                      <w:highlight w:val="none"/>
                    </w:rPr>
                  </w:pPr>
                  <w:r>
                    <w:rPr>
                      <w:color w:val="auto"/>
                      <w:kern w:val="0"/>
                      <w:sz w:val="21"/>
                      <w:szCs w:val="21"/>
                      <w:highlight w:val="none"/>
                    </w:rPr>
                    <w:t>O</w:t>
                  </w:r>
                  <w:r>
                    <w:rPr>
                      <w:color w:val="auto"/>
                      <w:kern w:val="0"/>
                      <w:sz w:val="21"/>
                      <w:szCs w:val="21"/>
                      <w:highlight w:val="none"/>
                      <w:vertAlign w:val="subscript"/>
                    </w:rPr>
                    <w:t>3</w:t>
                  </w:r>
                </w:p>
              </w:tc>
              <w:tc>
                <w:tcPr>
                  <w:tcW w:w="871" w:type="pct"/>
                  <w:noWrap w:val="0"/>
                  <w:vAlign w:val="center"/>
                </w:tcPr>
                <w:p w14:paraId="7076293D">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sz w:val="21"/>
                      <w:szCs w:val="21"/>
                      <w:highlight w:val="none"/>
                      <w:lang w:val="en-US" w:eastAsia="zh-CN"/>
                    </w:rPr>
                    <w:t>0.020-0.035</w:t>
                  </w:r>
                </w:p>
              </w:tc>
              <w:tc>
                <w:tcPr>
                  <w:tcW w:w="623" w:type="pct"/>
                  <w:noWrap w:val="0"/>
                  <w:vAlign w:val="center"/>
                </w:tcPr>
                <w:p w14:paraId="6BF8D9E2">
                  <w:pPr>
                    <w:spacing w:line="240" w:lineRule="auto"/>
                    <w:ind w:firstLine="0" w:firstLineChars="0"/>
                    <w:jc w:val="center"/>
                    <w:rPr>
                      <w:color w:val="auto"/>
                      <w:kern w:val="0"/>
                      <w:sz w:val="21"/>
                      <w:szCs w:val="21"/>
                      <w:highlight w:val="none"/>
                    </w:rPr>
                  </w:pPr>
                  <w:r>
                    <w:rPr>
                      <w:color w:val="auto"/>
                      <w:kern w:val="0"/>
                      <w:sz w:val="21"/>
                      <w:szCs w:val="21"/>
                      <w:highlight w:val="none"/>
                    </w:rPr>
                    <w:t>1小时</w:t>
                  </w:r>
                </w:p>
              </w:tc>
              <w:tc>
                <w:tcPr>
                  <w:tcW w:w="460" w:type="pct"/>
                  <w:noWrap w:val="0"/>
                  <w:vAlign w:val="center"/>
                </w:tcPr>
                <w:p w14:paraId="44AACA89">
                  <w:pPr>
                    <w:spacing w:line="240" w:lineRule="auto"/>
                    <w:ind w:firstLine="0" w:firstLineChars="0"/>
                    <w:jc w:val="center"/>
                    <w:rPr>
                      <w:color w:val="auto"/>
                      <w:kern w:val="0"/>
                      <w:sz w:val="21"/>
                      <w:szCs w:val="21"/>
                      <w:highlight w:val="none"/>
                    </w:rPr>
                  </w:pPr>
                  <w:r>
                    <w:rPr>
                      <w:color w:val="auto"/>
                      <w:kern w:val="0"/>
                      <w:sz w:val="21"/>
                      <w:szCs w:val="21"/>
                      <w:highlight w:val="none"/>
                    </w:rPr>
                    <w:t>0</w:t>
                  </w:r>
                </w:p>
              </w:tc>
              <w:tc>
                <w:tcPr>
                  <w:tcW w:w="537" w:type="pct"/>
                  <w:noWrap w:val="0"/>
                  <w:vAlign w:val="center"/>
                </w:tcPr>
                <w:p w14:paraId="730DA3CA">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0.16</w:t>
                  </w:r>
                </w:p>
              </w:tc>
              <w:tc>
                <w:tcPr>
                  <w:tcW w:w="688" w:type="pct"/>
                  <w:noWrap w:val="0"/>
                  <w:vAlign w:val="center"/>
                </w:tcPr>
                <w:p w14:paraId="499FB640">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21.88</w:t>
                  </w:r>
                </w:p>
              </w:tc>
              <w:tc>
                <w:tcPr>
                  <w:tcW w:w="517" w:type="pct"/>
                  <w:noWrap w:val="0"/>
                  <w:vAlign w:val="center"/>
                </w:tcPr>
                <w:p w14:paraId="187955D6">
                  <w:pPr>
                    <w:spacing w:line="240" w:lineRule="auto"/>
                    <w:ind w:firstLine="0" w:firstLineChars="0"/>
                    <w:jc w:val="center"/>
                    <w:rPr>
                      <w:color w:val="auto"/>
                      <w:kern w:val="0"/>
                      <w:sz w:val="21"/>
                      <w:szCs w:val="21"/>
                      <w:highlight w:val="none"/>
                    </w:rPr>
                  </w:pPr>
                  <w:r>
                    <w:rPr>
                      <w:color w:val="auto"/>
                      <w:kern w:val="0"/>
                      <w:sz w:val="21"/>
                      <w:szCs w:val="21"/>
                      <w:highlight w:val="none"/>
                    </w:rPr>
                    <w:t>达标</w:t>
                  </w:r>
                </w:p>
              </w:tc>
            </w:tr>
          </w:tbl>
          <w:p w14:paraId="570A3AEF">
            <w:pPr>
              <w:pStyle w:val="40"/>
              <w:rPr>
                <w:color w:val="auto"/>
                <w:highlight w:val="none"/>
              </w:rPr>
            </w:pPr>
            <w:r>
              <w:rPr>
                <w:color w:val="auto"/>
                <w:highlight w:val="none"/>
              </w:rPr>
              <w:t>表</w:t>
            </w:r>
            <w:r>
              <w:rPr>
                <w:rFonts w:hint="eastAsia"/>
                <w:color w:val="auto"/>
                <w:highlight w:val="none"/>
                <w:lang w:val="en-US" w:eastAsia="zh-CN"/>
              </w:rPr>
              <w:t>3-4</w:t>
            </w:r>
            <w:r>
              <w:rPr>
                <w:rFonts w:hint="eastAsia"/>
                <w:color w:val="auto"/>
                <w:highlight w:val="none"/>
              </w:rPr>
              <w:t xml:space="preserve">  </w:t>
            </w:r>
            <w:r>
              <w:rPr>
                <w:color w:val="auto"/>
                <w:highlight w:val="none"/>
              </w:rPr>
              <w:t>本项目环境空气</w:t>
            </w:r>
            <w:r>
              <w:rPr>
                <w:rFonts w:hint="eastAsia"/>
                <w:color w:val="auto"/>
                <w:highlight w:val="none"/>
              </w:rPr>
              <w:t>24</w:t>
            </w:r>
            <w:r>
              <w:rPr>
                <w:color w:val="auto"/>
                <w:highlight w:val="none"/>
              </w:rPr>
              <w:t>小时平均值现状监测评价表</w:t>
            </w:r>
          </w:p>
          <w:tbl>
            <w:tblPr>
              <w:tblStyle w:val="18"/>
              <w:tblW w:w="4997"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167"/>
              <w:gridCol w:w="789"/>
              <w:gridCol w:w="1290"/>
              <w:gridCol w:w="928"/>
              <w:gridCol w:w="708"/>
              <w:gridCol w:w="857"/>
              <w:gridCol w:w="961"/>
              <w:gridCol w:w="767"/>
            </w:tblGrid>
            <w:tr w14:paraId="66BD23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noWrap w:val="0"/>
                  <w:vAlign w:val="center"/>
                </w:tcPr>
                <w:p w14:paraId="6B5A1E0E">
                  <w:pPr>
                    <w:spacing w:line="240" w:lineRule="auto"/>
                    <w:ind w:firstLine="0" w:firstLineChars="0"/>
                    <w:jc w:val="center"/>
                    <w:rPr>
                      <w:color w:val="auto"/>
                      <w:sz w:val="21"/>
                      <w:szCs w:val="21"/>
                      <w:highlight w:val="none"/>
                    </w:rPr>
                  </w:pPr>
                  <w:r>
                    <w:rPr>
                      <w:color w:val="auto"/>
                      <w:sz w:val="21"/>
                      <w:szCs w:val="21"/>
                      <w:highlight w:val="none"/>
                    </w:rPr>
                    <w:t>监测点位</w:t>
                  </w:r>
                </w:p>
              </w:tc>
              <w:tc>
                <w:tcPr>
                  <w:tcW w:w="528" w:type="pct"/>
                  <w:noWrap w:val="0"/>
                  <w:vAlign w:val="center"/>
                </w:tcPr>
                <w:p w14:paraId="70BC4B98">
                  <w:pPr>
                    <w:spacing w:line="240" w:lineRule="auto"/>
                    <w:ind w:firstLine="0" w:firstLineChars="0"/>
                    <w:jc w:val="center"/>
                    <w:rPr>
                      <w:color w:val="auto"/>
                      <w:sz w:val="21"/>
                      <w:szCs w:val="21"/>
                      <w:highlight w:val="none"/>
                    </w:rPr>
                  </w:pPr>
                  <w:r>
                    <w:rPr>
                      <w:color w:val="auto"/>
                      <w:sz w:val="21"/>
                      <w:szCs w:val="21"/>
                      <w:highlight w:val="none"/>
                    </w:rPr>
                    <w:t>污染物</w:t>
                  </w:r>
                </w:p>
              </w:tc>
              <w:tc>
                <w:tcPr>
                  <w:tcW w:w="863" w:type="pct"/>
                  <w:noWrap w:val="0"/>
                  <w:vAlign w:val="center"/>
                </w:tcPr>
                <w:p w14:paraId="20A2EA64">
                  <w:pPr>
                    <w:spacing w:line="240" w:lineRule="auto"/>
                    <w:ind w:firstLine="0" w:firstLineChars="0"/>
                    <w:jc w:val="center"/>
                    <w:rPr>
                      <w:color w:val="auto"/>
                      <w:sz w:val="21"/>
                      <w:szCs w:val="21"/>
                      <w:highlight w:val="none"/>
                    </w:rPr>
                  </w:pPr>
                  <w:r>
                    <w:rPr>
                      <w:color w:val="auto"/>
                      <w:kern w:val="0"/>
                      <w:sz w:val="21"/>
                      <w:szCs w:val="21"/>
                      <w:highlight w:val="none"/>
                    </w:rPr>
                    <w:t>浓度范围</w:t>
                  </w:r>
                  <w:r>
                    <w:rPr>
                      <w:rFonts w:hint="eastAsia"/>
                      <w:color w:val="auto"/>
                      <w:kern w:val="0"/>
                      <w:sz w:val="21"/>
                      <w:szCs w:val="21"/>
                      <w:highlight w:val="none"/>
                    </w:rPr>
                    <w:t>（</w:t>
                  </w:r>
                  <w:r>
                    <w:rPr>
                      <w:rFonts w:hint="eastAsia" w:cs="Times New Roman"/>
                      <w:color w:val="auto"/>
                      <w:sz w:val="21"/>
                      <w:szCs w:val="18"/>
                      <w:highlight w:val="none"/>
                      <w:lang w:val="en-US" w:eastAsia="zh-CN"/>
                    </w:rPr>
                    <w:t>mg</w:t>
                  </w:r>
                  <w:r>
                    <w:rPr>
                      <w:color w:val="auto"/>
                      <w:kern w:val="0"/>
                      <w:sz w:val="21"/>
                      <w:szCs w:val="21"/>
                      <w:highlight w:val="none"/>
                    </w:rPr>
                    <w:t>/m</w:t>
                  </w:r>
                  <w:r>
                    <w:rPr>
                      <w:color w:val="auto"/>
                      <w:kern w:val="0"/>
                      <w:sz w:val="21"/>
                      <w:szCs w:val="21"/>
                      <w:highlight w:val="none"/>
                      <w:vertAlign w:val="superscript"/>
                    </w:rPr>
                    <w:t>3</w:t>
                  </w:r>
                  <w:r>
                    <w:rPr>
                      <w:rFonts w:hint="eastAsia"/>
                      <w:color w:val="auto"/>
                      <w:kern w:val="0"/>
                      <w:sz w:val="21"/>
                      <w:szCs w:val="21"/>
                      <w:highlight w:val="none"/>
                    </w:rPr>
                    <w:t>）</w:t>
                  </w:r>
                </w:p>
              </w:tc>
              <w:tc>
                <w:tcPr>
                  <w:tcW w:w="621" w:type="pct"/>
                  <w:noWrap w:val="0"/>
                  <w:vAlign w:val="center"/>
                </w:tcPr>
                <w:p w14:paraId="60193010">
                  <w:pPr>
                    <w:spacing w:line="240" w:lineRule="auto"/>
                    <w:ind w:firstLine="0" w:firstLineChars="0"/>
                    <w:jc w:val="center"/>
                    <w:rPr>
                      <w:color w:val="auto"/>
                      <w:sz w:val="21"/>
                      <w:szCs w:val="21"/>
                      <w:highlight w:val="none"/>
                    </w:rPr>
                  </w:pPr>
                  <w:r>
                    <w:rPr>
                      <w:color w:val="auto"/>
                      <w:sz w:val="21"/>
                      <w:szCs w:val="21"/>
                      <w:highlight w:val="none"/>
                    </w:rPr>
                    <w:t>平均时间</w:t>
                  </w:r>
                </w:p>
              </w:tc>
              <w:tc>
                <w:tcPr>
                  <w:tcW w:w="474" w:type="pct"/>
                  <w:noWrap w:val="0"/>
                  <w:vAlign w:val="center"/>
                </w:tcPr>
                <w:p w14:paraId="1CEB7FCB">
                  <w:pPr>
                    <w:spacing w:line="240" w:lineRule="auto"/>
                    <w:ind w:firstLine="0" w:firstLineChars="0"/>
                    <w:jc w:val="center"/>
                    <w:rPr>
                      <w:color w:val="auto"/>
                      <w:sz w:val="21"/>
                      <w:szCs w:val="21"/>
                      <w:highlight w:val="none"/>
                    </w:rPr>
                  </w:pPr>
                  <w:r>
                    <w:rPr>
                      <w:color w:val="auto"/>
                      <w:kern w:val="0"/>
                      <w:sz w:val="21"/>
                      <w:szCs w:val="21"/>
                      <w:highlight w:val="none"/>
                    </w:rPr>
                    <w:t>超标率</w:t>
                  </w:r>
                  <w:r>
                    <w:rPr>
                      <w:rFonts w:hint="eastAsia"/>
                      <w:color w:val="auto"/>
                      <w:kern w:val="0"/>
                      <w:sz w:val="21"/>
                      <w:szCs w:val="21"/>
                      <w:highlight w:val="none"/>
                    </w:rPr>
                    <w:t>（%）</w:t>
                  </w:r>
                </w:p>
              </w:tc>
              <w:tc>
                <w:tcPr>
                  <w:tcW w:w="573" w:type="pct"/>
                  <w:noWrap w:val="0"/>
                  <w:vAlign w:val="center"/>
                </w:tcPr>
                <w:p w14:paraId="3E99EE03">
                  <w:pPr>
                    <w:spacing w:line="240" w:lineRule="auto"/>
                    <w:ind w:firstLine="0" w:firstLineChars="0"/>
                    <w:jc w:val="center"/>
                    <w:rPr>
                      <w:color w:val="auto"/>
                      <w:sz w:val="21"/>
                      <w:szCs w:val="21"/>
                      <w:highlight w:val="none"/>
                    </w:rPr>
                  </w:pPr>
                  <w:r>
                    <w:rPr>
                      <w:color w:val="auto"/>
                      <w:kern w:val="0"/>
                      <w:sz w:val="21"/>
                      <w:szCs w:val="21"/>
                      <w:highlight w:val="none"/>
                    </w:rPr>
                    <w:t>标准值</w:t>
                  </w:r>
                  <w:r>
                    <w:rPr>
                      <w:rFonts w:hint="eastAsia"/>
                      <w:color w:val="auto"/>
                      <w:kern w:val="0"/>
                      <w:sz w:val="21"/>
                      <w:szCs w:val="21"/>
                      <w:highlight w:val="none"/>
                    </w:rPr>
                    <w:t>（</w:t>
                  </w:r>
                  <w:r>
                    <w:rPr>
                      <w:rFonts w:hint="eastAsia" w:cs="Times New Roman"/>
                      <w:color w:val="auto"/>
                      <w:sz w:val="21"/>
                      <w:szCs w:val="18"/>
                      <w:highlight w:val="none"/>
                      <w:lang w:val="en-US" w:eastAsia="zh-CN"/>
                    </w:rPr>
                    <w:t>mg</w:t>
                  </w:r>
                  <w:r>
                    <w:rPr>
                      <w:color w:val="auto"/>
                      <w:kern w:val="0"/>
                      <w:sz w:val="21"/>
                      <w:szCs w:val="21"/>
                      <w:highlight w:val="none"/>
                    </w:rPr>
                    <w:t>/m</w:t>
                  </w:r>
                  <w:r>
                    <w:rPr>
                      <w:color w:val="auto"/>
                      <w:kern w:val="0"/>
                      <w:sz w:val="21"/>
                      <w:szCs w:val="21"/>
                      <w:highlight w:val="none"/>
                      <w:vertAlign w:val="superscript"/>
                    </w:rPr>
                    <w:t>3</w:t>
                  </w:r>
                  <w:r>
                    <w:rPr>
                      <w:rFonts w:hint="eastAsia"/>
                      <w:color w:val="auto"/>
                      <w:kern w:val="0"/>
                      <w:sz w:val="21"/>
                      <w:szCs w:val="21"/>
                      <w:highlight w:val="none"/>
                    </w:rPr>
                    <w:t>）</w:t>
                  </w:r>
                </w:p>
              </w:tc>
              <w:tc>
                <w:tcPr>
                  <w:tcW w:w="643" w:type="pct"/>
                  <w:noWrap w:val="0"/>
                  <w:vAlign w:val="center"/>
                </w:tcPr>
                <w:p w14:paraId="579D7457">
                  <w:pPr>
                    <w:spacing w:line="240" w:lineRule="auto"/>
                    <w:ind w:firstLine="0" w:firstLineChars="0"/>
                    <w:jc w:val="center"/>
                    <w:rPr>
                      <w:color w:val="auto"/>
                      <w:sz w:val="21"/>
                      <w:szCs w:val="21"/>
                      <w:highlight w:val="none"/>
                    </w:rPr>
                  </w:pPr>
                  <w:r>
                    <w:rPr>
                      <w:color w:val="auto"/>
                      <w:kern w:val="0"/>
                      <w:sz w:val="21"/>
                      <w:szCs w:val="21"/>
                      <w:highlight w:val="none"/>
                    </w:rPr>
                    <w:t>最大浓度占标率</w:t>
                  </w:r>
                  <w:r>
                    <w:rPr>
                      <w:rFonts w:hint="eastAsia"/>
                      <w:color w:val="auto"/>
                      <w:kern w:val="0"/>
                      <w:sz w:val="21"/>
                      <w:szCs w:val="21"/>
                      <w:highlight w:val="none"/>
                    </w:rPr>
                    <w:t>（%）</w:t>
                  </w:r>
                </w:p>
              </w:tc>
              <w:tc>
                <w:tcPr>
                  <w:tcW w:w="513" w:type="pct"/>
                  <w:noWrap w:val="0"/>
                  <w:vAlign w:val="center"/>
                </w:tcPr>
                <w:p w14:paraId="653DAE8A">
                  <w:pPr>
                    <w:spacing w:line="240" w:lineRule="auto"/>
                    <w:ind w:firstLine="0" w:firstLineChars="0"/>
                    <w:jc w:val="center"/>
                    <w:rPr>
                      <w:color w:val="auto"/>
                      <w:sz w:val="21"/>
                      <w:szCs w:val="21"/>
                      <w:highlight w:val="none"/>
                    </w:rPr>
                  </w:pPr>
                  <w:r>
                    <w:rPr>
                      <w:color w:val="auto"/>
                      <w:kern w:val="0"/>
                      <w:sz w:val="21"/>
                      <w:szCs w:val="21"/>
                      <w:highlight w:val="none"/>
                    </w:rPr>
                    <w:t>达标情况</w:t>
                  </w:r>
                </w:p>
              </w:tc>
            </w:tr>
            <w:tr w14:paraId="55C16D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vMerge w:val="restart"/>
                  <w:noWrap w:val="0"/>
                  <w:vAlign w:val="center"/>
                </w:tcPr>
                <w:p w14:paraId="4B7D677F">
                  <w:pPr>
                    <w:spacing w:line="240" w:lineRule="auto"/>
                    <w:ind w:firstLine="0" w:firstLineChars="0"/>
                    <w:jc w:val="center"/>
                    <w:rPr>
                      <w:rFonts w:hint="eastAsia" w:eastAsia="宋体"/>
                      <w:color w:val="auto"/>
                      <w:sz w:val="21"/>
                      <w:szCs w:val="21"/>
                      <w:highlight w:val="none"/>
                      <w:lang w:eastAsia="zh-CN"/>
                    </w:rPr>
                  </w:pPr>
                  <w:r>
                    <w:rPr>
                      <w:rFonts w:hint="eastAsia"/>
                      <w:color w:val="auto"/>
                      <w:kern w:val="0"/>
                      <w:sz w:val="21"/>
                      <w:szCs w:val="21"/>
                      <w:highlight w:val="none"/>
                    </w:rPr>
                    <w:t>黑龙江东升省级自然保护区</w:t>
                  </w:r>
                </w:p>
              </w:tc>
              <w:tc>
                <w:tcPr>
                  <w:tcW w:w="528" w:type="pct"/>
                  <w:noWrap w:val="0"/>
                  <w:vAlign w:val="center"/>
                </w:tcPr>
                <w:p w14:paraId="1DCFCEEC">
                  <w:pPr>
                    <w:spacing w:line="240" w:lineRule="auto"/>
                    <w:ind w:firstLine="0" w:firstLineChars="0"/>
                    <w:jc w:val="center"/>
                    <w:rPr>
                      <w:color w:val="auto"/>
                      <w:sz w:val="21"/>
                      <w:szCs w:val="21"/>
                      <w:highlight w:val="none"/>
                    </w:rPr>
                  </w:pPr>
                  <w:r>
                    <w:rPr>
                      <w:color w:val="auto"/>
                      <w:sz w:val="21"/>
                      <w:szCs w:val="21"/>
                      <w:highlight w:val="none"/>
                    </w:rPr>
                    <w:t>NO</w:t>
                  </w:r>
                  <w:r>
                    <w:rPr>
                      <w:color w:val="auto"/>
                      <w:sz w:val="21"/>
                      <w:szCs w:val="21"/>
                      <w:highlight w:val="none"/>
                      <w:vertAlign w:val="subscript"/>
                    </w:rPr>
                    <w:t>2</w:t>
                  </w:r>
                </w:p>
              </w:tc>
              <w:tc>
                <w:tcPr>
                  <w:tcW w:w="863" w:type="pct"/>
                  <w:noWrap w:val="0"/>
                  <w:vAlign w:val="center"/>
                </w:tcPr>
                <w:p w14:paraId="1FA22E1E">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0.011-0.015</w:t>
                  </w:r>
                </w:p>
              </w:tc>
              <w:tc>
                <w:tcPr>
                  <w:tcW w:w="621" w:type="pct"/>
                  <w:noWrap w:val="0"/>
                  <w:vAlign w:val="center"/>
                </w:tcPr>
                <w:p w14:paraId="2A815CD9">
                  <w:pPr>
                    <w:spacing w:line="240" w:lineRule="auto"/>
                    <w:ind w:firstLine="0" w:firstLineChars="0"/>
                    <w:jc w:val="center"/>
                    <w:rPr>
                      <w:color w:val="auto"/>
                      <w:sz w:val="21"/>
                      <w:szCs w:val="21"/>
                      <w:highlight w:val="none"/>
                    </w:rPr>
                  </w:pPr>
                  <w:r>
                    <w:rPr>
                      <w:color w:val="auto"/>
                      <w:sz w:val="21"/>
                      <w:szCs w:val="21"/>
                      <w:highlight w:val="none"/>
                    </w:rPr>
                    <w:t>日平均</w:t>
                  </w:r>
                </w:p>
              </w:tc>
              <w:tc>
                <w:tcPr>
                  <w:tcW w:w="474" w:type="pct"/>
                  <w:noWrap w:val="0"/>
                  <w:vAlign w:val="center"/>
                </w:tcPr>
                <w:p w14:paraId="17B3D67E">
                  <w:pPr>
                    <w:spacing w:line="240" w:lineRule="auto"/>
                    <w:ind w:firstLine="0" w:firstLineChars="0"/>
                    <w:jc w:val="center"/>
                    <w:rPr>
                      <w:color w:val="auto"/>
                      <w:sz w:val="21"/>
                      <w:szCs w:val="21"/>
                      <w:highlight w:val="none"/>
                    </w:rPr>
                  </w:pPr>
                  <w:r>
                    <w:rPr>
                      <w:color w:val="auto"/>
                      <w:sz w:val="21"/>
                      <w:szCs w:val="21"/>
                      <w:highlight w:val="none"/>
                    </w:rPr>
                    <w:t>0</w:t>
                  </w:r>
                </w:p>
              </w:tc>
              <w:tc>
                <w:tcPr>
                  <w:tcW w:w="573" w:type="pct"/>
                  <w:noWrap w:val="0"/>
                  <w:vAlign w:val="center"/>
                </w:tcPr>
                <w:p w14:paraId="5F4D95BB">
                  <w:pPr>
                    <w:spacing w:line="240" w:lineRule="auto"/>
                    <w:ind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0.0</w:t>
                  </w:r>
                  <w:r>
                    <w:rPr>
                      <w:color w:val="auto"/>
                      <w:sz w:val="21"/>
                      <w:szCs w:val="21"/>
                      <w:highlight w:val="none"/>
                    </w:rPr>
                    <w:t>8</w:t>
                  </w:r>
                </w:p>
              </w:tc>
              <w:tc>
                <w:tcPr>
                  <w:tcW w:w="643" w:type="pct"/>
                  <w:noWrap w:val="0"/>
                  <w:vAlign w:val="center"/>
                </w:tcPr>
                <w:p w14:paraId="6E630B9B">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18.75</w:t>
                  </w:r>
                </w:p>
              </w:tc>
              <w:tc>
                <w:tcPr>
                  <w:tcW w:w="513" w:type="pct"/>
                  <w:noWrap w:val="0"/>
                  <w:vAlign w:val="center"/>
                </w:tcPr>
                <w:p w14:paraId="73CC4329">
                  <w:pPr>
                    <w:spacing w:line="240" w:lineRule="auto"/>
                    <w:ind w:firstLine="0" w:firstLineChars="0"/>
                    <w:jc w:val="center"/>
                    <w:rPr>
                      <w:color w:val="auto"/>
                      <w:sz w:val="21"/>
                      <w:szCs w:val="21"/>
                      <w:highlight w:val="none"/>
                    </w:rPr>
                  </w:pPr>
                  <w:r>
                    <w:rPr>
                      <w:color w:val="auto"/>
                      <w:sz w:val="21"/>
                      <w:szCs w:val="21"/>
                      <w:highlight w:val="none"/>
                    </w:rPr>
                    <w:t>达标</w:t>
                  </w:r>
                </w:p>
              </w:tc>
            </w:tr>
            <w:tr w14:paraId="28FB0A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vMerge w:val="continue"/>
                  <w:noWrap w:val="0"/>
                  <w:vAlign w:val="center"/>
                </w:tcPr>
                <w:p w14:paraId="37EE510B">
                  <w:pPr>
                    <w:spacing w:line="240" w:lineRule="auto"/>
                    <w:ind w:firstLine="0" w:firstLineChars="0"/>
                    <w:jc w:val="center"/>
                    <w:rPr>
                      <w:color w:val="auto"/>
                      <w:sz w:val="21"/>
                      <w:szCs w:val="21"/>
                      <w:highlight w:val="yellow"/>
                    </w:rPr>
                  </w:pPr>
                </w:p>
              </w:tc>
              <w:tc>
                <w:tcPr>
                  <w:tcW w:w="528" w:type="pct"/>
                  <w:noWrap w:val="0"/>
                  <w:vAlign w:val="center"/>
                </w:tcPr>
                <w:p w14:paraId="32805BDD">
                  <w:pPr>
                    <w:spacing w:line="240" w:lineRule="auto"/>
                    <w:ind w:firstLine="0" w:firstLineChars="0"/>
                    <w:jc w:val="center"/>
                    <w:rPr>
                      <w:color w:val="auto"/>
                      <w:sz w:val="21"/>
                      <w:szCs w:val="21"/>
                      <w:highlight w:val="none"/>
                    </w:rPr>
                  </w:pPr>
                  <w:r>
                    <w:rPr>
                      <w:color w:val="auto"/>
                      <w:sz w:val="21"/>
                      <w:szCs w:val="21"/>
                      <w:highlight w:val="none"/>
                    </w:rPr>
                    <w:t>SO</w:t>
                  </w:r>
                  <w:r>
                    <w:rPr>
                      <w:color w:val="auto"/>
                      <w:sz w:val="21"/>
                      <w:szCs w:val="21"/>
                      <w:highlight w:val="none"/>
                      <w:vertAlign w:val="subscript"/>
                    </w:rPr>
                    <w:t>2</w:t>
                  </w:r>
                </w:p>
              </w:tc>
              <w:tc>
                <w:tcPr>
                  <w:tcW w:w="863" w:type="pct"/>
                  <w:noWrap w:val="0"/>
                  <w:vAlign w:val="center"/>
                </w:tcPr>
                <w:p w14:paraId="343AA233">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0.004L</w:t>
                  </w:r>
                </w:p>
              </w:tc>
              <w:tc>
                <w:tcPr>
                  <w:tcW w:w="621" w:type="pct"/>
                  <w:noWrap w:val="0"/>
                  <w:vAlign w:val="center"/>
                </w:tcPr>
                <w:p w14:paraId="2659E5B7">
                  <w:pPr>
                    <w:spacing w:line="240" w:lineRule="auto"/>
                    <w:ind w:firstLine="0" w:firstLineChars="0"/>
                    <w:jc w:val="center"/>
                    <w:rPr>
                      <w:color w:val="auto"/>
                      <w:sz w:val="21"/>
                      <w:szCs w:val="21"/>
                      <w:highlight w:val="none"/>
                    </w:rPr>
                  </w:pPr>
                  <w:r>
                    <w:rPr>
                      <w:color w:val="auto"/>
                      <w:sz w:val="21"/>
                      <w:szCs w:val="21"/>
                      <w:highlight w:val="none"/>
                    </w:rPr>
                    <w:t>日平均</w:t>
                  </w:r>
                </w:p>
              </w:tc>
              <w:tc>
                <w:tcPr>
                  <w:tcW w:w="474" w:type="pct"/>
                  <w:noWrap w:val="0"/>
                  <w:vAlign w:val="center"/>
                </w:tcPr>
                <w:p w14:paraId="6B2707A1">
                  <w:pPr>
                    <w:spacing w:line="240" w:lineRule="auto"/>
                    <w:ind w:firstLine="0" w:firstLineChars="0"/>
                    <w:jc w:val="center"/>
                    <w:rPr>
                      <w:color w:val="auto"/>
                      <w:sz w:val="21"/>
                      <w:szCs w:val="21"/>
                      <w:highlight w:val="none"/>
                    </w:rPr>
                  </w:pPr>
                  <w:r>
                    <w:rPr>
                      <w:color w:val="auto"/>
                      <w:sz w:val="21"/>
                      <w:szCs w:val="21"/>
                      <w:highlight w:val="none"/>
                    </w:rPr>
                    <w:t>0</w:t>
                  </w:r>
                </w:p>
              </w:tc>
              <w:tc>
                <w:tcPr>
                  <w:tcW w:w="573" w:type="pct"/>
                  <w:noWrap w:val="0"/>
                  <w:vAlign w:val="center"/>
                </w:tcPr>
                <w:p w14:paraId="4B3E6784">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0.05</w:t>
                  </w:r>
                </w:p>
              </w:tc>
              <w:tc>
                <w:tcPr>
                  <w:tcW w:w="643" w:type="pct"/>
                  <w:noWrap w:val="0"/>
                  <w:vAlign w:val="center"/>
                </w:tcPr>
                <w:p w14:paraId="19FD7E41">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w:t>
                  </w:r>
                </w:p>
              </w:tc>
              <w:tc>
                <w:tcPr>
                  <w:tcW w:w="513" w:type="pct"/>
                  <w:noWrap w:val="0"/>
                  <w:vAlign w:val="center"/>
                </w:tcPr>
                <w:p w14:paraId="32849C40">
                  <w:pPr>
                    <w:spacing w:line="240" w:lineRule="auto"/>
                    <w:ind w:firstLine="0" w:firstLineChars="0"/>
                    <w:jc w:val="center"/>
                    <w:rPr>
                      <w:color w:val="auto"/>
                      <w:sz w:val="21"/>
                      <w:szCs w:val="21"/>
                      <w:highlight w:val="none"/>
                    </w:rPr>
                  </w:pPr>
                  <w:r>
                    <w:rPr>
                      <w:color w:val="auto"/>
                      <w:sz w:val="21"/>
                      <w:szCs w:val="21"/>
                      <w:highlight w:val="none"/>
                    </w:rPr>
                    <w:t>达标</w:t>
                  </w:r>
                </w:p>
              </w:tc>
            </w:tr>
            <w:tr w14:paraId="513C063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vMerge w:val="continue"/>
                  <w:noWrap w:val="0"/>
                  <w:vAlign w:val="center"/>
                </w:tcPr>
                <w:p w14:paraId="69179E06">
                  <w:pPr>
                    <w:spacing w:line="240" w:lineRule="auto"/>
                    <w:ind w:firstLine="0" w:firstLineChars="0"/>
                    <w:jc w:val="center"/>
                    <w:rPr>
                      <w:color w:val="auto"/>
                      <w:sz w:val="21"/>
                      <w:szCs w:val="21"/>
                      <w:highlight w:val="yellow"/>
                    </w:rPr>
                  </w:pPr>
                </w:p>
              </w:tc>
              <w:tc>
                <w:tcPr>
                  <w:tcW w:w="528" w:type="pct"/>
                  <w:noWrap w:val="0"/>
                  <w:vAlign w:val="center"/>
                </w:tcPr>
                <w:p w14:paraId="7A6A8517">
                  <w:pPr>
                    <w:spacing w:line="240" w:lineRule="auto"/>
                    <w:ind w:firstLine="0" w:firstLineChars="0"/>
                    <w:jc w:val="center"/>
                    <w:rPr>
                      <w:color w:val="auto"/>
                      <w:sz w:val="21"/>
                      <w:szCs w:val="21"/>
                      <w:highlight w:val="none"/>
                    </w:rPr>
                  </w:pPr>
                  <w:r>
                    <w:rPr>
                      <w:color w:val="auto"/>
                      <w:sz w:val="21"/>
                      <w:szCs w:val="21"/>
                      <w:highlight w:val="none"/>
                    </w:rPr>
                    <w:t>CO</w:t>
                  </w:r>
                </w:p>
              </w:tc>
              <w:tc>
                <w:tcPr>
                  <w:tcW w:w="863" w:type="pct"/>
                  <w:noWrap w:val="0"/>
                  <w:vAlign w:val="center"/>
                </w:tcPr>
                <w:p w14:paraId="253F6B94">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0.3L</w:t>
                  </w:r>
                </w:p>
              </w:tc>
              <w:tc>
                <w:tcPr>
                  <w:tcW w:w="621" w:type="pct"/>
                  <w:noWrap w:val="0"/>
                  <w:vAlign w:val="center"/>
                </w:tcPr>
                <w:p w14:paraId="4C9B4DA6">
                  <w:pPr>
                    <w:spacing w:line="240" w:lineRule="auto"/>
                    <w:ind w:firstLine="0" w:firstLineChars="0"/>
                    <w:jc w:val="center"/>
                    <w:rPr>
                      <w:color w:val="auto"/>
                      <w:sz w:val="21"/>
                      <w:szCs w:val="21"/>
                      <w:highlight w:val="none"/>
                    </w:rPr>
                  </w:pPr>
                  <w:r>
                    <w:rPr>
                      <w:color w:val="auto"/>
                      <w:sz w:val="21"/>
                      <w:szCs w:val="21"/>
                      <w:highlight w:val="none"/>
                    </w:rPr>
                    <w:t>日平均</w:t>
                  </w:r>
                </w:p>
              </w:tc>
              <w:tc>
                <w:tcPr>
                  <w:tcW w:w="474" w:type="pct"/>
                  <w:noWrap w:val="0"/>
                  <w:vAlign w:val="center"/>
                </w:tcPr>
                <w:p w14:paraId="05141D1F">
                  <w:pPr>
                    <w:spacing w:line="240" w:lineRule="auto"/>
                    <w:ind w:firstLine="0" w:firstLineChars="0"/>
                    <w:jc w:val="center"/>
                    <w:rPr>
                      <w:color w:val="auto"/>
                      <w:sz w:val="21"/>
                      <w:szCs w:val="21"/>
                      <w:highlight w:val="none"/>
                    </w:rPr>
                  </w:pPr>
                  <w:r>
                    <w:rPr>
                      <w:color w:val="auto"/>
                      <w:sz w:val="21"/>
                      <w:szCs w:val="21"/>
                      <w:highlight w:val="none"/>
                    </w:rPr>
                    <w:t>0</w:t>
                  </w:r>
                </w:p>
              </w:tc>
              <w:tc>
                <w:tcPr>
                  <w:tcW w:w="573" w:type="pct"/>
                  <w:noWrap w:val="0"/>
                  <w:vAlign w:val="center"/>
                </w:tcPr>
                <w:p w14:paraId="387943C3">
                  <w:pPr>
                    <w:spacing w:line="240" w:lineRule="auto"/>
                    <w:ind w:firstLine="0" w:firstLineChars="0"/>
                    <w:jc w:val="center"/>
                    <w:rPr>
                      <w:rFonts w:hint="default" w:eastAsia="宋体"/>
                      <w:color w:val="auto"/>
                      <w:sz w:val="21"/>
                      <w:szCs w:val="21"/>
                      <w:highlight w:val="none"/>
                      <w:lang w:val="en-US" w:eastAsia="zh-CN"/>
                    </w:rPr>
                  </w:pPr>
                  <w:r>
                    <w:rPr>
                      <w:color w:val="auto"/>
                      <w:sz w:val="21"/>
                      <w:szCs w:val="21"/>
                      <w:highlight w:val="none"/>
                    </w:rPr>
                    <w:t>4</w:t>
                  </w:r>
                </w:p>
              </w:tc>
              <w:tc>
                <w:tcPr>
                  <w:tcW w:w="643" w:type="pct"/>
                  <w:noWrap w:val="0"/>
                  <w:vAlign w:val="center"/>
                </w:tcPr>
                <w:p w14:paraId="2A2DEAB5">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w:t>
                  </w:r>
                </w:p>
              </w:tc>
              <w:tc>
                <w:tcPr>
                  <w:tcW w:w="513" w:type="pct"/>
                  <w:noWrap w:val="0"/>
                  <w:vAlign w:val="center"/>
                </w:tcPr>
                <w:p w14:paraId="429E2887">
                  <w:pPr>
                    <w:spacing w:line="240" w:lineRule="auto"/>
                    <w:ind w:firstLine="0" w:firstLineChars="0"/>
                    <w:jc w:val="center"/>
                    <w:rPr>
                      <w:color w:val="auto"/>
                      <w:sz w:val="21"/>
                      <w:szCs w:val="21"/>
                      <w:highlight w:val="none"/>
                    </w:rPr>
                  </w:pPr>
                  <w:r>
                    <w:rPr>
                      <w:color w:val="auto"/>
                      <w:sz w:val="21"/>
                      <w:szCs w:val="21"/>
                      <w:highlight w:val="none"/>
                    </w:rPr>
                    <w:t>达标</w:t>
                  </w:r>
                </w:p>
              </w:tc>
            </w:tr>
            <w:tr w14:paraId="5FC64B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vMerge w:val="continue"/>
                  <w:noWrap w:val="0"/>
                  <w:vAlign w:val="center"/>
                </w:tcPr>
                <w:p w14:paraId="5218C1D0">
                  <w:pPr>
                    <w:spacing w:line="240" w:lineRule="auto"/>
                    <w:ind w:firstLine="0" w:firstLineChars="0"/>
                    <w:jc w:val="center"/>
                    <w:rPr>
                      <w:color w:val="auto"/>
                      <w:sz w:val="21"/>
                      <w:szCs w:val="21"/>
                      <w:highlight w:val="yellow"/>
                    </w:rPr>
                  </w:pPr>
                </w:p>
              </w:tc>
              <w:tc>
                <w:tcPr>
                  <w:tcW w:w="528" w:type="pct"/>
                  <w:noWrap w:val="0"/>
                  <w:vAlign w:val="center"/>
                </w:tcPr>
                <w:p w14:paraId="66C15EE9">
                  <w:pPr>
                    <w:spacing w:line="240" w:lineRule="auto"/>
                    <w:ind w:firstLine="0" w:firstLineChars="0"/>
                    <w:jc w:val="center"/>
                    <w:rPr>
                      <w:color w:val="auto"/>
                      <w:sz w:val="21"/>
                      <w:szCs w:val="21"/>
                      <w:highlight w:val="none"/>
                    </w:rPr>
                  </w:pPr>
                  <w:r>
                    <w:rPr>
                      <w:color w:val="auto"/>
                      <w:sz w:val="21"/>
                      <w:szCs w:val="21"/>
                      <w:highlight w:val="none"/>
                    </w:rPr>
                    <w:t>PM</w:t>
                  </w:r>
                  <w:r>
                    <w:rPr>
                      <w:color w:val="auto"/>
                      <w:sz w:val="21"/>
                      <w:szCs w:val="21"/>
                      <w:highlight w:val="none"/>
                      <w:vertAlign w:val="subscript"/>
                    </w:rPr>
                    <w:t>2.5</w:t>
                  </w:r>
                </w:p>
              </w:tc>
              <w:tc>
                <w:tcPr>
                  <w:tcW w:w="863" w:type="pct"/>
                  <w:noWrap w:val="0"/>
                  <w:vAlign w:val="center"/>
                </w:tcPr>
                <w:p w14:paraId="7064317F">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0.010L</w:t>
                  </w:r>
                </w:p>
              </w:tc>
              <w:tc>
                <w:tcPr>
                  <w:tcW w:w="621" w:type="pct"/>
                  <w:noWrap w:val="0"/>
                  <w:vAlign w:val="center"/>
                </w:tcPr>
                <w:p w14:paraId="3A22AC1A">
                  <w:pPr>
                    <w:spacing w:line="240" w:lineRule="auto"/>
                    <w:ind w:firstLine="0" w:firstLineChars="0"/>
                    <w:jc w:val="center"/>
                    <w:rPr>
                      <w:color w:val="auto"/>
                      <w:sz w:val="21"/>
                      <w:szCs w:val="21"/>
                      <w:highlight w:val="none"/>
                    </w:rPr>
                  </w:pPr>
                  <w:r>
                    <w:rPr>
                      <w:color w:val="auto"/>
                      <w:sz w:val="21"/>
                      <w:szCs w:val="21"/>
                      <w:highlight w:val="none"/>
                    </w:rPr>
                    <w:t>日平均</w:t>
                  </w:r>
                </w:p>
              </w:tc>
              <w:tc>
                <w:tcPr>
                  <w:tcW w:w="474" w:type="pct"/>
                  <w:noWrap w:val="0"/>
                  <w:vAlign w:val="center"/>
                </w:tcPr>
                <w:p w14:paraId="347277A3">
                  <w:pPr>
                    <w:spacing w:line="240" w:lineRule="auto"/>
                    <w:ind w:firstLine="0" w:firstLineChars="0"/>
                    <w:jc w:val="center"/>
                    <w:rPr>
                      <w:color w:val="auto"/>
                      <w:sz w:val="21"/>
                      <w:szCs w:val="21"/>
                      <w:highlight w:val="none"/>
                    </w:rPr>
                  </w:pPr>
                  <w:r>
                    <w:rPr>
                      <w:color w:val="auto"/>
                      <w:sz w:val="21"/>
                      <w:szCs w:val="21"/>
                      <w:highlight w:val="none"/>
                    </w:rPr>
                    <w:t>0</w:t>
                  </w:r>
                </w:p>
              </w:tc>
              <w:tc>
                <w:tcPr>
                  <w:tcW w:w="573" w:type="pct"/>
                  <w:noWrap w:val="0"/>
                  <w:vAlign w:val="center"/>
                </w:tcPr>
                <w:p w14:paraId="5C2496EE">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0.035</w:t>
                  </w:r>
                </w:p>
              </w:tc>
              <w:tc>
                <w:tcPr>
                  <w:tcW w:w="643" w:type="pct"/>
                  <w:noWrap w:val="0"/>
                  <w:vAlign w:val="center"/>
                </w:tcPr>
                <w:p w14:paraId="3379156F">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w:t>
                  </w:r>
                </w:p>
              </w:tc>
              <w:tc>
                <w:tcPr>
                  <w:tcW w:w="513" w:type="pct"/>
                  <w:noWrap w:val="0"/>
                  <w:vAlign w:val="center"/>
                </w:tcPr>
                <w:p w14:paraId="76432C07">
                  <w:pPr>
                    <w:spacing w:line="240" w:lineRule="auto"/>
                    <w:ind w:firstLine="0" w:firstLineChars="0"/>
                    <w:jc w:val="center"/>
                    <w:rPr>
                      <w:color w:val="auto"/>
                      <w:sz w:val="21"/>
                      <w:szCs w:val="21"/>
                      <w:highlight w:val="none"/>
                    </w:rPr>
                  </w:pPr>
                  <w:r>
                    <w:rPr>
                      <w:color w:val="auto"/>
                      <w:sz w:val="21"/>
                      <w:szCs w:val="21"/>
                      <w:highlight w:val="none"/>
                    </w:rPr>
                    <w:t>达标</w:t>
                  </w:r>
                </w:p>
              </w:tc>
            </w:tr>
            <w:tr w14:paraId="5B6FEF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vMerge w:val="continue"/>
                  <w:noWrap w:val="0"/>
                  <w:vAlign w:val="center"/>
                </w:tcPr>
                <w:p w14:paraId="310CBF3A">
                  <w:pPr>
                    <w:spacing w:line="240" w:lineRule="auto"/>
                    <w:ind w:firstLine="0" w:firstLineChars="0"/>
                    <w:jc w:val="center"/>
                    <w:rPr>
                      <w:color w:val="auto"/>
                      <w:sz w:val="21"/>
                      <w:szCs w:val="21"/>
                      <w:highlight w:val="yellow"/>
                    </w:rPr>
                  </w:pPr>
                </w:p>
              </w:tc>
              <w:tc>
                <w:tcPr>
                  <w:tcW w:w="528" w:type="pct"/>
                  <w:noWrap w:val="0"/>
                  <w:vAlign w:val="center"/>
                </w:tcPr>
                <w:p w14:paraId="5C0BA4F3">
                  <w:pPr>
                    <w:spacing w:line="240" w:lineRule="auto"/>
                    <w:ind w:firstLine="0" w:firstLineChars="0"/>
                    <w:jc w:val="center"/>
                    <w:rPr>
                      <w:color w:val="auto"/>
                      <w:sz w:val="21"/>
                      <w:szCs w:val="21"/>
                      <w:highlight w:val="none"/>
                    </w:rPr>
                  </w:pPr>
                  <w:r>
                    <w:rPr>
                      <w:color w:val="auto"/>
                      <w:sz w:val="21"/>
                      <w:szCs w:val="21"/>
                      <w:highlight w:val="none"/>
                    </w:rPr>
                    <w:t>PM</w:t>
                  </w:r>
                  <w:r>
                    <w:rPr>
                      <w:color w:val="auto"/>
                      <w:sz w:val="21"/>
                      <w:szCs w:val="21"/>
                      <w:highlight w:val="none"/>
                      <w:vertAlign w:val="subscript"/>
                    </w:rPr>
                    <w:t>10</w:t>
                  </w:r>
                </w:p>
              </w:tc>
              <w:tc>
                <w:tcPr>
                  <w:tcW w:w="863" w:type="pct"/>
                  <w:noWrap w:val="0"/>
                  <w:vAlign w:val="center"/>
                </w:tcPr>
                <w:p w14:paraId="5B2C5C71">
                  <w:pPr>
                    <w:spacing w:line="240" w:lineRule="auto"/>
                    <w:ind w:firstLine="0" w:firstLineChars="0"/>
                    <w:jc w:val="center"/>
                    <w:rPr>
                      <w:rFonts w:hint="default"/>
                      <w:color w:val="auto"/>
                      <w:sz w:val="21"/>
                      <w:szCs w:val="21"/>
                      <w:highlight w:val="none"/>
                      <w:lang w:val="en-US"/>
                    </w:rPr>
                  </w:pPr>
                  <w:r>
                    <w:rPr>
                      <w:rFonts w:hint="eastAsia"/>
                      <w:color w:val="auto"/>
                      <w:sz w:val="21"/>
                      <w:szCs w:val="21"/>
                      <w:highlight w:val="none"/>
                      <w:lang w:val="en-US" w:eastAsia="zh-CN"/>
                    </w:rPr>
                    <w:t>0.010-0.015</w:t>
                  </w:r>
                </w:p>
              </w:tc>
              <w:tc>
                <w:tcPr>
                  <w:tcW w:w="621" w:type="pct"/>
                  <w:noWrap w:val="0"/>
                  <w:vAlign w:val="center"/>
                </w:tcPr>
                <w:p w14:paraId="2C47C3F1">
                  <w:pPr>
                    <w:spacing w:line="240" w:lineRule="auto"/>
                    <w:ind w:firstLine="0" w:firstLineChars="0"/>
                    <w:jc w:val="center"/>
                    <w:rPr>
                      <w:color w:val="auto"/>
                      <w:sz w:val="21"/>
                      <w:szCs w:val="21"/>
                      <w:highlight w:val="none"/>
                    </w:rPr>
                  </w:pPr>
                  <w:r>
                    <w:rPr>
                      <w:color w:val="auto"/>
                      <w:sz w:val="21"/>
                      <w:szCs w:val="21"/>
                      <w:highlight w:val="none"/>
                    </w:rPr>
                    <w:t>日平均</w:t>
                  </w:r>
                </w:p>
              </w:tc>
              <w:tc>
                <w:tcPr>
                  <w:tcW w:w="474" w:type="pct"/>
                  <w:noWrap w:val="0"/>
                  <w:vAlign w:val="center"/>
                </w:tcPr>
                <w:p w14:paraId="682346F0">
                  <w:pPr>
                    <w:spacing w:line="240" w:lineRule="auto"/>
                    <w:ind w:firstLine="0" w:firstLineChars="0"/>
                    <w:jc w:val="center"/>
                    <w:rPr>
                      <w:color w:val="auto"/>
                      <w:sz w:val="21"/>
                      <w:szCs w:val="21"/>
                      <w:highlight w:val="none"/>
                    </w:rPr>
                  </w:pPr>
                  <w:r>
                    <w:rPr>
                      <w:color w:val="auto"/>
                      <w:sz w:val="21"/>
                      <w:szCs w:val="21"/>
                      <w:highlight w:val="none"/>
                    </w:rPr>
                    <w:t>0</w:t>
                  </w:r>
                </w:p>
              </w:tc>
              <w:tc>
                <w:tcPr>
                  <w:tcW w:w="573" w:type="pct"/>
                  <w:noWrap w:val="0"/>
                  <w:vAlign w:val="center"/>
                </w:tcPr>
                <w:p w14:paraId="7DDBF275">
                  <w:pPr>
                    <w:spacing w:line="240" w:lineRule="auto"/>
                    <w:ind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0.0</w:t>
                  </w:r>
                  <w:r>
                    <w:rPr>
                      <w:color w:val="auto"/>
                      <w:sz w:val="21"/>
                      <w:szCs w:val="21"/>
                      <w:highlight w:val="none"/>
                    </w:rPr>
                    <w:t>5</w:t>
                  </w:r>
                </w:p>
              </w:tc>
              <w:tc>
                <w:tcPr>
                  <w:tcW w:w="643" w:type="pct"/>
                  <w:noWrap w:val="0"/>
                  <w:vAlign w:val="center"/>
                </w:tcPr>
                <w:p w14:paraId="5526F35A">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30</w:t>
                  </w:r>
                </w:p>
              </w:tc>
              <w:tc>
                <w:tcPr>
                  <w:tcW w:w="513" w:type="pct"/>
                  <w:noWrap w:val="0"/>
                  <w:vAlign w:val="center"/>
                </w:tcPr>
                <w:p w14:paraId="1B7B8752">
                  <w:pPr>
                    <w:spacing w:line="240" w:lineRule="auto"/>
                    <w:ind w:firstLine="0" w:firstLineChars="0"/>
                    <w:jc w:val="center"/>
                    <w:rPr>
                      <w:color w:val="auto"/>
                      <w:sz w:val="21"/>
                      <w:szCs w:val="21"/>
                      <w:highlight w:val="none"/>
                    </w:rPr>
                  </w:pPr>
                  <w:r>
                    <w:rPr>
                      <w:color w:val="auto"/>
                      <w:sz w:val="21"/>
                      <w:szCs w:val="21"/>
                      <w:highlight w:val="none"/>
                    </w:rPr>
                    <w:t>达标</w:t>
                  </w:r>
                </w:p>
              </w:tc>
            </w:tr>
            <w:tr w14:paraId="4F182A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397" w:hRule="atLeast"/>
              </w:trPr>
              <w:tc>
                <w:tcPr>
                  <w:tcW w:w="781" w:type="pct"/>
                  <w:vMerge w:val="continue"/>
                  <w:noWrap w:val="0"/>
                  <w:vAlign w:val="center"/>
                </w:tcPr>
                <w:p w14:paraId="036E05E2">
                  <w:pPr>
                    <w:spacing w:line="240" w:lineRule="auto"/>
                    <w:ind w:firstLine="0" w:firstLineChars="0"/>
                    <w:jc w:val="center"/>
                    <w:rPr>
                      <w:color w:val="auto"/>
                      <w:sz w:val="21"/>
                      <w:szCs w:val="21"/>
                      <w:highlight w:val="yellow"/>
                    </w:rPr>
                  </w:pPr>
                </w:p>
              </w:tc>
              <w:tc>
                <w:tcPr>
                  <w:tcW w:w="528" w:type="pct"/>
                  <w:noWrap w:val="0"/>
                  <w:vAlign w:val="center"/>
                </w:tcPr>
                <w:p w14:paraId="08837F4E">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TSP</w:t>
                  </w:r>
                </w:p>
              </w:tc>
              <w:tc>
                <w:tcPr>
                  <w:tcW w:w="863" w:type="pct"/>
                  <w:noWrap w:val="0"/>
                  <w:vAlign w:val="center"/>
                </w:tcPr>
                <w:p w14:paraId="234600EB">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0.086-0.106</w:t>
                  </w:r>
                </w:p>
              </w:tc>
              <w:tc>
                <w:tcPr>
                  <w:tcW w:w="621" w:type="pct"/>
                  <w:noWrap w:val="0"/>
                  <w:vAlign w:val="center"/>
                </w:tcPr>
                <w:p w14:paraId="7BCFB62C">
                  <w:pPr>
                    <w:spacing w:line="240" w:lineRule="auto"/>
                    <w:ind w:firstLine="0" w:firstLineChars="0"/>
                    <w:jc w:val="center"/>
                    <w:rPr>
                      <w:color w:val="auto"/>
                      <w:sz w:val="21"/>
                      <w:szCs w:val="21"/>
                      <w:highlight w:val="none"/>
                    </w:rPr>
                  </w:pPr>
                  <w:r>
                    <w:rPr>
                      <w:color w:val="auto"/>
                      <w:sz w:val="21"/>
                      <w:szCs w:val="21"/>
                      <w:highlight w:val="none"/>
                    </w:rPr>
                    <w:t>日平均</w:t>
                  </w:r>
                </w:p>
              </w:tc>
              <w:tc>
                <w:tcPr>
                  <w:tcW w:w="474" w:type="pct"/>
                  <w:noWrap w:val="0"/>
                  <w:vAlign w:val="center"/>
                </w:tcPr>
                <w:p w14:paraId="46EA45DD">
                  <w:pPr>
                    <w:spacing w:line="240" w:lineRule="auto"/>
                    <w:ind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0</w:t>
                  </w:r>
                </w:p>
              </w:tc>
              <w:tc>
                <w:tcPr>
                  <w:tcW w:w="573" w:type="pct"/>
                  <w:noWrap w:val="0"/>
                  <w:vAlign w:val="center"/>
                </w:tcPr>
                <w:p w14:paraId="1206368F">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0.120</w:t>
                  </w:r>
                </w:p>
              </w:tc>
              <w:tc>
                <w:tcPr>
                  <w:tcW w:w="643" w:type="pct"/>
                  <w:noWrap w:val="0"/>
                  <w:vAlign w:val="center"/>
                </w:tcPr>
                <w:p w14:paraId="730F896D">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88.33</w:t>
                  </w:r>
                </w:p>
              </w:tc>
              <w:tc>
                <w:tcPr>
                  <w:tcW w:w="513" w:type="pct"/>
                  <w:noWrap w:val="0"/>
                  <w:vAlign w:val="center"/>
                </w:tcPr>
                <w:p w14:paraId="0ED423B3">
                  <w:pPr>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lang w:eastAsia="zh-CN"/>
                    </w:rPr>
                    <w:t>达标</w:t>
                  </w:r>
                </w:p>
              </w:tc>
            </w:tr>
          </w:tbl>
          <w:p w14:paraId="2659ABFB">
            <w:pPr>
              <w:pStyle w:val="40"/>
              <w:rPr>
                <w:color w:val="auto"/>
                <w:highlight w:val="none"/>
              </w:rPr>
            </w:pPr>
            <w:r>
              <w:rPr>
                <w:color w:val="auto"/>
                <w:highlight w:val="none"/>
              </w:rPr>
              <w:t>表</w:t>
            </w:r>
            <w:r>
              <w:rPr>
                <w:rFonts w:hint="eastAsia"/>
                <w:color w:val="auto"/>
                <w:highlight w:val="none"/>
                <w:lang w:val="en-US" w:eastAsia="zh-CN"/>
              </w:rPr>
              <w:t>3-5</w:t>
            </w:r>
            <w:r>
              <w:rPr>
                <w:rFonts w:hint="eastAsia"/>
                <w:color w:val="auto"/>
                <w:highlight w:val="none"/>
              </w:rPr>
              <w:t xml:space="preserve">  </w:t>
            </w:r>
            <w:r>
              <w:rPr>
                <w:color w:val="auto"/>
                <w:highlight w:val="none"/>
              </w:rPr>
              <w:t>本项目环境空气</w:t>
            </w:r>
            <w:r>
              <w:rPr>
                <w:rFonts w:hint="eastAsia"/>
                <w:color w:val="auto"/>
                <w:highlight w:val="none"/>
              </w:rPr>
              <w:t>8</w:t>
            </w:r>
            <w:r>
              <w:rPr>
                <w:color w:val="auto"/>
                <w:highlight w:val="none"/>
              </w:rPr>
              <w:t>小时平均值现状监测评价表</w:t>
            </w:r>
          </w:p>
          <w:tbl>
            <w:tblPr>
              <w:tblStyle w:val="18"/>
              <w:tblW w:w="4997"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178"/>
              <w:gridCol w:w="784"/>
              <w:gridCol w:w="1273"/>
              <w:gridCol w:w="921"/>
              <w:gridCol w:w="773"/>
              <w:gridCol w:w="820"/>
              <w:gridCol w:w="936"/>
              <w:gridCol w:w="750"/>
            </w:tblGrid>
            <w:tr w14:paraId="2D39265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92" w:type="pct"/>
                  <w:tcBorders>
                    <w:left w:val="nil"/>
                    <w:bottom w:val="single" w:color="000000" w:sz="4" w:space="0"/>
                    <w:right w:val="single" w:color="000000" w:sz="4" w:space="0"/>
                  </w:tcBorders>
                  <w:noWrap w:val="0"/>
                  <w:vAlign w:val="center"/>
                </w:tcPr>
                <w:p w14:paraId="4996EB31">
                  <w:pPr>
                    <w:spacing w:line="240" w:lineRule="auto"/>
                    <w:ind w:firstLine="0" w:firstLineChars="0"/>
                    <w:jc w:val="center"/>
                    <w:rPr>
                      <w:color w:val="auto"/>
                      <w:sz w:val="21"/>
                      <w:szCs w:val="21"/>
                      <w:highlight w:val="none"/>
                    </w:rPr>
                  </w:pPr>
                  <w:r>
                    <w:rPr>
                      <w:color w:val="auto"/>
                      <w:sz w:val="21"/>
                      <w:szCs w:val="21"/>
                      <w:highlight w:val="none"/>
                    </w:rPr>
                    <w:t>监测点位</w:t>
                  </w:r>
                </w:p>
              </w:tc>
              <w:tc>
                <w:tcPr>
                  <w:tcW w:w="527" w:type="pct"/>
                  <w:tcBorders>
                    <w:left w:val="single" w:color="000000" w:sz="4" w:space="0"/>
                    <w:bottom w:val="single" w:color="000000" w:sz="4" w:space="0"/>
                    <w:right w:val="single" w:color="000000" w:sz="4" w:space="0"/>
                  </w:tcBorders>
                  <w:noWrap w:val="0"/>
                  <w:vAlign w:val="center"/>
                </w:tcPr>
                <w:p w14:paraId="1DF5D7B8">
                  <w:pPr>
                    <w:spacing w:line="240" w:lineRule="auto"/>
                    <w:ind w:firstLine="0" w:firstLineChars="0"/>
                    <w:jc w:val="center"/>
                    <w:rPr>
                      <w:color w:val="auto"/>
                      <w:sz w:val="21"/>
                      <w:szCs w:val="21"/>
                      <w:highlight w:val="none"/>
                    </w:rPr>
                  </w:pPr>
                  <w:r>
                    <w:rPr>
                      <w:color w:val="auto"/>
                      <w:sz w:val="21"/>
                      <w:szCs w:val="21"/>
                      <w:highlight w:val="none"/>
                    </w:rPr>
                    <w:t>污染物</w:t>
                  </w:r>
                </w:p>
              </w:tc>
              <w:tc>
                <w:tcPr>
                  <w:tcW w:w="855" w:type="pct"/>
                  <w:tcBorders>
                    <w:left w:val="single" w:color="000000" w:sz="4" w:space="0"/>
                    <w:bottom w:val="single" w:color="000000" w:sz="4" w:space="0"/>
                    <w:right w:val="single" w:color="000000" w:sz="4" w:space="0"/>
                  </w:tcBorders>
                  <w:noWrap w:val="0"/>
                  <w:vAlign w:val="center"/>
                </w:tcPr>
                <w:p w14:paraId="3273E656">
                  <w:pPr>
                    <w:spacing w:line="240" w:lineRule="auto"/>
                    <w:ind w:firstLine="0" w:firstLineChars="0"/>
                    <w:jc w:val="center"/>
                    <w:rPr>
                      <w:color w:val="auto"/>
                      <w:sz w:val="21"/>
                      <w:szCs w:val="21"/>
                      <w:highlight w:val="none"/>
                    </w:rPr>
                  </w:pPr>
                  <w:r>
                    <w:rPr>
                      <w:color w:val="auto"/>
                      <w:sz w:val="21"/>
                      <w:szCs w:val="21"/>
                      <w:highlight w:val="none"/>
                    </w:rPr>
                    <w:t>浓度范围</w:t>
                  </w:r>
                  <w:r>
                    <w:rPr>
                      <w:rFonts w:hint="eastAsia"/>
                      <w:color w:val="auto"/>
                      <w:sz w:val="21"/>
                      <w:szCs w:val="21"/>
                      <w:highlight w:val="none"/>
                    </w:rPr>
                    <w:t>（</w:t>
                  </w:r>
                  <w:r>
                    <w:rPr>
                      <w:color w:val="auto"/>
                      <w:sz w:val="21"/>
                      <w:szCs w:val="21"/>
                      <w:highlight w:val="none"/>
                    </w:rPr>
                    <w:t>μg/m</w:t>
                  </w:r>
                  <w:r>
                    <w:rPr>
                      <w:color w:val="auto"/>
                      <w:sz w:val="21"/>
                      <w:szCs w:val="21"/>
                      <w:highlight w:val="none"/>
                      <w:vertAlign w:val="superscript"/>
                    </w:rPr>
                    <w:t>3</w:t>
                  </w:r>
                  <w:r>
                    <w:rPr>
                      <w:rFonts w:hint="eastAsia"/>
                      <w:color w:val="auto"/>
                      <w:sz w:val="21"/>
                      <w:szCs w:val="21"/>
                      <w:highlight w:val="none"/>
                    </w:rPr>
                    <w:t>）</w:t>
                  </w:r>
                </w:p>
              </w:tc>
              <w:tc>
                <w:tcPr>
                  <w:tcW w:w="619" w:type="pct"/>
                  <w:tcBorders>
                    <w:left w:val="single" w:color="000000" w:sz="4" w:space="0"/>
                    <w:bottom w:val="single" w:color="000000" w:sz="4" w:space="0"/>
                    <w:right w:val="single" w:color="000000" w:sz="4" w:space="0"/>
                  </w:tcBorders>
                  <w:noWrap w:val="0"/>
                  <w:vAlign w:val="center"/>
                </w:tcPr>
                <w:p w14:paraId="269DBD80">
                  <w:pPr>
                    <w:spacing w:line="240" w:lineRule="auto"/>
                    <w:ind w:firstLine="0" w:firstLineChars="0"/>
                    <w:jc w:val="center"/>
                    <w:rPr>
                      <w:color w:val="auto"/>
                      <w:sz w:val="21"/>
                      <w:szCs w:val="21"/>
                      <w:highlight w:val="none"/>
                    </w:rPr>
                  </w:pPr>
                  <w:r>
                    <w:rPr>
                      <w:color w:val="auto"/>
                      <w:sz w:val="21"/>
                      <w:szCs w:val="21"/>
                      <w:highlight w:val="none"/>
                    </w:rPr>
                    <w:t>平均时间</w:t>
                  </w:r>
                </w:p>
              </w:tc>
              <w:tc>
                <w:tcPr>
                  <w:tcW w:w="519" w:type="pct"/>
                  <w:tcBorders>
                    <w:left w:val="single" w:color="000000" w:sz="4" w:space="0"/>
                    <w:bottom w:val="single" w:color="000000" w:sz="4" w:space="0"/>
                    <w:right w:val="single" w:color="000000" w:sz="4" w:space="0"/>
                  </w:tcBorders>
                  <w:noWrap w:val="0"/>
                  <w:vAlign w:val="center"/>
                </w:tcPr>
                <w:p w14:paraId="67637562">
                  <w:pPr>
                    <w:spacing w:line="240" w:lineRule="auto"/>
                    <w:ind w:firstLine="0" w:firstLineChars="0"/>
                    <w:jc w:val="center"/>
                    <w:rPr>
                      <w:color w:val="auto"/>
                      <w:sz w:val="21"/>
                      <w:szCs w:val="21"/>
                      <w:highlight w:val="none"/>
                    </w:rPr>
                  </w:pPr>
                  <w:r>
                    <w:rPr>
                      <w:color w:val="auto"/>
                      <w:sz w:val="21"/>
                      <w:szCs w:val="21"/>
                      <w:highlight w:val="none"/>
                    </w:rPr>
                    <w:t>超标率</w:t>
                  </w:r>
                  <w:r>
                    <w:rPr>
                      <w:rFonts w:hint="eastAsia"/>
                      <w:color w:val="auto"/>
                      <w:kern w:val="0"/>
                      <w:sz w:val="21"/>
                      <w:szCs w:val="21"/>
                      <w:highlight w:val="none"/>
                    </w:rPr>
                    <w:t>（%）</w:t>
                  </w:r>
                </w:p>
              </w:tc>
              <w:tc>
                <w:tcPr>
                  <w:tcW w:w="551" w:type="pct"/>
                  <w:tcBorders>
                    <w:left w:val="single" w:color="000000" w:sz="4" w:space="0"/>
                    <w:bottom w:val="single" w:color="000000" w:sz="4" w:space="0"/>
                    <w:right w:val="single" w:color="000000" w:sz="4" w:space="0"/>
                  </w:tcBorders>
                  <w:noWrap w:val="0"/>
                  <w:vAlign w:val="center"/>
                </w:tcPr>
                <w:p w14:paraId="6712D957">
                  <w:pPr>
                    <w:spacing w:line="240" w:lineRule="auto"/>
                    <w:ind w:firstLine="0" w:firstLineChars="0"/>
                    <w:jc w:val="center"/>
                    <w:rPr>
                      <w:color w:val="auto"/>
                      <w:sz w:val="21"/>
                      <w:szCs w:val="21"/>
                      <w:highlight w:val="none"/>
                    </w:rPr>
                  </w:pPr>
                  <w:r>
                    <w:rPr>
                      <w:color w:val="auto"/>
                      <w:sz w:val="21"/>
                      <w:szCs w:val="21"/>
                      <w:highlight w:val="none"/>
                    </w:rPr>
                    <w:t>标准值</w:t>
                  </w:r>
                </w:p>
                <w:p w14:paraId="219A79E9">
                  <w:pPr>
                    <w:spacing w:line="240" w:lineRule="auto"/>
                    <w:ind w:firstLine="0" w:firstLineChars="0"/>
                    <w:jc w:val="center"/>
                    <w:rPr>
                      <w:color w:val="auto"/>
                      <w:sz w:val="21"/>
                      <w:szCs w:val="21"/>
                      <w:highlight w:val="none"/>
                    </w:rPr>
                  </w:pPr>
                  <w:r>
                    <w:rPr>
                      <w:rFonts w:hint="eastAsia"/>
                      <w:color w:val="auto"/>
                      <w:sz w:val="21"/>
                      <w:szCs w:val="21"/>
                      <w:highlight w:val="none"/>
                    </w:rPr>
                    <w:t>（</w:t>
                  </w:r>
                  <w:r>
                    <w:rPr>
                      <w:color w:val="auto"/>
                      <w:sz w:val="21"/>
                      <w:szCs w:val="21"/>
                      <w:highlight w:val="none"/>
                    </w:rPr>
                    <w:t>μg/m</w:t>
                  </w:r>
                  <w:r>
                    <w:rPr>
                      <w:color w:val="auto"/>
                      <w:sz w:val="21"/>
                      <w:szCs w:val="21"/>
                      <w:highlight w:val="none"/>
                      <w:vertAlign w:val="superscript"/>
                    </w:rPr>
                    <w:t>3</w:t>
                  </w:r>
                  <w:r>
                    <w:rPr>
                      <w:rFonts w:hint="eastAsia"/>
                      <w:color w:val="auto"/>
                      <w:sz w:val="21"/>
                      <w:szCs w:val="21"/>
                      <w:highlight w:val="none"/>
                    </w:rPr>
                    <w:t>）</w:t>
                  </w:r>
                </w:p>
              </w:tc>
              <w:tc>
                <w:tcPr>
                  <w:tcW w:w="629" w:type="pct"/>
                  <w:tcBorders>
                    <w:left w:val="single" w:color="000000" w:sz="4" w:space="0"/>
                    <w:bottom w:val="single" w:color="000000" w:sz="4" w:space="0"/>
                    <w:right w:val="single" w:color="000000" w:sz="4" w:space="0"/>
                  </w:tcBorders>
                  <w:noWrap w:val="0"/>
                  <w:vAlign w:val="center"/>
                </w:tcPr>
                <w:p w14:paraId="47BBEDF2">
                  <w:pPr>
                    <w:spacing w:line="240" w:lineRule="auto"/>
                    <w:ind w:firstLine="0" w:firstLineChars="0"/>
                    <w:jc w:val="center"/>
                    <w:rPr>
                      <w:color w:val="auto"/>
                      <w:sz w:val="21"/>
                      <w:szCs w:val="21"/>
                      <w:highlight w:val="none"/>
                    </w:rPr>
                  </w:pPr>
                  <w:r>
                    <w:rPr>
                      <w:color w:val="auto"/>
                      <w:sz w:val="21"/>
                      <w:szCs w:val="21"/>
                      <w:highlight w:val="none"/>
                    </w:rPr>
                    <w:t>最大浓度占标率</w:t>
                  </w:r>
                  <w:r>
                    <w:rPr>
                      <w:rFonts w:hint="eastAsia"/>
                      <w:color w:val="auto"/>
                      <w:kern w:val="0"/>
                      <w:sz w:val="21"/>
                      <w:szCs w:val="21"/>
                      <w:highlight w:val="none"/>
                    </w:rPr>
                    <w:t>（%）</w:t>
                  </w:r>
                </w:p>
              </w:tc>
              <w:tc>
                <w:tcPr>
                  <w:tcW w:w="504" w:type="pct"/>
                  <w:tcBorders>
                    <w:left w:val="single" w:color="000000" w:sz="4" w:space="0"/>
                    <w:bottom w:val="single" w:color="000000" w:sz="4" w:space="0"/>
                    <w:right w:val="nil"/>
                  </w:tcBorders>
                  <w:noWrap w:val="0"/>
                  <w:vAlign w:val="center"/>
                </w:tcPr>
                <w:p w14:paraId="72BE1878">
                  <w:pPr>
                    <w:spacing w:line="240" w:lineRule="auto"/>
                    <w:ind w:firstLine="0" w:firstLineChars="0"/>
                    <w:jc w:val="center"/>
                    <w:rPr>
                      <w:color w:val="auto"/>
                      <w:sz w:val="21"/>
                      <w:szCs w:val="21"/>
                      <w:highlight w:val="none"/>
                    </w:rPr>
                  </w:pPr>
                  <w:r>
                    <w:rPr>
                      <w:color w:val="auto"/>
                      <w:sz w:val="21"/>
                      <w:szCs w:val="21"/>
                      <w:highlight w:val="none"/>
                    </w:rPr>
                    <w:t>达标情况</w:t>
                  </w:r>
                </w:p>
              </w:tc>
            </w:tr>
            <w:tr w14:paraId="03341E0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92" w:type="pct"/>
                  <w:tcBorders>
                    <w:top w:val="single" w:color="000000" w:sz="4" w:space="0"/>
                    <w:left w:val="nil"/>
                    <w:right w:val="single" w:color="000000" w:sz="4" w:space="0"/>
                  </w:tcBorders>
                  <w:noWrap w:val="0"/>
                  <w:vAlign w:val="center"/>
                </w:tcPr>
                <w:p w14:paraId="05BE5F32">
                  <w:pPr>
                    <w:spacing w:line="240" w:lineRule="auto"/>
                    <w:ind w:firstLine="0" w:firstLineChars="0"/>
                    <w:jc w:val="center"/>
                    <w:rPr>
                      <w:rFonts w:hint="eastAsia" w:eastAsia="宋体"/>
                      <w:color w:val="auto"/>
                      <w:sz w:val="21"/>
                      <w:szCs w:val="21"/>
                      <w:highlight w:val="none"/>
                      <w:lang w:eastAsia="zh-CN"/>
                    </w:rPr>
                  </w:pPr>
                  <w:r>
                    <w:rPr>
                      <w:rFonts w:hint="eastAsia"/>
                      <w:color w:val="auto"/>
                      <w:kern w:val="0"/>
                      <w:sz w:val="21"/>
                      <w:szCs w:val="21"/>
                      <w:highlight w:val="none"/>
                    </w:rPr>
                    <w:t>黑龙江东升省级自然保护区</w:t>
                  </w:r>
                </w:p>
              </w:tc>
              <w:tc>
                <w:tcPr>
                  <w:tcW w:w="527" w:type="pct"/>
                  <w:tcBorders>
                    <w:top w:val="single" w:color="000000" w:sz="4" w:space="0"/>
                    <w:left w:val="single" w:color="000000" w:sz="4" w:space="0"/>
                    <w:right w:val="single" w:color="000000" w:sz="4" w:space="0"/>
                  </w:tcBorders>
                  <w:noWrap w:val="0"/>
                  <w:vAlign w:val="center"/>
                </w:tcPr>
                <w:p w14:paraId="47B94F4E">
                  <w:pPr>
                    <w:spacing w:line="240" w:lineRule="auto"/>
                    <w:ind w:firstLine="0" w:firstLineChars="0"/>
                    <w:jc w:val="center"/>
                    <w:rPr>
                      <w:color w:val="auto"/>
                      <w:sz w:val="21"/>
                      <w:szCs w:val="21"/>
                      <w:highlight w:val="none"/>
                    </w:rPr>
                  </w:pPr>
                  <w:r>
                    <w:rPr>
                      <w:color w:val="auto"/>
                      <w:sz w:val="21"/>
                      <w:szCs w:val="21"/>
                      <w:highlight w:val="none"/>
                    </w:rPr>
                    <w:t>O</w:t>
                  </w:r>
                  <w:r>
                    <w:rPr>
                      <w:color w:val="auto"/>
                      <w:sz w:val="21"/>
                      <w:szCs w:val="21"/>
                      <w:highlight w:val="none"/>
                      <w:vertAlign w:val="subscript"/>
                    </w:rPr>
                    <w:t>3</w:t>
                  </w:r>
                </w:p>
              </w:tc>
              <w:tc>
                <w:tcPr>
                  <w:tcW w:w="855" w:type="pct"/>
                  <w:tcBorders>
                    <w:top w:val="single" w:color="000000" w:sz="4" w:space="0"/>
                    <w:left w:val="single" w:color="000000" w:sz="4" w:space="0"/>
                    <w:right w:val="single" w:color="000000" w:sz="4" w:space="0"/>
                  </w:tcBorders>
                  <w:noWrap w:val="0"/>
                  <w:vAlign w:val="center"/>
                </w:tcPr>
                <w:p w14:paraId="73D55DF7">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24-30</w:t>
                  </w:r>
                </w:p>
              </w:tc>
              <w:tc>
                <w:tcPr>
                  <w:tcW w:w="619" w:type="pct"/>
                  <w:tcBorders>
                    <w:top w:val="single" w:color="000000" w:sz="4" w:space="0"/>
                    <w:left w:val="single" w:color="000000" w:sz="4" w:space="0"/>
                    <w:right w:val="single" w:color="000000" w:sz="4" w:space="0"/>
                  </w:tcBorders>
                  <w:noWrap w:val="0"/>
                  <w:vAlign w:val="center"/>
                </w:tcPr>
                <w:p w14:paraId="223F9862">
                  <w:pPr>
                    <w:spacing w:line="240" w:lineRule="auto"/>
                    <w:ind w:firstLine="0" w:firstLineChars="0"/>
                    <w:jc w:val="center"/>
                    <w:rPr>
                      <w:color w:val="auto"/>
                      <w:sz w:val="21"/>
                      <w:szCs w:val="21"/>
                      <w:highlight w:val="none"/>
                    </w:rPr>
                  </w:pPr>
                  <w:r>
                    <w:rPr>
                      <w:color w:val="auto"/>
                      <w:sz w:val="21"/>
                      <w:szCs w:val="21"/>
                      <w:highlight w:val="none"/>
                    </w:rPr>
                    <w:t>8h平均</w:t>
                  </w:r>
                </w:p>
              </w:tc>
              <w:tc>
                <w:tcPr>
                  <w:tcW w:w="519" w:type="pct"/>
                  <w:tcBorders>
                    <w:top w:val="single" w:color="000000" w:sz="4" w:space="0"/>
                    <w:left w:val="single" w:color="000000" w:sz="4" w:space="0"/>
                    <w:right w:val="single" w:color="000000" w:sz="4" w:space="0"/>
                  </w:tcBorders>
                  <w:noWrap w:val="0"/>
                  <w:vAlign w:val="center"/>
                </w:tcPr>
                <w:p w14:paraId="01F915CA">
                  <w:pPr>
                    <w:spacing w:line="240" w:lineRule="auto"/>
                    <w:ind w:firstLine="0" w:firstLineChars="0"/>
                    <w:jc w:val="center"/>
                    <w:rPr>
                      <w:color w:val="auto"/>
                      <w:sz w:val="21"/>
                      <w:szCs w:val="21"/>
                      <w:highlight w:val="none"/>
                    </w:rPr>
                  </w:pPr>
                  <w:r>
                    <w:rPr>
                      <w:color w:val="auto"/>
                      <w:sz w:val="21"/>
                      <w:szCs w:val="21"/>
                      <w:highlight w:val="none"/>
                    </w:rPr>
                    <w:t>0</w:t>
                  </w:r>
                </w:p>
              </w:tc>
              <w:tc>
                <w:tcPr>
                  <w:tcW w:w="551" w:type="pct"/>
                  <w:tcBorders>
                    <w:top w:val="single" w:color="000000" w:sz="4" w:space="0"/>
                    <w:left w:val="single" w:color="000000" w:sz="4" w:space="0"/>
                    <w:right w:val="single" w:color="000000" w:sz="4" w:space="0"/>
                  </w:tcBorders>
                  <w:noWrap w:val="0"/>
                  <w:vAlign w:val="center"/>
                </w:tcPr>
                <w:p w14:paraId="3A4E20A0">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100</w:t>
                  </w:r>
                </w:p>
              </w:tc>
              <w:tc>
                <w:tcPr>
                  <w:tcW w:w="629" w:type="pct"/>
                  <w:tcBorders>
                    <w:top w:val="single" w:color="000000" w:sz="4" w:space="0"/>
                    <w:left w:val="single" w:color="000000" w:sz="4" w:space="0"/>
                    <w:right w:val="single" w:color="000000" w:sz="4" w:space="0"/>
                  </w:tcBorders>
                  <w:noWrap w:val="0"/>
                  <w:vAlign w:val="center"/>
                </w:tcPr>
                <w:p w14:paraId="2DABB977">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30</w:t>
                  </w:r>
                </w:p>
              </w:tc>
              <w:tc>
                <w:tcPr>
                  <w:tcW w:w="504" w:type="pct"/>
                  <w:tcBorders>
                    <w:top w:val="single" w:color="000000" w:sz="4" w:space="0"/>
                    <w:left w:val="single" w:color="000000" w:sz="4" w:space="0"/>
                    <w:right w:val="nil"/>
                  </w:tcBorders>
                  <w:noWrap w:val="0"/>
                  <w:vAlign w:val="center"/>
                </w:tcPr>
                <w:p w14:paraId="5AFCF34D">
                  <w:pPr>
                    <w:spacing w:line="240" w:lineRule="auto"/>
                    <w:ind w:firstLine="0" w:firstLineChars="0"/>
                    <w:jc w:val="center"/>
                    <w:rPr>
                      <w:color w:val="auto"/>
                      <w:sz w:val="21"/>
                      <w:szCs w:val="21"/>
                      <w:highlight w:val="none"/>
                    </w:rPr>
                  </w:pPr>
                  <w:r>
                    <w:rPr>
                      <w:color w:val="auto"/>
                      <w:sz w:val="21"/>
                      <w:szCs w:val="21"/>
                      <w:highlight w:val="none"/>
                    </w:rPr>
                    <w:t>达标</w:t>
                  </w:r>
                </w:p>
              </w:tc>
            </w:tr>
          </w:tbl>
          <w:p w14:paraId="75F83B5A">
            <w:pPr>
              <w:pStyle w:val="7"/>
              <w:rPr>
                <w:rFonts w:hint="eastAsia"/>
                <w:color w:val="auto"/>
                <w:highlight w:val="none"/>
              </w:rPr>
            </w:pPr>
            <w:r>
              <w:rPr>
                <w:rFonts w:hint="eastAsia"/>
                <w:color w:val="auto"/>
                <w:highlight w:val="none"/>
              </w:rPr>
              <w:t>由表</w:t>
            </w:r>
            <w:r>
              <w:rPr>
                <w:rFonts w:hint="eastAsia"/>
                <w:color w:val="auto"/>
                <w:highlight w:val="none"/>
                <w:lang w:val="en-US" w:eastAsia="zh-CN"/>
              </w:rPr>
              <w:t>3-2</w:t>
            </w:r>
            <w:r>
              <w:rPr>
                <w:rFonts w:hint="eastAsia" w:ascii="宋体" w:hAnsi="宋体" w:cs="宋体"/>
                <w:color w:val="auto"/>
                <w:highlight w:val="none"/>
              </w:rPr>
              <w:t>～</w:t>
            </w:r>
            <w:r>
              <w:rPr>
                <w:rFonts w:hint="eastAsia"/>
                <w:color w:val="auto"/>
                <w:highlight w:val="none"/>
              </w:rPr>
              <w:t>表</w:t>
            </w:r>
            <w:r>
              <w:rPr>
                <w:rFonts w:hint="eastAsia"/>
                <w:color w:val="auto"/>
                <w:highlight w:val="none"/>
                <w:lang w:val="en-US" w:eastAsia="zh-CN"/>
              </w:rPr>
              <w:t>3-4</w:t>
            </w:r>
            <w:r>
              <w:rPr>
                <w:rFonts w:hint="eastAsia"/>
                <w:color w:val="auto"/>
                <w:highlight w:val="none"/>
              </w:rPr>
              <w:t>可以看出：监测</w:t>
            </w:r>
            <w:r>
              <w:rPr>
                <w:rFonts w:hint="eastAsia"/>
                <w:color w:val="auto"/>
                <w:sz w:val="24"/>
                <w:szCs w:val="24"/>
                <w:highlight w:val="none"/>
              </w:rPr>
              <w:t>期间</w:t>
            </w:r>
            <w:r>
              <w:rPr>
                <w:rFonts w:hint="eastAsia"/>
                <w:color w:val="auto"/>
                <w:kern w:val="0"/>
                <w:sz w:val="24"/>
                <w:szCs w:val="24"/>
                <w:highlight w:val="none"/>
              </w:rPr>
              <w:t>黑龙江东升省级自然保护区</w:t>
            </w:r>
            <w:r>
              <w:rPr>
                <w:rFonts w:hint="eastAsia"/>
                <w:color w:val="auto"/>
                <w:sz w:val="24"/>
                <w:szCs w:val="24"/>
                <w:highlight w:val="none"/>
              </w:rPr>
              <w:t>内</w:t>
            </w:r>
            <w:r>
              <w:rPr>
                <w:rFonts w:hint="eastAsia"/>
                <w:color w:val="auto"/>
                <w:highlight w:val="none"/>
              </w:rPr>
              <w:t>的SO</w:t>
            </w:r>
            <w:r>
              <w:rPr>
                <w:rFonts w:hint="eastAsia"/>
                <w:color w:val="auto"/>
                <w:highlight w:val="none"/>
                <w:vertAlign w:val="subscript"/>
              </w:rPr>
              <w:t>2</w:t>
            </w:r>
            <w:r>
              <w:rPr>
                <w:rFonts w:hint="eastAsia"/>
                <w:color w:val="auto"/>
                <w:highlight w:val="none"/>
              </w:rPr>
              <w:t>、NO</w:t>
            </w:r>
            <w:r>
              <w:rPr>
                <w:rFonts w:hint="eastAsia"/>
                <w:color w:val="auto"/>
                <w:highlight w:val="none"/>
                <w:vertAlign w:val="subscript"/>
              </w:rPr>
              <w:t>2</w:t>
            </w:r>
            <w:r>
              <w:rPr>
                <w:rFonts w:hint="eastAsia"/>
                <w:color w:val="auto"/>
                <w:highlight w:val="none"/>
              </w:rPr>
              <w:t>、PM</w:t>
            </w:r>
            <w:r>
              <w:rPr>
                <w:rFonts w:hint="eastAsia"/>
                <w:color w:val="auto"/>
                <w:highlight w:val="none"/>
                <w:vertAlign w:val="subscript"/>
              </w:rPr>
              <w:t>2.5</w:t>
            </w:r>
            <w:r>
              <w:rPr>
                <w:rFonts w:hint="eastAsia"/>
                <w:color w:val="auto"/>
                <w:highlight w:val="none"/>
              </w:rPr>
              <w:t>、PM</w:t>
            </w:r>
            <w:r>
              <w:rPr>
                <w:rFonts w:hint="eastAsia"/>
                <w:color w:val="auto"/>
                <w:highlight w:val="none"/>
                <w:vertAlign w:val="subscript"/>
              </w:rPr>
              <w:t>10</w:t>
            </w:r>
            <w:r>
              <w:rPr>
                <w:rFonts w:hint="eastAsia"/>
                <w:color w:val="auto"/>
                <w:highlight w:val="none"/>
              </w:rPr>
              <w:t>、O</w:t>
            </w:r>
            <w:r>
              <w:rPr>
                <w:rFonts w:hint="eastAsia"/>
                <w:color w:val="auto"/>
                <w:highlight w:val="none"/>
                <w:vertAlign w:val="subscript"/>
              </w:rPr>
              <w:t>3</w:t>
            </w:r>
            <w:r>
              <w:rPr>
                <w:rFonts w:hint="eastAsia"/>
                <w:color w:val="auto"/>
                <w:highlight w:val="none"/>
              </w:rPr>
              <w:t>、CO</w:t>
            </w:r>
            <w:r>
              <w:rPr>
                <w:rFonts w:hint="eastAsia"/>
                <w:color w:val="auto"/>
                <w:highlight w:val="none"/>
                <w:lang w:eastAsia="zh-CN"/>
              </w:rPr>
              <w:t>、</w:t>
            </w:r>
            <w:r>
              <w:rPr>
                <w:rFonts w:hint="eastAsia"/>
                <w:color w:val="auto"/>
                <w:highlight w:val="none"/>
                <w:lang w:val="en-US" w:eastAsia="zh-CN"/>
              </w:rPr>
              <w:t>TSP</w:t>
            </w:r>
            <w:r>
              <w:rPr>
                <w:rFonts w:hint="eastAsia"/>
                <w:color w:val="auto"/>
                <w:highlight w:val="none"/>
              </w:rPr>
              <w:t>监测值均符合国家《环境空气质量标准》（GB3095</w:t>
            </w:r>
            <w:r>
              <w:rPr>
                <w:rFonts w:hint="eastAsia" w:eastAsia="黑体" w:cs="Times New Roman"/>
                <w:color w:val="auto"/>
                <w:sz w:val="24"/>
                <w:szCs w:val="24"/>
                <w:highlight w:val="none"/>
                <w:lang w:val="en-US" w:eastAsia="zh-CN"/>
              </w:rPr>
              <w:t>—</w:t>
            </w:r>
            <w:r>
              <w:rPr>
                <w:rFonts w:hint="eastAsia"/>
                <w:color w:val="auto"/>
                <w:highlight w:val="none"/>
              </w:rPr>
              <w:t>20</w:t>
            </w:r>
            <w:r>
              <w:rPr>
                <w:rFonts w:hint="eastAsia"/>
                <w:color w:val="auto"/>
                <w:highlight w:val="none"/>
                <w:lang w:val="en-US" w:eastAsia="zh-CN"/>
              </w:rPr>
              <w:t>26</w:t>
            </w:r>
            <w:r>
              <w:rPr>
                <w:rFonts w:hint="eastAsia"/>
                <w:color w:val="auto"/>
                <w:highlight w:val="none"/>
              </w:rPr>
              <w:t>）中的</w:t>
            </w:r>
            <w:r>
              <w:rPr>
                <w:color w:val="auto"/>
                <w:kern w:val="0"/>
              </w:rPr>
              <w:t>过渡阶段</w:t>
            </w:r>
            <w:r>
              <w:rPr>
                <w:rFonts w:hint="eastAsia"/>
                <w:color w:val="auto"/>
                <w:highlight w:val="none"/>
              </w:rPr>
              <w:t>一级标准要求。</w:t>
            </w:r>
          </w:p>
          <w:p w14:paraId="766B24ED">
            <w:pPr>
              <w:ind w:firstLine="480"/>
              <w:rPr>
                <w:rFonts w:hint="default" w:ascii="Times New Roman" w:hAnsi="Times New Roman" w:eastAsia="宋体" w:cs="Times New Roman"/>
                <w:color w:val="auto"/>
                <w:kern w:val="0"/>
                <w:highlight w:val="none"/>
              </w:rPr>
            </w:pPr>
            <w:r>
              <w:rPr>
                <w:rFonts w:hint="default" w:ascii="Times New Roman" w:hAnsi="Times New Roman" w:eastAsia="宋体" w:cs="Times New Roman"/>
                <w:color w:val="auto"/>
                <w:kern w:val="0"/>
                <w:highlight w:val="none"/>
                <w:lang w:val="en-US" w:eastAsia="zh-CN"/>
              </w:rPr>
              <w:t>3</w:t>
            </w:r>
            <w:r>
              <w:rPr>
                <w:rFonts w:hint="default" w:ascii="Times New Roman" w:hAnsi="Times New Roman" w:eastAsia="宋体" w:cs="Times New Roman"/>
                <w:color w:val="auto"/>
                <w:kern w:val="0"/>
                <w:highlight w:val="none"/>
              </w:rPr>
              <w:t>、地表水环境</w:t>
            </w:r>
          </w:p>
          <w:p w14:paraId="1565D65F">
            <w:pPr>
              <w:keepNext w:val="0"/>
              <w:keepLines w:val="0"/>
              <w:widowControl/>
              <w:suppressLineNumbers w:val="0"/>
              <w:jc w:val="both"/>
              <w:rPr>
                <w:rFonts w:hint="default" w:ascii="Times New Roman" w:hAnsi="Times New Roman" w:eastAsia="宋体" w:cs="Times New Roman"/>
                <w:color w:val="auto"/>
                <w:kern w:val="0"/>
                <w:sz w:val="24"/>
                <w:szCs w:val="24"/>
                <w:highlight w:val="none"/>
                <w:lang w:eastAsia="zh-CN"/>
              </w:rPr>
            </w:pPr>
            <w:r>
              <w:rPr>
                <w:rFonts w:hint="default" w:ascii="Times New Roman" w:hAnsi="Times New Roman" w:eastAsia="宋体" w:cs="Times New Roman"/>
                <w:color w:val="auto"/>
                <w:kern w:val="0"/>
                <w:sz w:val="24"/>
                <w:szCs w:val="24"/>
                <w:highlight w:val="none"/>
                <w:lang w:eastAsia="zh-CN"/>
              </w:rPr>
              <w:t>本项目利用桥梁跨越挠力河、蛤蟆通河支流。根据《</w:t>
            </w:r>
            <w:r>
              <w:rPr>
                <w:rFonts w:hint="default" w:ascii="Times New Roman" w:hAnsi="Times New Roman" w:eastAsia="宋体" w:cs="Times New Roman"/>
                <w:color w:val="auto"/>
                <w:kern w:val="0"/>
                <w:sz w:val="24"/>
                <w:szCs w:val="24"/>
                <w:highlight w:val="none"/>
                <w:lang w:val="en-US" w:eastAsia="zh-CN"/>
              </w:rPr>
              <w:t>黑龙江省地表水功能区标准</w:t>
            </w:r>
            <w:r>
              <w:rPr>
                <w:rFonts w:hint="default" w:ascii="Times New Roman" w:hAnsi="Times New Roman" w:eastAsia="宋体" w:cs="Times New Roman"/>
                <w:color w:val="auto"/>
                <w:kern w:val="0"/>
                <w:sz w:val="24"/>
                <w:szCs w:val="24"/>
                <w:highlight w:val="none"/>
                <w:lang w:eastAsia="zh-CN"/>
              </w:rPr>
              <w:t>》</w:t>
            </w:r>
            <w:r>
              <w:rPr>
                <w:rFonts w:hint="default" w:ascii="Times New Roman" w:hAnsi="Times New Roman" w:eastAsia="宋体" w:cs="Times New Roman"/>
                <w:color w:val="auto"/>
                <w:kern w:val="0"/>
                <w:sz w:val="24"/>
                <w:szCs w:val="24"/>
                <w:highlight w:val="none"/>
                <w:lang w:val="en-US" w:eastAsia="zh-CN"/>
              </w:rPr>
              <w:t>（DB23/T740-2003）</w:t>
            </w:r>
            <w:r>
              <w:rPr>
                <w:rFonts w:hint="default" w:ascii="Times New Roman" w:hAnsi="Times New Roman" w:eastAsia="宋体" w:cs="Times New Roman"/>
                <w:color w:val="auto"/>
                <w:kern w:val="0"/>
                <w:sz w:val="24"/>
                <w:szCs w:val="24"/>
                <w:highlight w:val="none"/>
                <w:lang w:eastAsia="zh-CN"/>
              </w:rPr>
              <w:t>可知，项目所在区域挠力河水功能区起始断面为</w:t>
            </w:r>
            <w:r>
              <w:rPr>
                <w:rFonts w:hint="default" w:ascii="Times New Roman" w:hAnsi="Times New Roman" w:eastAsia="宋体" w:cs="Times New Roman"/>
                <w:color w:val="auto"/>
                <w:kern w:val="0"/>
                <w:sz w:val="24"/>
                <w:szCs w:val="24"/>
                <w:lang w:val="en-US" w:eastAsia="zh-CN" w:bidi="ar"/>
              </w:rPr>
              <w:t>龙头桥水库库尾</w:t>
            </w:r>
            <w:r>
              <w:rPr>
                <w:rFonts w:hint="default" w:ascii="Times New Roman" w:hAnsi="Times New Roman" w:eastAsia="宋体" w:cs="Times New Roman"/>
                <w:color w:val="auto"/>
                <w:kern w:val="0"/>
                <w:sz w:val="24"/>
                <w:szCs w:val="24"/>
                <w:highlight w:val="none"/>
                <w:lang w:eastAsia="zh-CN"/>
              </w:rPr>
              <w:t>，终止断面为</w:t>
            </w:r>
            <w:r>
              <w:rPr>
                <w:rFonts w:hint="default" w:ascii="Times New Roman" w:hAnsi="Times New Roman" w:eastAsia="宋体" w:cs="Times New Roman"/>
                <w:color w:val="auto"/>
                <w:kern w:val="0"/>
                <w:sz w:val="24"/>
                <w:szCs w:val="24"/>
                <w:lang w:val="en-US" w:eastAsia="zh-CN" w:bidi="ar"/>
              </w:rPr>
              <w:t>大、小挠力河汇合口</w:t>
            </w:r>
            <w:r>
              <w:rPr>
                <w:rFonts w:hint="default" w:ascii="Times New Roman" w:hAnsi="Times New Roman" w:eastAsia="宋体" w:cs="Times New Roman"/>
                <w:color w:val="auto"/>
                <w:kern w:val="0"/>
                <w:sz w:val="24"/>
                <w:szCs w:val="24"/>
                <w:highlight w:val="none"/>
                <w:lang w:eastAsia="zh-CN"/>
              </w:rPr>
              <w:t>，水质目标为</w:t>
            </w:r>
            <w:r>
              <w:rPr>
                <w:rFonts w:hint="default" w:ascii="Times New Roman" w:hAnsi="Times New Roman" w:eastAsia="宋体" w:cs="Times New Roman"/>
                <w:color w:val="auto"/>
                <w:kern w:val="0"/>
                <w:sz w:val="24"/>
                <w:szCs w:val="24"/>
                <w:highlight w:val="none"/>
                <w:lang w:eastAsia="zh-CN"/>
              </w:rPr>
              <w:fldChar w:fldCharType="begin"/>
            </w:r>
            <w:r>
              <w:rPr>
                <w:rFonts w:hint="default" w:ascii="Times New Roman" w:hAnsi="Times New Roman" w:eastAsia="宋体" w:cs="Times New Roman"/>
                <w:color w:val="auto"/>
                <w:kern w:val="0"/>
                <w:sz w:val="24"/>
                <w:szCs w:val="24"/>
                <w:highlight w:val="none"/>
                <w:lang w:eastAsia="zh-CN"/>
              </w:rPr>
              <w:instrText xml:space="preserve"> = 3 \* ROMAN \* MERGEFORMAT </w:instrText>
            </w:r>
            <w:r>
              <w:rPr>
                <w:rFonts w:hint="default" w:ascii="Times New Roman" w:hAnsi="Times New Roman" w:eastAsia="宋体" w:cs="Times New Roman"/>
                <w:color w:val="auto"/>
                <w:kern w:val="0"/>
                <w:sz w:val="24"/>
                <w:szCs w:val="24"/>
                <w:highlight w:val="none"/>
                <w:lang w:eastAsia="zh-CN"/>
              </w:rPr>
              <w:fldChar w:fldCharType="separate"/>
            </w:r>
            <w:r>
              <w:rPr>
                <w:rFonts w:hint="default" w:ascii="Times New Roman" w:hAnsi="Times New Roman" w:eastAsia="宋体" w:cs="Times New Roman"/>
                <w:color w:val="auto"/>
                <w:sz w:val="24"/>
                <w:szCs w:val="24"/>
              </w:rPr>
              <w:t>III</w:t>
            </w:r>
            <w:r>
              <w:rPr>
                <w:rFonts w:hint="default" w:ascii="Times New Roman" w:hAnsi="Times New Roman" w:eastAsia="宋体" w:cs="Times New Roman"/>
                <w:color w:val="auto"/>
                <w:kern w:val="0"/>
                <w:sz w:val="24"/>
                <w:szCs w:val="24"/>
                <w:highlight w:val="none"/>
                <w:lang w:eastAsia="zh-CN"/>
              </w:rPr>
              <w:fldChar w:fldCharType="end"/>
            </w:r>
            <w:r>
              <w:rPr>
                <w:rFonts w:hint="default" w:ascii="Times New Roman" w:hAnsi="Times New Roman" w:eastAsia="宋体" w:cs="Times New Roman"/>
                <w:color w:val="auto"/>
                <w:kern w:val="0"/>
                <w:sz w:val="24"/>
                <w:szCs w:val="24"/>
                <w:highlight w:val="none"/>
                <w:lang w:eastAsia="zh-CN"/>
              </w:rPr>
              <w:t>类；蛤蟆通河支流水功能区起始断面为</w:t>
            </w:r>
            <w:r>
              <w:rPr>
                <w:rFonts w:hint="default" w:ascii="Times New Roman" w:hAnsi="Times New Roman" w:eastAsia="宋体" w:cs="Times New Roman"/>
                <w:color w:val="auto"/>
                <w:kern w:val="0"/>
                <w:sz w:val="24"/>
                <w:szCs w:val="24"/>
                <w:highlight w:val="none"/>
                <w:lang w:val="en-US" w:eastAsia="zh-CN"/>
              </w:rPr>
              <w:t>蛤蟆通水库库尾</w:t>
            </w:r>
            <w:r>
              <w:rPr>
                <w:rFonts w:hint="default" w:ascii="Times New Roman" w:hAnsi="Times New Roman" w:eastAsia="宋体" w:cs="Times New Roman"/>
                <w:color w:val="auto"/>
                <w:kern w:val="0"/>
                <w:sz w:val="24"/>
                <w:szCs w:val="24"/>
                <w:highlight w:val="none"/>
                <w:lang w:eastAsia="zh-CN"/>
              </w:rPr>
              <w:t>，终止断面为</w:t>
            </w:r>
            <w:r>
              <w:rPr>
                <w:rFonts w:hint="default" w:ascii="Times New Roman" w:hAnsi="Times New Roman" w:eastAsia="宋体" w:cs="Times New Roman"/>
                <w:color w:val="auto"/>
                <w:kern w:val="0"/>
                <w:sz w:val="24"/>
                <w:szCs w:val="24"/>
                <w:highlight w:val="none"/>
                <w:lang w:val="en-US" w:eastAsia="zh-CN"/>
              </w:rPr>
              <w:t>入挠力河河口</w:t>
            </w:r>
            <w:r>
              <w:rPr>
                <w:rFonts w:hint="default" w:ascii="Times New Roman" w:hAnsi="Times New Roman" w:eastAsia="宋体" w:cs="Times New Roman"/>
                <w:color w:val="auto"/>
                <w:kern w:val="0"/>
                <w:sz w:val="24"/>
                <w:szCs w:val="24"/>
                <w:highlight w:val="none"/>
                <w:lang w:eastAsia="zh-CN"/>
              </w:rPr>
              <w:t>，水质目标为</w:t>
            </w:r>
            <w:r>
              <w:rPr>
                <w:rFonts w:hint="default" w:ascii="Times New Roman" w:hAnsi="Times New Roman" w:eastAsia="宋体" w:cs="Times New Roman"/>
                <w:color w:val="auto"/>
                <w:kern w:val="0"/>
                <w:sz w:val="24"/>
                <w:szCs w:val="24"/>
                <w:highlight w:val="none"/>
                <w:lang w:eastAsia="zh-CN"/>
              </w:rPr>
              <w:fldChar w:fldCharType="begin"/>
            </w:r>
            <w:r>
              <w:rPr>
                <w:rFonts w:hint="default" w:ascii="Times New Roman" w:hAnsi="Times New Roman" w:eastAsia="宋体" w:cs="Times New Roman"/>
                <w:color w:val="auto"/>
                <w:kern w:val="0"/>
                <w:sz w:val="24"/>
                <w:szCs w:val="24"/>
                <w:highlight w:val="none"/>
                <w:lang w:eastAsia="zh-CN"/>
              </w:rPr>
              <w:instrText xml:space="preserve"> = 4 \* ROMAN \* MERGEFORMAT </w:instrText>
            </w:r>
            <w:r>
              <w:rPr>
                <w:rFonts w:hint="default" w:ascii="Times New Roman" w:hAnsi="Times New Roman" w:eastAsia="宋体" w:cs="Times New Roman"/>
                <w:color w:val="auto"/>
                <w:kern w:val="0"/>
                <w:sz w:val="24"/>
                <w:szCs w:val="24"/>
                <w:highlight w:val="none"/>
                <w:lang w:eastAsia="zh-CN"/>
              </w:rPr>
              <w:fldChar w:fldCharType="separate"/>
            </w:r>
            <w:r>
              <w:rPr>
                <w:rFonts w:hint="default" w:ascii="Times New Roman" w:hAnsi="Times New Roman" w:eastAsia="宋体" w:cs="Times New Roman"/>
                <w:color w:val="auto"/>
                <w:kern w:val="0"/>
                <w:sz w:val="24"/>
                <w:szCs w:val="24"/>
                <w:highlight w:val="none"/>
                <w:lang w:eastAsia="zh-CN"/>
              </w:rPr>
              <w:t>IV</w:t>
            </w:r>
            <w:r>
              <w:rPr>
                <w:rFonts w:hint="default" w:ascii="Times New Roman" w:hAnsi="Times New Roman" w:eastAsia="宋体" w:cs="Times New Roman"/>
                <w:color w:val="auto"/>
                <w:kern w:val="0"/>
                <w:sz w:val="24"/>
                <w:szCs w:val="24"/>
                <w:highlight w:val="none"/>
                <w:lang w:eastAsia="zh-CN"/>
              </w:rPr>
              <w:fldChar w:fldCharType="end"/>
            </w:r>
            <w:r>
              <w:rPr>
                <w:rFonts w:hint="default" w:ascii="Times New Roman" w:hAnsi="Times New Roman" w:eastAsia="宋体" w:cs="Times New Roman"/>
                <w:color w:val="auto"/>
                <w:kern w:val="0"/>
                <w:sz w:val="24"/>
                <w:szCs w:val="24"/>
                <w:highlight w:val="none"/>
                <w:lang w:eastAsia="zh-CN"/>
              </w:rPr>
              <w:t>类。</w:t>
            </w:r>
          </w:p>
          <w:p w14:paraId="3068C0E2">
            <w:pPr>
              <w:keepNext w:val="0"/>
              <w:keepLines w:val="0"/>
              <w:widowControl/>
              <w:suppressLineNumbers w:val="0"/>
              <w:jc w:val="both"/>
              <w:rPr>
                <w:rFonts w:hint="default" w:ascii="Times New Roman" w:hAnsi="Times New Roman" w:eastAsia="宋体" w:cs="Times New Roman"/>
                <w:b w:val="0"/>
                <w:bCs w:val="0"/>
                <w:color w:val="auto"/>
                <w:highlight w:val="none"/>
                <w:lang w:val="en-US" w:eastAsia="zh-CN"/>
              </w:rPr>
            </w:pPr>
            <w:r>
              <w:rPr>
                <w:rFonts w:hint="default" w:ascii="Times New Roman" w:hAnsi="Times New Roman" w:eastAsia="宋体" w:cs="Times New Roman"/>
                <w:color w:val="auto"/>
              </w:rPr>
              <w:t>根据</w:t>
            </w:r>
            <w:r>
              <w:rPr>
                <w:rFonts w:hint="default" w:ascii="Times New Roman" w:hAnsi="Times New Roman" w:eastAsia="宋体" w:cs="Times New Roman"/>
                <w:color w:val="auto"/>
                <w:kern w:val="0"/>
              </w:rPr>
              <w:t>《2025年黑龙江省生态环境质量状况</w:t>
            </w:r>
            <w:r>
              <w:rPr>
                <w:rFonts w:hint="default" w:ascii="Times New Roman" w:hAnsi="Times New Roman" w:eastAsia="宋体" w:cs="Times New Roman"/>
                <w:color w:val="auto"/>
              </w:rPr>
              <w:t>》，2025年双鸭山市参与国家考核计算的断面共6个，Ⅰ~Ⅲ类水质比例为66.7%，无劣V类水质断面。与上年同期相比，Ⅰ~Ⅲ类水质比例保持不变，均无劣V类水质断面。</w:t>
            </w:r>
          </w:p>
          <w:p w14:paraId="0DA0A535">
            <w:pPr>
              <w:ind w:firstLine="480"/>
              <w:rPr>
                <w:rFonts w:hint="eastAsia"/>
                <w:color w:val="auto"/>
                <w:kern w:val="0"/>
                <w:highlight w:val="none"/>
              </w:rPr>
            </w:pPr>
            <w:r>
              <w:rPr>
                <w:rFonts w:hint="eastAsia"/>
                <w:color w:val="auto"/>
                <w:kern w:val="0"/>
                <w:highlight w:val="none"/>
                <w:lang w:val="en-US" w:eastAsia="zh-CN"/>
              </w:rPr>
              <w:t>4</w:t>
            </w:r>
            <w:r>
              <w:rPr>
                <w:rFonts w:hint="eastAsia"/>
                <w:color w:val="auto"/>
                <w:kern w:val="0"/>
                <w:highlight w:val="none"/>
              </w:rPr>
              <w:t>、声环境质量现状</w:t>
            </w:r>
          </w:p>
          <w:p w14:paraId="0653592F">
            <w:pPr>
              <w:ind w:firstLine="480"/>
              <w:rPr>
                <w:rFonts w:hint="eastAsia"/>
                <w:color w:val="auto"/>
                <w:kern w:val="0"/>
                <w:highlight w:val="none"/>
              </w:rPr>
            </w:pPr>
            <w:r>
              <w:rPr>
                <w:rFonts w:hint="eastAsia"/>
                <w:color w:val="auto"/>
                <w:highlight w:val="none"/>
                <w:lang w:eastAsia="zh-CN"/>
              </w:rPr>
              <w:t>经监测，各</w:t>
            </w:r>
            <w:r>
              <w:rPr>
                <w:rFonts w:hint="eastAsia"/>
                <w:color w:val="auto"/>
                <w:highlight w:val="none"/>
                <w:lang w:val="en-US" w:eastAsia="zh-CN"/>
              </w:rPr>
              <w:t>噪声</w:t>
            </w:r>
            <w:r>
              <w:rPr>
                <w:rFonts w:hint="eastAsia"/>
                <w:color w:val="auto"/>
                <w:highlight w:val="none"/>
              </w:rPr>
              <w:t>监测点声环境质量满足《声环境质量标准》（GB</w:t>
            </w:r>
            <w:r>
              <w:rPr>
                <w:rFonts w:hint="eastAsia"/>
                <w:color w:val="auto"/>
                <w:highlight w:val="none"/>
                <w:lang w:val="en-US" w:eastAsia="zh-CN"/>
              </w:rPr>
              <w:t xml:space="preserve"> </w:t>
            </w:r>
            <w:r>
              <w:rPr>
                <w:rFonts w:hint="eastAsia"/>
                <w:color w:val="auto"/>
                <w:highlight w:val="none"/>
              </w:rPr>
              <w:t>3096</w:t>
            </w:r>
            <w:r>
              <w:rPr>
                <w:rFonts w:hint="eastAsia" w:eastAsia="黑体" w:cs="Times New Roman"/>
                <w:color w:val="auto"/>
                <w:sz w:val="24"/>
                <w:szCs w:val="24"/>
                <w:highlight w:val="none"/>
                <w:lang w:val="en-US" w:eastAsia="zh-CN"/>
              </w:rPr>
              <w:t>—</w:t>
            </w:r>
            <w:r>
              <w:rPr>
                <w:rFonts w:hint="eastAsia"/>
                <w:color w:val="auto"/>
                <w:highlight w:val="none"/>
              </w:rPr>
              <w:t>2008）中的</w:t>
            </w:r>
            <w:r>
              <w:rPr>
                <w:rFonts w:hint="eastAsia"/>
                <w:color w:val="auto"/>
                <w:highlight w:val="none"/>
                <w:lang w:val="en-US" w:eastAsia="zh-CN"/>
              </w:rPr>
              <w:t>1</w:t>
            </w:r>
            <w:r>
              <w:rPr>
                <w:rFonts w:hint="eastAsia"/>
                <w:color w:val="auto"/>
                <w:highlight w:val="none"/>
              </w:rPr>
              <w:t>类标准</w:t>
            </w:r>
            <w:r>
              <w:rPr>
                <w:rFonts w:hint="eastAsia" w:cs="Times New Roman"/>
                <w:color w:val="auto"/>
                <w:highlight w:val="none"/>
                <w:lang w:val="en-US" w:eastAsia="zh-CN"/>
              </w:rPr>
              <w:t>及</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，声环境质量较好。</w:t>
            </w:r>
            <w:r>
              <w:rPr>
                <w:rFonts w:hint="eastAsia"/>
                <w:color w:val="auto"/>
                <w:kern w:val="0"/>
                <w:highlight w:val="none"/>
              </w:rPr>
              <w:t>详见噪声环境影响专项评价报告。</w:t>
            </w:r>
          </w:p>
        </w:tc>
      </w:tr>
      <w:tr w14:paraId="120D0E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81" w:hRule="atLeast"/>
          <w:jc w:val="center"/>
        </w:trPr>
        <w:tc>
          <w:tcPr>
            <w:tcW w:w="490" w:type="pct"/>
            <w:noWrap w:val="0"/>
            <w:vAlign w:val="center"/>
          </w:tcPr>
          <w:p w14:paraId="5C657C5F">
            <w:pPr>
              <w:pStyle w:val="38"/>
              <w:rPr>
                <w:rFonts w:hint="default"/>
                <w:color w:val="auto"/>
                <w:highlight w:val="none"/>
              </w:rPr>
            </w:pPr>
            <w:r>
              <w:rPr>
                <w:rFonts w:hint="default"/>
                <w:color w:val="auto"/>
                <w:highlight w:val="none"/>
              </w:rPr>
              <w:t>与项目有关的原有环境污染和生态破坏问题</w:t>
            </w:r>
          </w:p>
        </w:tc>
        <w:tc>
          <w:tcPr>
            <w:tcW w:w="4509" w:type="pct"/>
            <w:noWrap w:val="0"/>
            <w:vAlign w:val="center"/>
          </w:tcPr>
          <w:p w14:paraId="729D9E03">
            <w:pPr>
              <w:pStyle w:val="34"/>
              <w:ind w:firstLine="480"/>
              <w:rPr>
                <w:color w:val="auto"/>
                <w:highlight w:val="none"/>
              </w:rPr>
            </w:pPr>
            <w:r>
              <w:rPr>
                <w:rFonts w:hint="eastAsia"/>
                <w:color w:val="auto"/>
                <w:highlight w:val="none"/>
                <w:lang w:val="en-US" w:eastAsia="zh-CN"/>
              </w:rPr>
              <w:t>1、</w:t>
            </w:r>
            <w:r>
              <w:rPr>
                <w:rFonts w:hint="eastAsia"/>
                <w:color w:val="auto"/>
                <w:highlight w:val="none"/>
                <w:lang w:eastAsia="zh-CN"/>
              </w:rPr>
              <w:t>现有公路</w:t>
            </w:r>
            <w:r>
              <w:rPr>
                <w:color w:val="auto"/>
                <w:highlight w:val="none"/>
              </w:rPr>
              <w:t>工程情况</w:t>
            </w:r>
          </w:p>
          <w:p w14:paraId="29DBCEB6">
            <w:pPr>
              <w:spacing w:line="360" w:lineRule="auto"/>
              <w:ind w:firstLine="480" w:firstLineChars="200"/>
              <w:rPr>
                <w:color w:val="auto"/>
                <w:szCs w:val="21"/>
              </w:rPr>
            </w:pPr>
            <w:r>
              <w:rPr>
                <w:rFonts w:hint="eastAsia"/>
                <w:color w:val="auto"/>
                <w:szCs w:val="21"/>
              </w:rPr>
              <w:t>（1）现有工程环保手续履行情况</w:t>
            </w:r>
          </w:p>
          <w:p w14:paraId="29543E61">
            <w:pPr>
              <w:keepNext w:val="0"/>
              <w:keepLines w:val="0"/>
              <w:widowControl/>
              <w:suppressLineNumbers w:val="0"/>
              <w:jc w:val="both"/>
              <w:rPr>
                <w:rFonts w:hint="eastAsia" w:ascii="宋体" w:hAnsi="宋体" w:cs="宋体"/>
                <w:color w:val="auto"/>
                <w:kern w:val="0"/>
                <w:szCs w:val="21"/>
                <w:highlight w:val="darkYellow"/>
              </w:rPr>
            </w:pPr>
            <w:r>
              <w:rPr>
                <w:rFonts w:hint="eastAsia"/>
                <w:color w:val="auto"/>
                <w:highlight w:val="none"/>
                <w:lang w:eastAsia="zh-CN"/>
              </w:rPr>
              <w:t>本项目</w:t>
            </w:r>
            <w:r>
              <w:rPr>
                <w:rFonts w:hint="eastAsia"/>
                <w:color w:val="auto"/>
                <w:szCs w:val="21"/>
              </w:rPr>
              <w:t>现有道路修建年代较早，采用四级公路标准</w:t>
            </w:r>
            <w:r>
              <w:rPr>
                <w:rFonts w:hint="eastAsia"/>
                <w:color w:val="auto"/>
                <w:szCs w:val="21"/>
                <w:lang w:eastAsia="zh-CN"/>
              </w:rPr>
              <w:t>，</w:t>
            </w:r>
            <w:r>
              <w:rPr>
                <w:rFonts w:hint="eastAsia"/>
                <w:color w:val="auto"/>
                <w:szCs w:val="21"/>
              </w:rPr>
              <w:t>设计速度20km/h</w:t>
            </w:r>
            <w:r>
              <w:rPr>
                <w:rFonts w:hint="eastAsia" w:ascii="Times New Roman" w:hAnsi="Times New Roman" w:eastAsia="宋体" w:cs="Times New Roman"/>
                <w:color w:val="auto"/>
                <w:szCs w:val="21"/>
              </w:rPr>
              <w:t>，</w:t>
            </w:r>
            <w:r>
              <w:rPr>
                <w:rFonts w:hint="eastAsia" w:ascii="Times New Roman" w:hAnsi="Times New Roman" w:eastAsia="宋体" w:cs="Times New Roman"/>
                <w:color w:val="auto"/>
                <w:szCs w:val="21"/>
                <w:lang w:val="en-US" w:eastAsia="zh-CN"/>
              </w:rPr>
              <w:t>K12+391至K48+240路面宽6.0m，K48+240至K48+345路面宽由6.0m渐变为3.5m，K48+345至K55+161路面宽3.5m，旧路结构为20cm水泥混凝土面层，20cm水泥稳定砂砾基层。</w:t>
            </w:r>
            <w:r>
              <w:rPr>
                <w:rFonts w:hint="eastAsia"/>
                <w:color w:val="auto"/>
                <w:szCs w:val="21"/>
              </w:rPr>
              <w:t>根据调查，现有工程未进行环境影响评价和环保验收。</w:t>
            </w:r>
          </w:p>
          <w:p w14:paraId="1B793C9B">
            <w:pPr>
              <w:spacing w:line="360" w:lineRule="auto"/>
              <w:ind w:firstLine="480" w:firstLineChars="200"/>
              <w:rPr>
                <w:rFonts w:hint="eastAsia"/>
                <w:color w:val="auto"/>
                <w:kern w:val="0"/>
                <w:szCs w:val="21"/>
              </w:rPr>
            </w:pPr>
            <w:r>
              <w:rPr>
                <w:rFonts w:hint="eastAsia"/>
                <w:color w:val="auto"/>
                <w:kern w:val="0"/>
                <w:szCs w:val="21"/>
              </w:rPr>
              <w:t>（2）现有</w:t>
            </w:r>
            <w:r>
              <w:rPr>
                <w:rFonts w:hint="eastAsia"/>
                <w:color w:val="auto"/>
                <w:kern w:val="0"/>
                <w:szCs w:val="21"/>
                <w:lang w:eastAsia="zh-CN"/>
              </w:rPr>
              <w:t>公路</w:t>
            </w:r>
            <w:r>
              <w:rPr>
                <w:rFonts w:hint="eastAsia"/>
                <w:color w:val="auto"/>
                <w:kern w:val="0"/>
                <w:szCs w:val="21"/>
              </w:rPr>
              <w:t>排水设施及路基防护情况</w:t>
            </w:r>
          </w:p>
          <w:p w14:paraId="1BD7022F">
            <w:pPr>
              <w:pStyle w:val="34"/>
              <w:ind w:firstLine="480"/>
              <w:rPr>
                <w:rFonts w:hint="eastAsia"/>
                <w:color w:val="auto"/>
                <w:highlight w:val="none"/>
                <w:lang w:val="en-US" w:eastAsia="zh-CN"/>
              </w:rPr>
            </w:pPr>
            <w:r>
              <w:rPr>
                <w:rFonts w:hint="eastAsia"/>
                <w:color w:val="auto"/>
                <w:highlight w:val="none"/>
                <w:lang w:eastAsia="zh-CN"/>
              </w:rPr>
              <w:t>本项目</w:t>
            </w:r>
            <w:r>
              <w:rPr>
                <w:rFonts w:hint="eastAsia" w:ascii="Times New Roman" w:hAnsi="Times New Roman" w:eastAsia="宋体" w:cs="Times New Roman"/>
                <w:color w:val="auto"/>
                <w:highlight w:val="none"/>
                <w:lang w:val="en-US" w:eastAsia="zh-CN"/>
              </w:rPr>
              <w:t>既有</w:t>
            </w:r>
            <w:r>
              <w:rPr>
                <w:rFonts w:hint="eastAsia"/>
                <w:color w:val="auto"/>
                <w:kern w:val="0"/>
                <w:szCs w:val="21"/>
                <w:lang w:eastAsia="zh-CN"/>
              </w:rPr>
              <w:t>公路</w:t>
            </w:r>
            <w:r>
              <w:rPr>
                <w:rFonts w:hint="eastAsia" w:ascii="Times New Roman" w:hAnsi="Times New Roman" w:eastAsia="宋体" w:cs="Times New Roman"/>
                <w:color w:val="auto"/>
                <w:highlight w:val="none"/>
                <w:lang w:val="en-US" w:eastAsia="zh-CN"/>
              </w:rPr>
              <w:t>路基边坡坡率为1:1.5，路基填土高度约0.5～2m左右，旧路边坡稳定，无明显破坏。旧路边坡坡面自然植被茂盛，无明显冲刷，边坡防护工程较好。</w:t>
            </w:r>
          </w:p>
          <w:p w14:paraId="1BB38B76">
            <w:pPr>
              <w:pStyle w:val="34"/>
              <w:ind w:firstLine="480"/>
              <w:rPr>
                <w:rFonts w:hint="eastAsia"/>
                <w:color w:val="auto"/>
                <w:highlight w:val="none"/>
                <w:lang w:val="en-US" w:eastAsia="zh-CN"/>
              </w:rPr>
            </w:pPr>
            <w:r>
              <w:rPr>
                <w:rFonts w:hint="eastAsia"/>
                <w:color w:val="auto"/>
                <w:highlight w:val="none"/>
                <w:lang w:eastAsia="zh-CN"/>
              </w:rPr>
              <w:t>本项目全线既有桥梁</w:t>
            </w:r>
            <w:r>
              <w:rPr>
                <w:rFonts w:hint="eastAsia"/>
                <w:color w:val="auto"/>
                <w:highlight w:val="none"/>
                <w:lang w:val="en-US" w:eastAsia="zh-CN"/>
              </w:rPr>
              <w:t>4</w:t>
            </w:r>
            <w:r>
              <w:rPr>
                <w:rFonts w:hint="eastAsia"/>
                <w:color w:val="auto"/>
                <w:highlight w:val="none"/>
                <w:lang w:eastAsia="zh-CN"/>
              </w:rPr>
              <w:t>座，涵洞</w:t>
            </w:r>
            <w:r>
              <w:rPr>
                <w:rFonts w:hint="eastAsia"/>
                <w:color w:val="auto"/>
                <w:highlight w:val="none"/>
                <w:lang w:val="en-US" w:eastAsia="zh-CN"/>
              </w:rPr>
              <w:t>12道。</w:t>
            </w:r>
            <w:r>
              <w:rPr>
                <w:rFonts w:hint="default" w:ascii="Times New Roman" w:hAnsi="Times New Roman" w:eastAsia="宋体" w:cs="Times New Roman"/>
                <w:color w:val="auto"/>
                <w:sz w:val="24"/>
                <w:szCs w:val="24"/>
              </w:rPr>
              <w:t>现有桥梁均符合现行道路通行标准，仅K53+756银龙桥存在护栏破损问题，本次对该桥护栏维修完成后予以继续利用，其余桥梁均直接保留</w:t>
            </w:r>
            <w:r>
              <w:rPr>
                <w:rFonts w:hint="default" w:ascii="Times New Roman" w:hAnsi="Times New Roman" w:cs="Times New Roman"/>
                <w:color w:val="auto"/>
                <w:szCs w:val="21"/>
                <w:lang w:val="en-US" w:eastAsia="zh-CN"/>
              </w:rPr>
              <w:t>利用</w:t>
            </w:r>
            <w:r>
              <w:rPr>
                <w:rFonts w:hint="eastAsia"/>
                <w:color w:val="auto"/>
                <w:szCs w:val="21"/>
                <w:lang w:val="en-US" w:eastAsia="zh-CN"/>
              </w:rPr>
              <w:t>。</w:t>
            </w:r>
            <w:r>
              <w:rPr>
                <w:rFonts w:hint="eastAsia" w:ascii="Times New Roman" w:hAnsi="Times New Roman" w:eastAsia="宋体" w:cs="Times New Roman"/>
                <w:color w:val="auto"/>
                <w:highlight w:val="none"/>
                <w:lang w:val="en-US" w:eastAsia="zh-CN"/>
              </w:rPr>
              <w:t>既有涵洞为钢筋混凝土圆管涵和箱涵，经调查，原有圆管涵存在涵洞破损，无基础及端墙，淤积严重，承载能力不足，阻水严重等现象，已无法满足使用要求，对全线既有</w:t>
            </w:r>
            <w:r>
              <w:rPr>
                <w:rFonts w:hint="eastAsia" w:cs="Times New Roman"/>
                <w:color w:val="auto"/>
                <w:highlight w:val="none"/>
                <w:lang w:val="en-US" w:eastAsia="zh-CN"/>
              </w:rPr>
              <w:t>8道</w:t>
            </w:r>
            <w:r>
              <w:rPr>
                <w:rFonts w:hint="eastAsia" w:ascii="Times New Roman" w:hAnsi="Times New Roman" w:eastAsia="宋体" w:cs="Times New Roman"/>
                <w:color w:val="auto"/>
                <w:highlight w:val="none"/>
                <w:lang w:val="en-US" w:eastAsia="zh-CN"/>
              </w:rPr>
              <w:t>圆管涵全部拆除新建，</w:t>
            </w:r>
            <w:r>
              <w:rPr>
                <w:rFonts w:hint="eastAsia" w:cs="Times New Roman"/>
                <w:color w:val="auto"/>
                <w:highlight w:val="none"/>
                <w:lang w:val="en-US" w:eastAsia="zh-CN"/>
              </w:rPr>
              <w:t>4道</w:t>
            </w:r>
            <w:r>
              <w:rPr>
                <w:rFonts w:hint="eastAsia" w:ascii="Times New Roman" w:hAnsi="Times New Roman" w:eastAsia="宋体" w:cs="Times New Roman"/>
                <w:color w:val="auto"/>
                <w:highlight w:val="none"/>
                <w:lang w:val="en-US" w:eastAsia="zh-CN"/>
              </w:rPr>
              <w:t>箱涵涵洞现状良好，完全利用。</w:t>
            </w:r>
          </w:p>
          <w:p w14:paraId="73D9A0DD">
            <w:pPr>
              <w:keepNext w:val="0"/>
              <w:keepLines w:val="0"/>
              <w:pageBreakBefore w:val="0"/>
              <w:widowControl w:val="0"/>
              <w:kinsoku/>
              <w:wordWrap/>
              <w:overflowPunct/>
              <w:topLinePunct w:val="0"/>
              <w:autoSpaceDE/>
              <w:autoSpaceDN/>
              <w:bidi w:val="0"/>
              <w:adjustRightInd/>
              <w:snapToGrid/>
              <w:spacing w:before="0" w:beforeLines="0" w:line="360" w:lineRule="auto"/>
              <w:jc w:val="center"/>
              <w:textAlignment w:val="auto"/>
              <w:rPr>
                <w:rFonts w:hint="eastAsia" w:ascii="Times New Roman" w:hAnsi="Times New Roman" w:eastAsia="黑体" w:cs="Times New Roman"/>
                <w:color w:val="auto"/>
                <w:kern w:val="2"/>
                <w:sz w:val="24"/>
                <w:szCs w:val="24"/>
                <w:lang w:val="en-US" w:eastAsia="zh-CN" w:bidi="ar-SA"/>
              </w:rPr>
            </w:pPr>
            <w:r>
              <w:rPr>
                <w:rFonts w:hint="eastAsia" w:ascii="Times New Roman" w:hAnsi="Times New Roman" w:eastAsia="黑体" w:cs="Times New Roman"/>
                <w:color w:val="auto"/>
                <w:kern w:val="2"/>
                <w:sz w:val="24"/>
                <w:szCs w:val="24"/>
                <w:lang w:val="en-US" w:eastAsia="zh-CN" w:bidi="ar-SA"/>
              </w:rPr>
              <w:t>表3-</w:t>
            </w:r>
            <w:r>
              <w:rPr>
                <w:rFonts w:hint="eastAsia" w:eastAsia="黑体" w:cs="Times New Roman"/>
                <w:color w:val="auto"/>
                <w:kern w:val="2"/>
                <w:sz w:val="24"/>
                <w:szCs w:val="24"/>
                <w:lang w:val="en-US" w:eastAsia="zh-CN" w:bidi="ar-SA"/>
              </w:rPr>
              <w:t>6</w:t>
            </w:r>
            <w:r>
              <w:rPr>
                <w:rFonts w:hint="eastAsia" w:ascii="Times New Roman" w:hAnsi="Times New Roman" w:eastAsia="黑体" w:cs="Times New Roman"/>
                <w:color w:val="auto"/>
                <w:kern w:val="2"/>
                <w:sz w:val="24"/>
                <w:szCs w:val="24"/>
                <w:lang w:val="en-US" w:eastAsia="zh-CN" w:bidi="ar-SA"/>
              </w:rPr>
              <w:t xml:space="preserve">  旧路</w:t>
            </w:r>
            <w:r>
              <w:rPr>
                <w:rFonts w:hint="eastAsia" w:eastAsia="黑体" w:cs="Times New Roman"/>
                <w:color w:val="auto"/>
                <w:kern w:val="2"/>
                <w:sz w:val="24"/>
                <w:szCs w:val="24"/>
                <w:lang w:val="en-US" w:eastAsia="zh-CN" w:bidi="ar-SA"/>
              </w:rPr>
              <w:t>桥梁</w:t>
            </w:r>
            <w:r>
              <w:rPr>
                <w:rFonts w:hint="eastAsia" w:ascii="Times New Roman" w:hAnsi="Times New Roman" w:eastAsia="黑体" w:cs="Times New Roman"/>
                <w:color w:val="auto"/>
                <w:kern w:val="2"/>
                <w:sz w:val="24"/>
                <w:szCs w:val="24"/>
                <w:lang w:val="en-US" w:eastAsia="zh-CN" w:bidi="ar-SA"/>
              </w:rPr>
              <w:t>情况表</w:t>
            </w:r>
          </w:p>
          <w:tbl>
            <w:tblPr>
              <w:tblStyle w:val="18"/>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46"/>
              <w:gridCol w:w="1233"/>
              <w:gridCol w:w="1106"/>
              <w:gridCol w:w="1067"/>
              <w:gridCol w:w="1065"/>
              <w:gridCol w:w="1080"/>
              <w:gridCol w:w="1467"/>
            </w:tblGrid>
            <w:tr w14:paraId="734231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8" w:type="pct"/>
                  <w:tcBorders>
                    <w:tl2br w:val="nil"/>
                    <w:tr2bl w:val="nil"/>
                  </w:tcBorders>
                  <w:noWrap w:val="0"/>
                  <w:vAlign w:val="center"/>
                </w:tcPr>
                <w:p w14:paraId="6B443CE3">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序号</w:t>
                  </w:r>
                </w:p>
              </w:tc>
              <w:tc>
                <w:tcPr>
                  <w:tcW w:w="825" w:type="pct"/>
                  <w:tcBorders>
                    <w:tl2br w:val="nil"/>
                    <w:tr2bl w:val="nil"/>
                  </w:tcBorders>
                  <w:noWrap w:val="0"/>
                  <w:vAlign w:val="center"/>
                </w:tcPr>
                <w:p w14:paraId="4F658297">
                  <w:pPr>
                    <w:spacing w:line="240" w:lineRule="auto"/>
                    <w:ind w:firstLine="0" w:firstLineChars="0"/>
                    <w:jc w:val="center"/>
                    <w:rPr>
                      <w:rFonts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pacing w:val="0"/>
                      <w:sz w:val="21"/>
                      <w:szCs w:val="21"/>
                    </w:rPr>
                    <w:t>中心</w:t>
                  </w:r>
                  <w:r>
                    <w:rPr>
                      <w:rFonts w:ascii="Times New Roman" w:hAnsi="Times New Roman" w:eastAsia="宋体" w:cs="Times New Roman"/>
                      <w:snapToGrid w:val="0"/>
                      <w:color w:val="auto"/>
                      <w:spacing w:val="0"/>
                      <w:sz w:val="21"/>
                      <w:szCs w:val="21"/>
                    </w:rPr>
                    <w:t>桩号</w:t>
                  </w:r>
                </w:p>
              </w:tc>
              <w:tc>
                <w:tcPr>
                  <w:tcW w:w="740" w:type="pct"/>
                  <w:tcBorders>
                    <w:tl2br w:val="nil"/>
                    <w:tr2bl w:val="nil"/>
                  </w:tcBorders>
                  <w:noWrap w:val="0"/>
                  <w:vAlign w:val="center"/>
                </w:tcPr>
                <w:p w14:paraId="5B0915C3">
                  <w:pPr>
                    <w:spacing w:line="240" w:lineRule="auto"/>
                    <w:ind w:firstLine="0" w:firstLineChars="0"/>
                    <w:jc w:val="center"/>
                    <w:rPr>
                      <w:rFonts w:hint="default"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桥梁名称</w:t>
                  </w:r>
                </w:p>
              </w:tc>
              <w:tc>
                <w:tcPr>
                  <w:tcW w:w="714" w:type="pct"/>
                  <w:tcBorders>
                    <w:tl2br w:val="nil"/>
                    <w:tr2bl w:val="nil"/>
                  </w:tcBorders>
                  <w:noWrap w:val="0"/>
                  <w:vAlign w:val="center"/>
                </w:tcPr>
                <w:p w14:paraId="613C31DB">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交角</w:t>
                  </w:r>
                  <w:r>
                    <w:rPr>
                      <w:rFonts w:hint="eastAsia" w:ascii="Times New Roman" w:hAnsi="Times New Roman" w:eastAsia="宋体" w:cs="Times New Roman"/>
                      <w:snapToGrid w:val="0"/>
                      <w:color w:val="auto"/>
                      <w:spacing w:val="0"/>
                      <w:sz w:val="21"/>
                      <w:szCs w:val="21"/>
                    </w:rPr>
                    <w:t>（°）</w:t>
                  </w:r>
                </w:p>
              </w:tc>
              <w:tc>
                <w:tcPr>
                  <w:tcW w:w="713" w:type="pct"/>
                  <w:tcBorders>
                    <w:tl2br w:val="nil"/>
                    <w:tr2bl w:val="nil"/>
                  </w:tcBorders>
                  <w:noWrap w:val="0"/>
                  <w:vAlign w:val="center"/>
                </w:tcPr>
                <w:p w14:paraId="769415B0">
                  <w:pPr>
                    <w:spacing w:line="240" w:lineRule="auto"/>
                    <w:ind w:firstLine="0" w:firstLineChars="0"/>
                    <w:jc w:val="center"/>
                    <w:rPr>
                      <w:rFonts w:hint="eastAsia" w:ascii="Times New Roman" w:hAnsi="Times New Roman" w:eastAsia="宋体" w:cs="Times New Roman"/>
                      <w:snapToGrid w:val="0"/>
                      <w:color w:val="auto"/>
                      <w:sz w:val="21"/>
                      <w:szCs w:val="21"/>
                      <w:lang w:eastAsia="zh-CN"/>
                    </w:rPr>
                  </w:pPr>
                  <w:r>
                    <w:rPr>
                      <w:rFonts w:hint="eastAsia" w:cs="Times New Roman"/>
                      <w:snapToGrid w:val="0"/>
                      <w:color w:val="auto"/>
                      <w:sz w:val="21"/>
                      <w:szCs w:val="21"/>
                      <w:lang w:eastAsia="zh-CN"/>
                    </w:rPr>
                    <w:t>桥梁全长（</w:t>
                  </w:r>
                  <w:r>
                    <w:rPr>
                      <w:rFonts w:hint="eastAsia" w:cs="Times New Roman"/>
                      <w:snapToGrid w:val="0"/>
                      <w:color w:val="auto"/>
                      <w:sz w:val="21"/>
                      <w:szCs w:val="21"/>
                      <w:lang w:val="en-US" w:eastAsia="zh-CN"/>
                    </w:rPr>
                    <w:t>m</w:t>
                  </w:r>
                  <w:r>
                    <w:rPr>
                      <w:rFonts w:hint="eastAsia" w:cs="Times New Roman"/>
                      <w:snapToGrid w:val="0"/>
                      <w:color w:val="auto"/>
                      <w:sz w:val="21"/>
                      <w:szCs w:val="21"/>
                      <w:lang w:eastAsia="zh-CN"/>
                    </w:rPr>
                    <w:t>）</w:t>
                  </w:r>
                </w:p>
              </w:tc>
              <w:tc>
                <w:tcPr>
                  <w:tcW w:w="723" w:type="pct"/>
                  <w:tcBorders>
                    <w:tl2br w:val="nil"/>
                    <w:tr2bl w:val="nil"/>
                  </w:tcBorders>
                  <w:noWrap w:val="0"/>
                  <w:vAlign w:val="center"/>
                </w:tcPr>
                <w:p w14:paraId="68C303A0">
                  <w:pPr>
                    <w:spacing w:line="240" w:lineRule="auto"/>
                    <w:ind w:firstLine="0" w:firstLineChars="0"/>
                    <w:jc w:val="center"/>
                    <w:rPr>
                      <w:rFonts w:hint="default" w:cs="Times New Roman"/>
                      <w:snapToGrid w:val="0"/>
                      <w:color w:val="auto"/>
                      <w:sz w:val="21"/>
                      <w:szCs w:val="21"/>
                      <w:lang w:val="en-US" w:eastAsia="zh-CN"/>
                    </w:rPr>
                  </w:pPr>
                  <w:r>
                    <w:rPr>
                      <w:rFonts w:hint="eastAsia" w:cs="Times New Roman"/>
                      <w:snapToGrid w:val="0"/>
                      <w:color w:val="auto"/>
                      <w:sz w:val="21"/>
                      <w:szCs w:val="21"/>
                      <w:lang w:eastAsia="zh-CN"/>
                    </w:rPr>
                    <w:t>桥梁宽度（</w:t>
                  </w:r>
                  <w:r>
                    <w:rPr>
                      <w:rFonts w:hint="eastAsia" w:cs="Times New Roman"/>
                      <w:snapToGrid w:val="0"/>
                      <w:color w:val="auto"/>
                      <w:sz w:val="21"/>
                      <w:szCs w:val="21"/>
                      <w:lang w:val="en-US" w:eastAsia="zh-CN"/>
                    </w:rPr>
                    <w:t>m</w:t>
                  </w:r>
                  <w:r>
                    <w:rPr>
                      <w:rFonts w:hint="eastAsia" w:cs="Times New Roman"/>
                      <w:snapToGrid w:val="0"/>
                      <w:color w:val="auto"/>
                      <w:sz w:val="21"/>
                      <w:szCs w:val="21"/>
                      <w:lang w:eastAsia="zh-CN"/>
                    </w:rPr>
                    <w:t>）</w:t>
                  </w:r>
                </w:p>
              </w:tc>
              <w:tc>
                <w:tcPr>
                  <w:tcW w:w="982" w:type="pct"/>
                  <w:tcBorders>
                    <w:tl2br w:val="nil"/>
                    <w:tr2bl w:val="nil"/>
                  </w:tcBorders>
                  <w:noWrap w:val="0"/>
                  <w:vAlign w:val="center"/>
                </w:tcPr>
                <w:p w14:paraId="14C81255">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pacing w:val="0"/>
                      <w:sz w:val="21"/>
                      <w:szCs w:val="21"/>
                    </w:rPr>
                    <w:t>备注</w:t>
                  </w:r>
                </w:p>
              </w:tc>
            </w:tr>
            <w:tr w14:paraId="60A39C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8" w:type="pct"/>
                  <w:tcBorders>
                    <w:tl2br w:val="nil"/>
                    <w:tr2bl w:val="nil"/>
                  </w:tcBorders>
                  <w:noWrap w:val="0"/>
                  <w:vAlign w:val="center"/>
                </w:tcPr>
                <w:p w14:paraId="20E8792A">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1</w:t>
                  </w:r>
                </w:p>
              </w:tc>
              <w:tc>
                <w:tcPr>
                  <w:tcW w:w="825" w:type="pct"/>
                  <w:tcBorders>
                    <w:tl2br w:val="nil"/>
                    <w:tr2bl w:val="nil"/>
                  </w:tcBorders>
                  <w:noWrap w:val="0"/>
                  <w:vAlign w:val="center"/>
                </w:tcPr>
                <w:p w14:paraId="64507D00">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K17+038.0</w:t>
                  </w:r>
                </w:p>
              </w:tc>
              <w:tc>
                <w:tcPr>
                  <w:tcW w:w="740" w:type="pct"/>
                  <w:tcBorders>
                    <w:tl2br w:val="nil"/>
                    <w:tr2bl w:val="nil"/>
                  </w:tcBorders>
                  <w:noWrap w:val="0"/>
                  <w:vAlign w:val="center"/>
                </w:tcPr>
                <w:p w14:paraId="611E4ACD">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人工河桥</w:t>
                  </w:r>
                </w:p>
              </w:tc>
              <w:tc>
                <w:tcPr>
                  <w:tcW w:w="714" w:type="pct"/>
                  <w:tcBorders>
                    <w:tl2br w:val="nil"/>
                    <w:tr2bl w:val="nil"/>
                  </w:tcBorders>
                  <w:noWrap w:val="0"/>
                  <w:vAlign w:val="center"/>
                </w:tcPr>
                <w:p w14:paraId="507C68E2">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713" w:type="pct"/>
                  <w:tcBorders>
                    <w:tl2br w:val="nil"/>
                    <w:tr2bl w:val="nil"/>
                  </w:tcBorders>
                  <w:noWrap w:val="0"/>
                  <w:vAlign w:val="center"/>
                </w:tcPr>
                <w:p w14:paraId="42D8D830">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26</w:t>
                  </w:r>
                </w:p>
              </w:tc>
              <w:tc>
                <w:tcPr>
                  <w:tcW w:w="723" w:type="pct"/>
                  <w:tcBorders>
                    <w:tl2br w:val="nil"/>
                    <w:tr2bl w:val="nil"/>
                  </w:tcBorders>
                  <w:noWrap w:val="0"/>
                  <w:vAlign w:val="center"/>
                </w:tcPr>
                <w:p w14:paraId="21B96179">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w:t>
                  </w:r>
                </w:p>
              </w:tc>
              <w:tc>
                <w:tcPr>
                  <w:tcW w:w="982" w:type="pct"/>
                  <w:tcBorders>
                    <w:tl2br w:val="nil"/>
                    <w:tr2bl w:val="nil"/>
                  </w:tcBorders>
                  <w:noWrap w:val="0"/>
                  <w:vAlign w:val="center"/>
                </w:tcPr>
                <w:p w14:paraId="0002B7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现状良好</w:t>
                  </w:r>
                </w:p>
              </w:tc>
            </w:tr>
            <w:tr w14:paraId="453FA2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8" w:type="pct"/>
                  <w:tcBorders>
                    <w:tl2br w:val="nil"/>
                    <w:tr2bl w:val="nil"/>
                  </w:tcBorders>
                  <w:noWrap w:val="0"/>
                  <w:vAlign w:val="center"/>
                </w:tcPr>
                <w:p w14:paraId="78D18E9E">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2</w:t>
                  </w:r>
                </w:p>
              </w:tc>
              <w:tc>
                <w:tcPr>
                  <w:tcW w:w="825" w:type="pct"/>
                  <w:tcBorders>
                    <w:tl2br w:val="nil"/>
                    <w:tr2bl w:val="nil"/>
                  </w:tcBorders>
                  <w:noWrap w:val="0"/>
                  <w:vAlign w:val="center"/>
                </w:tcPr>
                <w:p w14:paraId="69C4C251">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K19+725.5</w:t>
                  </w:r>
                </w:p>
              </w:tc>
              <w:tc>
                <w:tcPr>
                  <w:tcW w:w="740" w:type="pct"/>
                  <w:tcBorders>
                    <w:tl2br w:val="nil"/>
                    <w:tr2bl w:val="nil"/>
                  </w:tcBorders>
                  <w:noWrap w:val="0"/>
                  <w:vAlign w:val="center"/>
                </w:tcPr>
                <w:p w14:paraId="59825C9C">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挠力河桥</w:t>
                  </w:r>
                </w:p>
              </w:tc>
              <w:tc>
                <w:tcPr>
                  <w:tcW w:w="714" w:type="pct"/>
                  <w:tcBorders>
                    <w:tl2br w:val="nil"/>
                    <w:tr2bl w:val="nil"/>
                  </w:tcBorders>
                  <w:noWrap w:val="0"/>
                  <w:vAlign w:val="center"/>
                </w:tcPr>
                <w:p w14:paraId="1335A569">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713" w:type="pct"/>
                  <w:tcBorders>
                    <w:tl2br w:val="nil"/>
                    <w:tr2bl w:val="nil"/>
                  </w:tcBorders>
                  <w:noWrap w:val="0"/>
                  <w:vAlign w:val="center"/>
                </w:tcPr>
                <w:p w14:paraId="7585D8FA">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106</w:t>
                  </w:r>
                </w:p>
              </w:tc>
              <w:tc>
                <w:tcPr>
                  <w:tcW w:w="723" w:type="pct"/>
                  <w:tcBorders>
                    <w:tl2br w:val="nil"/>
                    <w:tr2bl w:val="nil"/>
                  </w:tcBorders>
                  <w:noWrap w:val="0"/>
                  <w:vAlign w:val="center"/>
                </w:tcPr>
                <w:p w14:paraId="50A851D6">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w:t>
                  </w:r>
                </w:p>
              </w:tc>
              <w:tc>
                <w:tcPr>
                  <w:tcW w:w="982" w:type="pct"/>
                  <w:tcBorders>
                    <w:tl2br w:val="nil"/>
                    <w:tr2bl w:val="nil"/>
                  </w:tcBorders>
                  <w:noWrap w:val="0"/>
                  <w:vAlign w:val="center"/>
                </w:tcPr>
                <w:p w14:paraId="495FCC9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现状良好</w:t>
                  </w:r>
                </w:p>
              </w:tc>
            </w:tr>
            <w:tr w14:paraId="7E3694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8" w:type="pct"/>
                  <w:tcBorders>
                    <w:tl2br w:val="nil"/>
                    <w:tr2bl w:val="nil"/>
                  </w:tcBorders>
                  <w:noWrap w:val="0"/>
                  <w:vAlign w:val="center"/>
                </w:tcPr>
                <w:p w14:paraId="11EC7DBE">
                  <w:pPr>
                    <w:spacing w:line="240" w:lineRule="auto"/>
                    <w:ind w:firstLine="0" w:firstLineChars="0"/>
                    <w:jc w:val="center"/>
                    <w:rPr>
                      <w:rFonts w:ascii="Times New Roman" w:hAnsi="Times New Roman" w:eastAsia="宋体" w:cs="Times New Roman"/>
                      <w:snapToGrid w:val="0"/>
                      <w:color w:val="auto"/>
                      <w:sz w:val="21"/>
                      <w:szCs w:val="21"/>
                    </w:rPr>
                  </w:pPr>
                  <w:r>
                    <w:rPr>
                      <w:rFonts w:ascii="Times New Roman" w:hAnsi="Times New Roman" w:eastAsia="宋体" w:cs="Times New Roman"/>
                      <w:snapToGrid w:val="0"/>
                      <w:color w:val="auto"/>
                      <w:sz w:val="21"/>
                      <w:szCs w:val="21"/>
                    </w:rPr>
                    <w:t>3</w:t>
                  </w:r>
                </w:p>
              </w:tc>
              <w:tc>
                <w:tcPr>
                  <w:tcW w:w="825" w:type="pct"/>
                  <w:tcBorders>
                    <w:tl2br w:val="nil"/>
                    <w:tr2bl w:val="nil"/>
                  </w:tcBorders>
                  <w:noWrap w:val="0"/>
                  <w:vAlign w:val="center"/>
                </w:tcPr>
                <w:p w14:paraId="5F753C71">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K51+677.0</w:t>
                  </w:r>
                </w:p>
              </w:tc>
              <w:tc>
                <w:tcPr>
                  <w:tcW w:w="740" w:type="pct"/>
                  <w:tcBorders>
                    <w:tl2br w:val="nil"/>
                    <w:tr2bl w:val="nil"/>
                  </w:tcBorders>
                  <w:noWrap w:val="0"/>
                  <w:vAlign w:val="center"/>
                </w:tcPr>
                <w:p w14:paraId="50E71247">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柳毛岗桥</w:t>
                  </w:r>
                </w:p>
              </w:tc>
              <w:tc>
                <w:tcPr>
                  <w:tcW w:w="714" w:type="pct"/>
                  <w:tcBorders>
                    <w:tl2br w:val="nil"/>
                    <w:tr2bl w:val="nil"/>
                  </w:tcBorders>
                  <w:noWrap w:val="0"/>
                  <w:vAlign w:val="center"/>
                </w:tcPr>
                <w:p w14:paraId="47B1B27B">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713" w:type="pct"/>
                  <w:tcBorders>
                    <w:tl2br w:val="nil"/>
                    <w:tr2bl w:val="nil"/>
                  </w:tcBorders>
                  <w:noWrap w:val="0"/>
                  <w:vAlign w:val="center"/>
                </w:tcPr>
                <w:p w14:paraId="2C60754A">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16</w:t>
                  </w:r>
                </w:p>
              </w:tc>
              <w:tc>
                <w:tcPr>
                  <w:tcW w:w="723" w:type="pct"/>
                  <w:tcBorders>
                    <w:tl2br w:val="nil"/>
                    <w:tr2bl w:val="nil"/>
                  </w:tcBorders>
                  <w:noWrap w:val="0"/>
                  <w:vAlign w:val="center"/>
                </w:tcPr>
                <w:p w14:paraId="71460870">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8.5</w:t>
                  </w:r>
                </w:p>
              </w:tc>
              <w:tc>
                <w:tcPr>
                  <w:tcW w:w="982" w:type="pct"/>
                  <w:tcBorders>
                    <w:tl2br w:val="nil"/>
                    <w:tr2bl w:val="nil"/>
                  </w:tcBorders>
                  <w:noWrap w:val="0"/>
                  <w:vAlign w:val="center"/>
                </w:tcPr>
                <w:p w14:paraId="0AC965DE">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现状良好</w:t>
                  </w:r>
                </w:p>
              </w:tc>
            </w:tr>
            <w:tr w14:paraId="6C2BE7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98" w:type="pct"/>
                  <w:tcBorders>
                    <w:tl2br w:val="nil"/>
                    <w:tr2bl w:val="nil"/>
                  </w:tcBorders>
                  <w:noWrap w:val="0"/>
                  <w:vAlign w:val="center"/>
                </w:tcPr>
                <w:p w14:paraId="0A302459">
                  <w:pPr>
                    <w:spacing w:line="240" w:lineRule="auto"/>
                    <w:ind w:firstLine="0" w:firstLineChars="0"/>
                    <w:jc w:val="center"/>
                    <w:rPr>
                      <w:rFonts w:hint="eastAsia" w:ascii="Times New Roman" w:hAnsi="Times New Roman" w:eastAsia="宋体" w:cs="Times New Roman"/>
                      <w:snapToGrid w:val="0"/>
                      <w:color w:val="auto"/>
                      <w:sz w:val="21"/>
                      <w:szCs w:val="21"/>
                      <w:lang w:val="en-US" w:eastAsia="zh-CN"/>
                    </w:rPr>
                  </w:pPr>
                  <w:r>
                    <w:rPr>
                      <w:rFonts w:hint="eastAsia" w:cs="Times New Roman"/>
                      <w:snapToGrid w:val="0"/>
                      <w:color w:val="auto"/>
                      <w:sz w:val="21"/>
                      <w:szCs w:val="21"/>
                      <w:lang w:val="en-US" w:eastAsia="zh-CN"/>
                    </w:rPr>
                    <w:t>4</w:t>
                  </w:r>
                </w:p>
              </w:tc>
              <w:tc>
                <w:tcPr>
                  <w:tcW w:w="825" w:type="pct"/>
                  <w:tcBorders>
                    <w:tl2br w:val="nil"/>
                    <w:tr2bl w:val="nil"/>
                  </w:tcBorders>
                  <w:noWrap w:val="0"/>
                  <w:vAlign w:val="center"/>
                </w:tcPr>
                <w:p w14:paraId="0B3D4B76">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K53+756.0</w:t>
                  </w:r>
                </w:p>
              </w:tc>
              <w:tc>
                <w:tcPr>
                  <w:tcW w:w="740" w:type="pct"/>
                  <w:tcBorders>
                    <w:tl2br w:val="nil"/>
                    <w:tr2bl w:val="nil"/>
                  </w:tcBorders>
                  <w:noWrap w:val="0"/>
                  <w:vAlign w:val="center"/>
                </w:tcPr>
                <w:p w14:paraId="61E4F78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银龙桥</w:t>
                  </w:r>
                </w:p>
              </w:tc>
              <w:tc>
                <w:tcPr>
                  <w:tcW w:w="714" w:type="pct"/>
                  <w:tcBorders>
                    <w:tl2br w:val="nil"/>
                    <w:tr2bl w:val="nil"/>
                  </w:tcBorders>
                  <w:noWrap w:val="0"/>
                  <w:vAlign w:val="center"/>
                </w:tcPr>
                <w:p w14:paraId="041B0631">
                  <w:pPr>
                    <w:spacing w:line="240" w:lineRule="auto"/>
                    <w:ind w:firstLine="0" w:firstLineChars="0"/>
                    <w:jc w:val="center"/>
                    <w:rPr>
                      <w:rFonts w:hint="eastAsia"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90</w:t>
                  </w:r>
                </w:p>
              </w:tc>
              <w:tc>
                <w:tcPr>
                  <w:tcW w:w="713" w:type="pct"/>
                  <w:tcBorders>
                    <w:tl2br w:val="nil"/>
                    <w:tr2bl w:val="nil"/>
                  </w:tcBorders>
                  <w:noWrap w:val="0"/>
                  <w:vAlign w:val="center"/>
                </w:tcPr>
                <w:p w14:paraId="243EA46A">
                  <w:pPr>
                    <w:spacing w:line="240" w:lineRule="auto"/>
                    <w:ind w:firstLine="0" w:firstLineChars="0"/>
                    <w:jc w:val="center"/>
                    <w:rPr>
                      <w:rFonts w:hint="default" w:cs="Times New Roman"/>
                      <w:snapToGrid w:val="0"/>
                      <w:color w:val="auto"/>
                      <w:position w:val="1"/>
                      <w:sz w:val="21"/>
                      <w:szCs w:val="21"/>
                      <w:lang w:val="en-US" w:eastAsia="zh-CN"/>
                    </w:rPr>
                  </w:pPr>
                  <w:r>
                    <w:rPr>
                      <w:rFonts w:hint="eastAsia" w:cs="Times New Roman"/>
                      <w:snapToGrid w:val="0"/>
                      <w:color w:val="auto"/>
                      <w:position w:val="1"/>
                      <w:sz w:val="21"/>
                      <w:szCs w:val="21"/>
                      <w:lang w:val="en-US" w:eastAsia="zh-CN"/>
                    </w:rPr>
                    <w:t>12</w:t>
                  </w:r>
                </w:p>
              </w:tc>
              <w:tc>
                <w:tcPr>
                  <w:tcW w:w="723" w:type="pct"/>
                  <w:tcBorders>
                    <w:tl2br w:val="nil"/>
                    <w:tr2bl w:val="nil"/>
                  </w:tcBorders>
                  <w:noWrap w:val="0"/>
                  <w:vAlign w:val="center"/>
                </w:tcPr>
                <w:p w14:paraId="2682B3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6.6</w:t>
                  </w:r>
                </w:p>
              </w:tc>
              <w:tc>
                <w:tcPr>
                  <w:tcW w:w="982" w:type="pct"/>
                  <w:tcBorders>
                    <w:tl2br w:val="nil"/>
                    <w:tr2bl w:val="nil"/>
                  </w:tcBorders>
                  <w:noWrap w:val="0"/>
                  <w:vAlign w:val="center"/>
                </w:tcPr>
                <w:p w14:paraId="5AA8F1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桥梁护栏破损</w:t>
                  </w:r>
                </w:p>
              </w:tc>
            </w:tr>
          </w:tbl>
          <w:p w14:paraId="444E1CB2">
            <w:pPr>
              <w:keepNext w:val="0"/>
              <w:keepLines w:val="0"/>
              <w:pageBreakBefore w:val="0"/>
              <w:widowControl w:val="0"/>
              <w:kinsoku/>
              <w:wordWrap/>
              <w:overflowPunct/>
              <w:topLinePunct w:val="0"/>
              <w:autoSpaceDE/>
              <w:autoSpaceDN/>
              <w:bidi w:val="0"/>
              <w:adjustRightInd/>
              <w:snapToGrid/>
              <w:spacing w:before="0" w:beforeLines="0" w:line="360" w:lineRule="auto"/>
              <w:jc w:val="center"/>
              <w:textAlignment w:val="auto"/>
              <w:rPr>
                <w:rFonts w:hint="eastAsia" w:ascii="Times New Roman" w:hAnsi="Times New Roman" w:eastAsia="黑体" w:cs="Times New Roman"/>
                <w:color w:val="auto"/>
                <w:kern w:val="2"/>
                <w:sz w:val="24"/>
                <w:szCs w:val="24"/>
                <w:lang w:val="en-US" w:eastAsia="zh-CN" w:bidi="ar-SA"/>
              </w:rPr>
            </w:pPr>
          </w:p>
          <w:p w14:paraId="3542D5B5">
            <w:pPr>
              <w:keepNext w:val="0"/>
              <w:keepLines w:val="0"/>
              <w:pageBreakBefore w:val="0"/>
              <w:widowControl w:val="0"/>
              <w:kinsoku/>
              <w:wordWrap/>
              <w:overflowPunct/>
              <w:topLinePunct w:val="0"/>
              <w:autoSpaceDE/>
              <w:autoSpaceDN/>
              <w:bidi w:val="0"/>
              <w:adjustRightInd/>
              <w:snapToGrid/>
              <w:spacing w:before="0" w:beforeLines="0" w:line="360" w:lineRule="auto"/>
              <w:jc w:val="center"/>
              <w:textAlignment w:val="auto"/>
              <w:rPr>
                <w:rFonts w:hint="eastAsia" w:ascii="Times New Roman" w:hAnsi="Times New Roman" w:eastAsia="黑体" w:cs="Times New Roman"/>
                <w:color w:val="auto"/>
                <w:kern w:val="2"/>
                <w:sz w:val="24"/>
                <w:szCs w:val="24"/>
                <w:lang w:val="en-US" w:eastAsia="zh-CN" w:bidi="ar-SA"/>
              </w:rPr>
            </w:pPr>
            <w:r>
              <w:rPr>
                <w:rFonts w:hint="eastAsia" w:ascii="Times New Roman" w:hAnsi="Times New Roman" w:eastAsia="黑体" w:cs="Times New Roman"/>
                <w:color w:val="auto"/>
                <w:kern w:val="2"/>
                <w:sz w:val="24"/>
                <w:szCs w:val="24"/>
                <w:lang w:val="en-US" w:eastAsia="zh-CN" w:bidi="ar-SA"/>
              </w:rPr>
              <w:t>表3-</w:t>
            </w:r>
            <w:r>
              <w:rPr>
                <w:rFonts w:hint="eastAsia" w:eastAsia="黑体" w:cs="Times New Roman"/>
                <w:color w:val="auto"/>
                <w:kern w:val="2"/>
                <w:sz w:val="24"/>
                <w:szCs w:val="24"/>
                <w:lang w:val="en-US" w:eastAsia="zh-CN" w:bidi="ar-SA"/>
              </w:rPr>
              <w:t>7</w:t>
            </w:r>
            <w:r>
              <w:rPr>
                <w:rFonts w:hint="eastAsia" w:ascii="Times New Roman" w:hAnsi="Times New Roman" w:eastAsia="黑体" w:cs="Times New Roman"/>
                <w:color w:val="auto"/>
                <w:kern w:val="2"/>
                <w:sz w:val="24"/>
                <w:szCs w:val="24"/>
                <w:lang w:val="en-US" w:eastAsia="zh-CN" w:bidi="ar-SA"/>
              </w:rPr>
              <w:t xml:space="preserve">  旧路涵洞情况表</w:t>
            </w:r>
          </w:p>
          <w:tbl>
            <w:tblPr>
              <w:tblStyle w:val="50"/>
              <w:tblW w:w="4995" w:type="pct"/>
              <w:tblInd w:w="17"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337"/>
              <w:gridCol w:w="827"/>
              <w:gridCol w:w="946"/>
              <w:gridCol w:w="575"/>
              <w:gridCol w:w="1079"/>
              <w:gridCol w:w="626"/>
              <w:gridCol w:w="3073"/>
            </w:tblGrid>
            <w:tr w14:paraId="4C75E9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vMerge w:val="restart"/>
                  <w:tcBorders>
                    <w:tl2br w:val="nil"/>
                    <w:tr2bl w:val="nil"/>
                  </w:tcBorders>
                  <w:vAlign w:val="center"/>
                </w:tcPr>
                <w:p w14:paraId="6D5278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序号</w:t>
                  </w:r>
                </w:p>
              </w:tc>
              <w:tc>
                <w:tcPr>
                  <w:tcW w:w="554" w:type="pct"/>
                  <w:vMerge w:val="restart"/>
                  <w:tcBorders>
                    <w:tl2br w:val="nil"/>
                    <w:tr2bl w:val="nil"/>
                  </w:tcBorders>
                  <w:vAlign w:val="center"/>
                </w:tcPr>
                <w:p w14:paraId="598F45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中心桩号</w:t>
                  </w:r>
                </w:p>
              </w:tc>
              <w:tc>
                <w:tcPr>
                  <w:tcW w:w="633" w:type="pct"/>
                  <w:vMerge w:val="restart"/>
                  <w:tcBorders>
                    <w:tl2br w:val="nil"/>
                    <w:tr2bl w:val="nil"/>
                  </w:tcBorders>
                  <w:vAlign w:val="center"/>
                </w:tcPr>
                <w:p w14:paraId="48F0A6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结构类型</w:t>
                  </w:r>
                </w:p>
              </w:tc>
              <w:tc>
                <w:tcPr>
                  <w:tcW w:w="385" w:type="pct"/>
                  <w:vMerge w:val="restart"/>
                  <w:tcBorders>
                    <w:tl2br w:val="nil"/>
                    <w:tr2bl w:val="nil"/>
                  </w:tcBorders>
                  <w:vAlign w:val="center"/>
                </w:tcPr>
                <w:p w14:paraId="4E35AD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角度（°）</w:t>
                  </w:r>
                </w:p>
              </w:tc>
              <w:tc>
                <w:tcPr>
                  <w:tcW w:w="722" w:type="pct"/>
                  <w:vMerge w:val="restart"/>
                  <w:tcBorders>
                    <w:tl2br w:val="nil"/>
                    <w:tr2bl w:val="nil"/>
                  </w:tcBorders>
                  <w:vAlign w:val="center"/>
                </w:tcPr>
                <w:p w14:paraId="0AC3FC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孔数与孔径</w:t>
                  </w:r>
                </w:p>
                <w:p w14:paraId="5C3DF99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（孔—m）</w:t>
                  </w:r>
                </w:p>
              </w:tc>
              <w:tc>
                <w:tcPr>
                  <w:tcW w:w="419" w:type="pct"/>
                  <w:vMerge w:val="restart"/>
                  <w:tcBorders>
                    <w:tl2br w:val="nil"/>
                    <w:tr2bl w:val="nil"/>
                  </w:tcBorders>
                  <w:vAlign w:val="center"/>
                </w:tcPr>
                <w:p w14:paraId="23E87E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涵洞长度（m）</w:t>
                  </w:r>
                </w:p>
              </w:tc>
              <w:tc>
                <w:tcPr>
                  <w:tcW w:w="2058" w:type="pct"/>
                  <w:vMerge w:val="restart"/>
                  <w:tcBorders>
                    <w:tl2br w:val="nil"/>
                    <w:tr2bl w:val="nil"/>
                  </w:tcBorders>
                  <w:vAlign w:val="center"/>
                </w:tcPr>
                <w:p w14:paraId="78A248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备注</w:t>
                  </w:r>
                </w:p>
              </w:tc>
            </w:tr>
            <w:tr w14:paraId="64211E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vMerge w:val="continue"/>
                  <w:tcBorders>
                    <w:tl2br w:val="nil"/>
                    <w:tr2bl w:val="nil"/>
                  </w:tcBorders>
                  <w:vAlign w:val="center"/>
                </w:tcPr>
                <w:p w14:paraId="44D896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c>
                <w:tcPr>
                  <w:tcW w:w="554" w:type="pct"/>
                  <w:vMerge w:val="continue"/>
                  <w:tcBorders>
                    <w:tl2br w:val="nil"/>
                    <w:tr2bl w:val="nil"/>
                  </w:tcBorders>
                  <w:vAlign w:val="center"/>
                </w:tcPr>
                <w:p w14:paraId="089642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c>
                <w:tcPr>
                  <w:tcW w:w="633" w:type="pct"/>
                  <w:vMerge w:val="continue"/>
                  <w:tcBorders>
                    <w:tl2br w:val="nil"/>
                    <w:tr2bl w:val="nil"/>
                  </w:tcBorders>
                  <w:vAlign w:val="center"/>
                </w:tcPr>
                <w:p w14:paraId="54F3EF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c>
                <w:tcPr>
                  <w:tcW w:w="385" w:type="pct"/>
                  <w:vMerge w:val="continue"/>
                  <w:tcBorders>
                    <w:tl2br w:val="nil"/>
                    <w:tr2bl w:val="nil"/>
                  </w:tcBorders>
                  <w:vAlign w:val="center"/>
                </w:tcPr>
                <w:p w14:paraId="0F6500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c>
                <w:tcPr>
                  <w:tcW w:w="722" w:type="pct"/>
                  <w:vMerge w:val="continue"/>
                  <w:tcBorders>
                    <w:tl2br w:val="nil"/>
                    <w:tr2bl w:val="nil"/>
                  </w:tcBorders>
                  <w:vAlign w:val="center"/>
                </w:tcPr>
                <w:p w14:paraId="6CA5AE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c>
                <w:tcPr>
                  <w:tcW w:w="419" w:type="pct"/>
                  <w:vMerge w:val="continue"/>
                  <w:tcBorders>
                    <w:tl2br w:val="nil"/>
                    <w:tr2bl w:val="nil"/>
                  </w:tcBorders>
                  <w:vAlign w:val="center"/>
                </w:tcPr>
                <w:p w14:paraId="5AF77B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c>
                <w:tcPr>
                  <w:tcW w:w="2058" w:type="pct"/>
                  <w:vMerge w:val="continue"/>
                  <w:tcBorders>
                    <w:tl2br w:val="nil"/>
                    <w:tr2bl w:val="nil"/>
                  </w:tcBorders>
                  <w:vAlign w:val="center"/>
                </w:tcPr>
                <w:p w14:paraId="7FCCFC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p>
              </w:tc>
            </w:tr>
            <w:tr w14:paraId="757E66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24B5055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w:t>
                  </w:r>
                </w:p>
              </w:tc>
              <w:tc>
                <w:tcPr>
                  <w:tcW w:w="554" w:type="pct"/>
                  <w:tcBorders>
                    <w:tl2br w:val="nil"/>
                    <w:tr2bl w:val="nil"/>
                  </w:tcBorders>
                  <w:vAlign w:val="center"/>
                </w:tcPr>
                <w:p w14:paraId="347C41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K14+697</w:t>
                  </w:r>
                </w:p>
              </w:tc>
              <w:tc>
                <w:tcPr>
                  <w:tcW w:w="633" w:type="pct"/>
                  <w:tcBorders>
                    <w:tl2br w:val="nil"/>
                    <w:tr2bl w:val="nil"/>
                  </w:tcBorders>
                  <w:vAlign w:val="center"/>
                </w:tcPr>
                <w:p w14:paraId="76F02A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3D67F0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7DEABD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4691022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11.6</w:t>
                  </w:r>
                </w:p>
              </w:tc>
              <w:tc>
                <w:tcPr>
                  <w:tcW w:w="2058" w:type="pct"/>
                  <w:tcBorders>
                    <w:tl2br w:val="nil"/>
                    <w:tr2bl w:val="nil"/>
                  </w:tcBorders>
                  <w:vAlign w:val="center"/>
                </w:tcPr>
                <w:p w14:paraId="0D69170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6062AE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2B57E6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2</w:t>
                  </w:r>
                </w:p>
              </w:tc>
              <w:tc>
                <w:tcPr>
                  <w:tcW w:w="554" w:type="pct"/>
                  <w:tcBorders>
                    <w:tl2br w:val="nil"/>
                    <w:tr2bl w:val="nil"/>
                  </w:tcBorders>
                  <w:vAlign w:val="center"/>
                </w:tcPr>
                <w:p w14:paraId="530E0D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K24+826</w:t>
                  </w:r>
                </w:p>
              </w:tc>
              <w:tc>
                <w:tcPr>
                  <w:tcW w:w="633" w:type="pct"/>
                  <w:tcBorders>
                    <w:tl2br w:val="nil"/>
                    <w:tr2bl w:val="nil"/>
                  </w:tcBorders>
                  <w:vAlign w:val="center"/>
                </w:tcPr>
                <w:p w14:paraId="70D8B6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075D1D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556DA1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441D64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10.8</w:t>
                  </w:r>
                </w:p>
              </w:tc>
              <w:tc>
                <w:tcPr>
                  <w:tcW w:w="2058" w:type="pct"/>
                  <w:tcBorders>
                    <w:tl2br w:val="nil"/>
                    <w:tr2bl w:val="nil"/>
                  </w:tcBorders>
                  <w:vAlign w:val="center"/>
                </w:tcPr>
                <w:p w14:paraId="62D03E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6181669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09CAB00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3</w:t>
                  </w:r>
                </w:p>
              </w:tc>
              <w:tc>
                <w:tcPr>
                  <w:tcW w:w="554" w:type="pct"/>
                  <w:tcBorders>
                    <w:tl2br w:val="nil"/>
                    <w:tr2bl w:val="nil"/>
                  </w:tcBorders>
                  <w:vAlign w:val="center"/>
                </w:tcPr>
                <w:p w14:paraId="6C6BD0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K25+724</w:t>
                  </w:r>
                </w:p>
              </w:tc>
              <w:tc>
                <w:tcPr>
                  <w:tcW w:w="633" w:type="pct"/>
                  <w:tcBorders>
                    <w:tl2br w:val="nil"/>
                    <w:tr2bl w:val="nil"/>
                  </w:tcBorders>
                  <w:vAlign w:val="center"/>
                </w:tcPr>
                <w:p w14:paraId="7B22282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箱涵</w:t>
                  </w:r>
                </w:p>
              </w:tc>
              <w:tc>
                <w:tcPr>
                  <w:tcW w:w="385" w:type="pct"/>
                  <w:tcBorders>
                    <w:tl2br w:val="nil"/>
                    <w:tr2bl w:val="nil"/>
                  </w:tcBorders>
                  <w:vAlign w:val="center"/>
                </w:tcPr>
                <w:p w14:paraId="7FE3D6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7FC8B2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1-3.0mx1.5m</w:t>
                  </w:r>
                </w:p>
              </w:tc>
              <w:tc>
                <w:tcPr>
                  <w:tcW w:w="419" w:type="pct"/>
                  <w:tcBorders>
                    <w:tl2br w:val="nil"/>
                    <w:tr2bl w:val="nil"/>
                  </w:tcBorders>
                  <w:vAlign w:val="center"/>
                </w:tcPr>
                <w:p w14:paraId="649155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2058" w:type="pct"/>
                  <w:tcBorders>
                    <w:tl2br w:val="nil"/>
                    <w:tr2bl w:val="nil"/>
                  </w:tcBorders>
                  <w:vAlign w:val="center"/>
                </w:tcPr>
                <w:p w14:paraId="7CDBAF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涵洞现状良好</w:t>
                  </w:r>
                </w:p>
              </w:tc>
            </w:tr>
            <w:tr w14:paraId="786F15D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15A71B1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4</w:t>
                  </w:r>
                </w:p>
              </w:tc>
              <w:tc>
                <w:tcPr>
                  <w:tcW w:w="554" w:type="pct"/>
                  <w:tcBorders>
                    <w:tl2br w:val="nil"/>
                    <w:tr2bl w:val="nil"/>
                  </w:tcBorders>
                  <w:vAlign w:val="center"/>
                </w:tcPr>
                <w:p w14:paraId="4D6E674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K29+442</w:t>
                  </w:r>
                </w:p>
              </w:tc>
              <w:tc>
                <w:tcPr>
                  <w:tcW w:w="633" w:type="pct"/>
                  <w:tcBorders>
                    <w:tl2br w:val="nil"/>
                    <w:tr2bl w:val="nil"/>
                  </w:tcBorders>
                  <w:vAlign w:val="center"/>
                </w:tcPr>
                <w:p w14:paraId="3A0EA8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708E2A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5D13715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7DE7E3B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11.0</w:t>
                  </w:r>
                </w:p>
              </w:tc>
              <w:tc>
                <w:tcPr>
                  <w:tcW w:w="2058" w:type="pct"/>
                  <w:tcBorders>
                    <w:tl2br w:val="nil"/>
                    <w:tr2bl w:val="nil"/>
                  </w:tcBorders>
                  <w:vAlign w:val="center"/>
                </w:tcPr>
                <w:p w14:paraId="6C99A4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0B1F49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041402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5</w:t>
                  </w:r>
                </w:p>
              </w:tc>
              <w:tc>
                <w:tcPr>
                  <w:tcW w:w="554" w:type="pct"/>
                  <w:tcBorders>
                    <w:tl2br w:val="nil"/>
                    <w:tr2bl w:val="nil"/>
                  </w:tcBorders>
                  <w:vAlign w:val="center"/>
                </w:tcPr>
                <w:p w14:paraId="754995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K30+490</w:t>
                  </w:r>
                </w:p>
              </w:tc>
              <w:tc>
                <w:tcPr>
                  <w:tcW w:w="633" w:type="pct"/>
                  <w:tcBorders>
                    <w:tl2br w:val="nil"/>
                    <w:tr2bl w:val="nil"/>
                  </w:tcBorders>
                  <w:vAlign w:val="center"/>
                </w:tcPr>
                <w:p w14:paraId="114AF6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14515A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4FB6A5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075E33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11.3</w:t>
                  </w:r>
                </w:p>
              </w:tc>
              <w:tc>
                <w:tcPr>
                  <w:tcW w:w="2058" w:type="pct"/>
                  <w:tcBorders>
                    <w:tl2br w:val="nil"/>
                    <w:tr2bl w:val="nil"/>
                  </w:tcBorders>
                  <w:vAlign w:val="center"/>
                </w:tcPr>
                <w:p w14:paraId="28CD56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06A6BCC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1F289E9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6</w:t>
                  </w:r>
                </w:p>
              </w:tc>
              <w:tc>
                <w:tcPr>
                  <w:tcW w:w="554" w:type="pct"/>
                  <w:tcBorders>
                    <w:tl2br w:val="nil"/>
                    <w:tr2bl w:val="nil"/>
                  </w:tcBorders>
                  <w:vAlign w:val="center"/>
                </w:tcPr>
                <w:p w14:paraId="054E60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K30+916</w:t>
                  </w:r>
                </w:p>
              </w:tc>
              <w:tc>
                <w:tcPr>
                  <w:tcW w:w="633" w:type="pct"/>
                  <w:tcBorders>
                    <w:tl2br w:val="nil"/>
                    <w:tr2bl w:val="nil"/>
                  </w:tcBorders>
                  <w:vAlign w:val="center"/>
                </w:tcPr>
                <w:p w14:paraId="1733E85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箱涵</w:t>
                  </w:r>
                </w:p>
              </w:tc>
              <w:tc>
                <w:tcPr>
                  <w:tcW w:w="385" w:type="pct"/>
                  <w:tcBorders>
                    <w:tl2br w:val="nil"/>
                    <w:tr2bl w:val="nil"/>
                  </w:tcBorders>
                  <w:vAlign w:val="center"/>
                </w:tcPr>
                <w:p w14:paraId="6C4BBE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540338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1-2.0mx1.5m</w:t>
                  </w:r>
                </w:p>
              </w:tc>
              <w:tc>
                <w:tcPr>
                  <w:tcW w:w="419" w:type="pct"/>
                  <w:tcBorders>
                    <w:tl2br w:val="nil"/>
                    <w:tr2bl w:val="nil"/>
                  </w:tcBorders>
                  <w:vAlign w:val="center"/>
                </w:tcPr>
                <w:p w14:paraId="37D364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9.3</w:t>
                  </w:r>
                </w:p>
              </w:tc>
              <w:tc>
                <w:tcPr>
                  <w:tcW w:w="2058" w:type="pct"/>
                  <w:tcBorders>
                    <w:tl2br w:val="nil"/>
                    <w:tr2bl w:val="nil"/>
                  </w:tcBorders>
                  <w:vAlign w:val="center"/>
                </w:tcPr>
                <w:p w14:paraId="6B0A53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涵洞现状良好</w:t>
                  </w:r>
                </w:p>
              </w:tc>
            </w:tr>
            <w:tr w14:paraId="494C21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4FE34D4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7</w:t>
                  </w:r>
                </w:p>
              </w:tc>
              <w:tc>
                <w:tcPr>
                  <w:tcW w:w="554" w:type="pct"/>
                  <w:tcBorders>
                    <w:tl2br w:val="nil"/>
                    <w:tr2bl w:val="nil"/>
                  </w:tcBorders>
                  <w:vAlign w:val="center"/>
                </w:tcPr>
                <w:p w14:paraId="40E988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K38+295</w:t>
                  </w:r>
                </w:p>
              </w:tc>
              <w:tc>
                <w:tcPr>
                  <w:tcW w:w="633" w:type="pct"/>
                  <w:tcBorders>
                    <w:tl2br w:val="nil"/>
                    <w:tr2bl w:val="nil"/>
                  </w:tcBorders>
                  <w:vAlign w:val="center"/>
                </w:tcPr>
                <w:p w14:paraId="17627F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700C4C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02BD3D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1-φ1.5m</w:t>
                  </w:r>
                </w:p>
              </w:tc>
              <w:tc>
                <w:tcPr>
                  <w:tcW w:w="419" w:type="pct"/>
                  <w:tcBorders>
                    <w:tl2br w:val="nil"/>
                    <w:tr2bl w:val="nil"/>
                  </w:tcBorders>
                  <w:vAlign w:val="center"/>
                </w:tcPr>
                <w:p w14:paraId="0CFF0C2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11.2</w:t>
                  </w:r>
                </w:p>
              </w:tc>
              <w:tc>
                <w:tcPr>
                  <w:tcW w:w="2058" w:type="pct"/>
                  <w:tcBorders>
                    <w:tl2br w:val="nil"/>
                    <w:tr2bl w:val="nil"/>
                  </w:tcBorders>
                  <w:vAlign w:val="center"/>
                </w:tcPr>
                <w:p w14:paraId="4E44AA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23BE9A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446C514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8</w:t>
                  </w:r>
                </w:p>
              </w:tc>
              <w:tc>
                <w:tcPr>
                  <w:tcW w:w="554" w:type="pct"/>
                  <w:tcBorders>
                    <w:tl2br w:val="nil"/>
                    <w:tr2bl w:val="nil"/>
                  </w:tcBorders>
                  <w:vAlign w:val="center"/>
                </w:tcPr>
                <w:p w14:paraId="4EC4D39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K40+897</w:t>
                  </w:r>
                </w:p>
              </w:tc>
              <w:tc>
                <w:tcPr>
                  <w:tcW w:w="633" w:type="pct"/>
                  <w:tcBorders>
                    <w:tl2br w:val="nil"/>
                    <w:tr2bl w:val="nil"/>
                  </w:tcBorders>
                  <w:vAlign w:val="center"/>
                </w:tcPr>
                <w:p w14:paraId="11C7D6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231FF9B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5B3EB6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508581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12.0</w:t>
                  </w:r>
                </w:p>
              </w:tc>
              <w:tc>
                <w:tcPr>
                  <w:tcW w:w="2058" w:type="pct"/>
                  <w:tcBorders>
                    <w:tl2br w:val="nil"/>
                    <w:tr2bl w:val="nil"/>
                  </w:tcBorders>
                  <w:vAlign w:val="center"/>
                </w:tcPr>
                <w:p w14:paraId="67CDC1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26FD41E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1C1DD11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w:t>
                  </w:r>
                </w:p>
              </w:tc>
              <w:tc>
                <w:tcPr>
                  <w:tcW w:w="554" w:type="pct"/>
                  <w:tcBorders>
                    <w:tl2br w:val="nil"/>
                    <w:tr2bl w:val="nil"/>
                  </w:tcBorders>
                  <w:vAlign w:val="center"/>
                </w:tcPr>
                <w:p w14:paraId="60EC6CE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K45+873</w:t>
                  </w:r>
                </w:p>
              </w:tc>
              <w:tc>
                <w:tcPr>
                  <w:tcW w:w="633" w:type="pct"/>
                  <w:tcBorders>
                    <w:tl2br w:val="nil"/>
                    <w:tr2bl w:val="nil"/>
                  </w:tcBorders>
                  <w:vAlign w:val="center"/>
                </w:tcPr>
                <w:p w14:paraId="679DA2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箱涵</w:t>
                  </w:r>
                </w:p>
              </w:tc>
              <w:tc>
                <w:tcPr>
                  <w:tcW w:w="385" w:type="pct"/>
                  <w:tcBorders>
                    <w:tl2br w:val="nil"/>
                    <w:tr2bl w:val="nil"/>
                  </w:tcBorders>
                  <w:vAlign w:val="center"/>
                </w:tcPr>
                <w:p w14:paraId="3D80B4F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7C5F11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1-3.0mx1.5m</w:t>
                  </w:r>
                </w:p>
              </w:tc>
              <w:tc>
                <w:tcPr>
                  <w:tcW w:w="419" w:type="pct"/>
                  <w:tcBorders>
                    <w:tl2br w:val="nil"/>
                    <w:tr2bl w:val="nil"/>
                  </w:tcBorders>
                  <w:vAlign w:val="center"/>
                </w:tcPr>
                <w:p w14:paraId="56F6E9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9.3</w:t>
                  </w:r>
                </w:p>
              </w:tc>
              <w:tc>
                <w:tcPr>
                  <w:tcW w:w="2058" w:type="pct"/>
                  <w:tcBorders>
                    <w:tl2br w:val="nil"/>
                    <w:tr2bl w:val="nil"/>
                  </w:tcBorders>
                  <w:vAlign w:val="center"/>
                </w:tcPr>
                <w:p w14:paraId="0D9E39C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涵洞现状良好</w:t>
                  </w:r>
                </w:p>
              </w:tc>
            </w:tr>
            <w:tr w14:paraId="18B35E8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25" w:type="pct"/>
                  <w:tcBorders>
                    <w:tl2br w:val="nil"/>
                    <w:tr2bl w:val="nil"/>
                  </w:tcBorders>
                  <w:vAlign w:val="center"/>
                </w:tcPr>
                <w:p w14:paraId="06A827B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10</w:t>
                  </w:r>
                </w:p>
              </w:tc>
              <w:tc>
                <w:tcPr>
                  <w:tcW w:w="554" w:type="pct"/>
                  <w:tcBorders>
                    <w:tl2br w:val="nil"/>
                    <w:tr2bl w:val="nil"/>
                  </w:tcBorders>
                  <w:vAlign w:val="center"/>
                </w:tcPr>
                <w:p w14:paraId="4930BEF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K48+148</w:t>
                  </w:r>
                </w:p>
              </w:tc>
              <w:tc>
                <w:tcPr>
                  <w:tcW w:w="633" w:type="pct"/>
                  <w:tcBorders>
                    <w:tl2br w:val="nil"/>
                    <w:tr2bl w:val="nil"/>
                  </w:tcBorders>
                  <w:vAlign w:val="center"/>
                </w:tcPr>
                <w:p w14:paraId="488BCB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箱涵</w:t>
                  </w:r>
                </w:p>
              </w:tc>
              <w:tc>
                <w:tcPr>
                  <w:tcW w:w="385" w:type="pct"/>
                  <w:tcBorders>
                    <w:tl2br w:val="nil"/>
                    <w:tr2bl w:val="nil"/>
                  </w:tcBorders>
                  <w:vAlign w:val="center"/>
                </w:tcPr>
                <w:p w14:paraId="0202E4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2B18A4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cs="Times New Roman"/>
                      <w:snapToGrid w:val="0"/>
                      <w:color w:val="auto"/>
                      <w:position w:val="1"/>
                      <w:sz w:val="21"/>
                      <w:szCs w:val="21"/>
                      <w:lang w:val="en-US" w:eastAsia="zh-CN"/>
                    </w:rPr>
                    <w:t>1-2.0mx1.5m</w:t>
                  </w:r>
                </w:p>
              </w:tc>
              <w:tc>
                <w:tcPr>
                  <w:tcW w:w="419" w:type="pct"/>
                  <w:tcBorders>
                    <w:tl2br w:val="nil"/>
                    <w:tr2bl w:val="nil"/>
                  </w:tcBorders>
                  <w:vAlign w:val="center"/>
                </w:tcPr>
                <w:p w14:paraId="325503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10.2</w:t>
                  </w:r>
                </w:p>
              </w:tc>
              <w:tc>
                <w:tcPr>
                  <w:tcW w:w="2058" w:type="pct"/>
                  <w:tcBorders>
                    <w:tl2br w:val="nil"/>
                    <w:tr2bl w:val="nil"/>
                  </w:tcBorders>
                  <w:vAlign w:val="center"/>
                </w:tcPr>
                <w:p w14:paraId="31E6FF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涵洞现状良好</w:t>
                  </w:r>
                </w:p>
              </w:tc>
            </w:tr>
            <w:tr w14:paraId="21BEFC3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25" w:type="pct"/>
                  <w:tcBorders>
                    <w:tl2br w:val="nil"/>
                    <w:tr2bl w:val="nil"/>
                  </w:tcBorders>
                  <w:vAlign w:val="center"/>
                </w:tcPr>
                <w:p w14:paraId="6BE87F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11</w:t>
                  </w:r>
                </w:p>
              </w:tc>
              <w:tc>
                <w:tcPr>
                  <w:tcW w:w="554" w:type="pct"/>
                  <w:tcBorders>
                    <w:tl2br w:val="nil"/>
                    <w:tr2bl w:val="nil"/>
                  </w:tcBorders>
                  <w:vAlign w:val="center"/>
                </w:tcPr>
                <w:p w14:paraId="4C6C0D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K53+363</w:t>
                  </w:r>
                </w:p>
              </w:tc>
              <w:tc>
                <w:tcPr>
                  <w:tcW w:w="633" w:type="pct"/>
                  <w:tcBorders>
                    <w:tl2br w:val="nil"/>
                    <w:tr2bl w:val="nil"/>
                  </w:tcBorders>
                  <w:vAlign w:val="center"/>
                </w:tcPr>
                <w:p w14:paraId="449EC8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43EA0B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22159B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29AB6F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14.7</w:t>
                  </w:r>
                </w:p>
              </w:tc>
              <w:tc>
                <w:tcPr>
                  <w:tcW w:w="2058" w:type="pct"/>
                  <w:tcBorders>
                    <w:tl2br w:val="nil"/>
                    <w:tr2bl w:val="nil"/>
                  </w:tcBorders>
                  <w:vAlign w:val="center"/>
                </w:tcPr>
                <w:p w14:paraId="703A895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r w14:paraId="1EACC2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25" w:type="pct"/>
                  <w:tcBorders>
                    <w:tl2br w:val="nil"/>
                    <w:tr2bl w:val="nil"/>
                  </w:tcBorders>
                  <w:vAlign w:val="center"/>
                </w:tcPr>
                <w:p w14:paraId="5BE4DF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12</w:t>
                  </w:r>
                </w:p>
              </w:tc>
              <w:tc>
                <w:tcPr>
                  <w:tcW w:w="554" w:type="pct"/>
                  <w:tcBorders>
                    <w:tl2br w:val="nil"/>
                    <w:tr2bl w:val="nil"/>
                  </w:tcBorders>
                  <w:vAlign w:val="center"/>
                </w:tcPr>
                <w:p w14:paraId="7BCEEDB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K54+038</w:t>
                  </w:r>
                </w:p>
              </w:tc>
              <w:tc>
                <w:tcPr>
                  <w:tcW w:w="633" w:type="pct"/>
                  <w:tcBorders>
                    <w:tl2br w:val="nil"/>
                    <w:tr2bl w:val="nil"/>
                  </w:tcBorders>
                  <w:vAlign w:val="center"/>
                </w:tcPr>
                <w:p w14:paraId="0D58CE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圆管涵</w:t>
                  </w:r>
                </w:p>
              </w:tc>
              <w:tc>
                <w:tcPr>
                  <w:tcW w:w="385" w:type="pct"/>
                  <w:tcBorders>
                    <w:tl2br w:val="nil"/>
                    <w:tr2bl w:val="nil"/>
                  </w:tcBorders>
                  <w:vAlign w:val="center"/>
                </w:tcPr>
                <w:p w14:paraId="240D00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90</w:t>
                  </w:r>
                </w:p>
              </w:tc>
              <w:tc>
                <w:tcPr>
                  <w:tcW w:w="722" w:type="pct"/>
                  <w:tcBorders>
                    <w:tl2br w:val="nil"/>
                    <w:tr2bl w:val="nil"/>
                  </w:tcBorders>
                  <w:vAlign w:val="center"/>
                </w:tcPr>
                <w:p w14:paraId="489982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1-φ1.0m</w:t>
                  </w:r>
                </w:p>
              </w:tc>
              <w:tc>
                <w:tcPr>
                  <w:tcW w:w="419" w:type="pct"/>
                  <w:tcBorders>
                    <w:tl2br w:val="nil"/>
                    <w:tr2bl w:val="nil"/>
                  </w:tcBorders>
                  <w:vAlign w:val="center"/>
                </w:tcPr>
                <w:p w14:paraId="0B3290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8.8</w:t>
                  </w:r>
                </w:p>
              </w:tc>
              <w:tc>
                <w:tcPr>
                  <w:tcW w:w="2058" w:type="pct"/>
                  <w:tcBorders>
                    <w:tl2br w:val="nil"/>
                    <w:tr2bl w:val="nil"/>
                  </w:tcBorders>
                  <w:vAlign w:val="center"/>
                </w:tcPr>
                <w:p w14:paraId="134EA8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auto"/>
                      <w:spacing w:val="0"/>
                      <w:sz w:val="21"/>
                      <w:szCs w:val="21"/>
                      <w:lang w:val="en-US" w:eastAsia="zh-CN"/>
                    </w:rPr>
                  </w:pPr>
                  <w:r>
                    <w:rPr>
                      <w:rFonts w:hint="eastAsia" w:ascii="Times New Roman" w:hAnsi="Times New Roman" w:eastAsia="宋体" w:cs="Times New Roman"/>
                      <w:snapToGrid w:val="0"/>
                      <w:color w:val="auto"/>
                      <w:spacing w:val="0"/>
                      <w:sz w:val="21"/>
                      <w:szCs w:val="21"/>
                      <w:lang w:val="en-US" w:eastAsia="zh-CN"/>
                    </w:rPr>
                    <w:t>涵洞破损，原有涵洞无基础及端墙</w:t>
                  </w:r>
                </w:p>
              </w:tc>
            </w:tr>
          </w:tbl>
          <w:p w14:paraId="396EB27E">
            <w:pPr>
              <w:spacing w:line="360" w:lineRule="auto"/>
              <w:ind w:firstLine="480" w:firstLineChars="200"/>
              <w:rPr>
                <w:rFonts w:hint="eastAsia"/>
                <w:color w:val="auto"/>
                <w:kern w:val="0"/>
                <w:szCs w:val="21"/>
              </w:rPr>
            </w:pPr>
            <w:r>
              <w:rPr>
                <w:rFonts w:hint="eastAsia"/>
                <w:color w:val="auto"/>
                <w:kern w:val="0"/>
                <w:szCs w:val="21"/>
              </w:rPr>
              <w:t>（3）现有旧路路基、路面情况</w:t>
            </w:r>
          </w:p>
          <w:p w14:paraId="0F118643">
            <w:pPr>
              <w:keepNext w:val="0"/>
              <w:keepLines w:val="0"/>
              <w:widowControl/>
              <w:suppressLineNumbers w:val="0"/>
              <w:jc w:val="left"/>
              <w:rPr>
                <w:rFonts w:hint="eastAsia" w:ascii="Times New Roman" w:hAnsi="Times New Roman" w:eastAsia="宋体" w:cs="Times New Roman"/>
                <w:color w:val="auto"/>
                <w:highlight w:val="none"/>
                <w:lang w:eastAsia="zh-CN"/>
              </w:rPr>
            </w:pPr>
            <w:r>
              <w:rPr>
                <w:rFonts w:hint="eastAsia"/>
                <w:color w:val="auto"/>
                <w:highlight w:val="none"/>
                <w:lang w:eastAsia="zh-CN"/>
              </w:rPr>
              <w:t>本项目既有公路均为水泥混凝土路面，现有</w:t>
            </w:r>
            <w:r>
              <w:rPr>
                <w:rFonts w:hint="eastAsia"/>
                <w:color w:val="auto"/>
                <w:highlight w:val="none"/>
                <w:lang w:val="en-US" w:eastAsia="zh-CN"/>
              </w:rPr>
              <w:t>公路经过多年使</w:t>
            </w:r>
            <w:r>
              <w:rPr>
                <w:rFonts w:hint="eastAsia" w:ascii="Times New Roman" w:hAnsi="Times New Roman" w:eastAsia="宋体" w:cs="Times New Roman"/>
                <w:color w:val="auto"/>
                <w:highlight w:val="none"/>
                <w:lang w:val="en-US" w:eastAsia="zh-CN"/>
              </w:rPr>
              <w:t>用破碎板、唧泥剥落、接缝料损坏、坑洞、拱起、露骨等病害逐年加重，旧路路面破损严重，公路的服务水平急剧下降导致车辆运行速度较慢，运输效率低下，现已无法承载日益增加的交通量，行车存在安全隐患，严重制约了本段公路的通行能力及通行条件，成为制约当地经济发展的瓶颈。</w:t>
            </w:r>
          </w:p>
          <w:p w14:paraId="3B198607">
            <w:pPr>
              <w:pStyle w:val="34"/>
              <w:ind w:left="0" w:leftChars="0" w:firstLine="0" w:firstLineChars="0"/>
              <w:rPr>
                <w:color w:val="auto"/>
              </w:rPr>
            </w:pPr>
            <w:r>
              <w:rPr>
                <w:color w:val="auto"/>
              </w:rPr>
              <w:drawing>
                <wp:inline distT="0" distB="0" distL="114300" distR="114300">
                  <wp:extent cx="2357755" cy="1491615"/>
                  <wp:effectExtent l="0" t="0" r="4445" b="1333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21"/>
                          <a:stretch>
                            <a:fillRect/>
                          </a:stretch>
                        </pic:blipFill>
                        <pic:spPr>
                          <a:xfrm>
                            <a:off x="0" y="0"/>
                            <a:ext cx="2357755" cy="1491615"/>
                          </a:xfrm>
                          <a:prstGeom prst="rect">
                            <a:avLst/>
                          </a:prstGeom>
                          <a:noFill/>
                          <a:ln>
                            <a:noFill/>
                          </a:ln>
                        </pic:spPr>
                      </pic:pic>
                    </a:graphicData>
                  </a:graphic>
                </wp:inline>
              </w:drawing>
            </w:r>
            <w:r>
              <w:rPr>
                <w:rFonts w:hint="eastAsia"/>
                <w:color w:val="auto"/>
                <w:lang w:val="en-US" w:eastAsia="zh-CN"/>
              </w:rPr>
              <w:t xml:space="preserve"> </w:t>
            </w:r>
            <w:r>
              <w:rPr>
                <w:color w:val="auto"/>
              </w:rPr>
              <w:drawing>
                <wp:inline distT="0" distB="0" distL="114300" distR="114300">
                  <wp:extent cx="2164080" cy="1506220"/>
                  <wp:effectExtent l="0" t="0" r="7620" b="1778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2"/>
                          <a:stretch>
                            <a:fillRect/>
                          </a:stretch>
                        </pic:blipFill>
                        <pic:spPr>
                          <a:xfrm>
                            <a:off x="0" y="0"/>
                            <a:ext cx="2164080" cy="1506220"/>
                          </a:xfrm>
                          <a:prstGeom prst="rect">
                            <a:avLst/>
                          </a:prstGeom>
                          <a:noFill/>
                          <a:ln>
                            <a:noFill/>
                          </a:ln>
                        </pic:spPr>
                      </pic:pic>
                    </a:graphicData>
                  </a:graphic>
                </wp:inline>
              </w:drawing>
            </w:r>
          </w:p>
          <w:p w14:paraId="1E634375">
            <w:pPr>
              <w:pStyle w:val="34"/>
              <w:ind w:left="0" w:leftChars="0" w:firstLine="0" w:firstLineChars="0"/>
              <w:rPr>
                <w:color w:val="auto"/>
              </w:rPr>
            </w:pPr>
            <w:r>
              <w:rPr>
                <w:color w:val="auto"/>
              </w:rPr>
              <w:drawing>
                <wp:inline distT="0" distB="0" distL="114300" distR="114300">
                  <wp:extent cx="2200275" cy="1497965"/>
                  <wp:effectExtent l="0" t="0" r="9525" b="698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3"/>
                          <a:stretch>
                            <a:fillRect/>
                          </a:stretch>
                        </pic:blipFill>
                        <pic:spPr>
                          <a:xfrm>
                            <a:off x="0" y="0"/>
                            <a:ext cx="2200275" cy="1497965"/>
                          </a:xfrm>
                          <a:prstGeom prst="rect">
                            <a:avLst/>
                          </a:prstGeom>
                          <a:noFill/>
                          <a:ln>
                            <a:noFill/>
                          </a:ln>
                        </pic:spPr>
                      </pic:pic>
                    </a:graphicData>
                  </a:graphic>
                </wp:inline>
              </w:drawing>
            </w:r>
            <w:r>
              <w:rPr>
                <w:rFonts w:hint="eastAsia"/>
                <w:color w:val="auto"/>
                <w:lang w:val="en-US" w:eastAsia="zh-CN"/>
              </w:rPr>
              <w:t xml:space="preserve"> </w:t>
            </w:r>
            <w:r>
              <w:rPr>
                <w:color w:val="auto"/>
              </w:rPr>
              <w:drawing>
                <wp:inline distT="0" distB="0" distL="114300" distR="114300">
                  <wp:extent cx="2319020" cy="1497965"/>
                  <wp:effectExtent l="0" t="0" r="5080" b="698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4"/>
                          <a:stretch>
                            <a:fillRect/>
                          </a:stretch>
                        </pic:blipFill>
                        <pic:spPr>
                          <a:xfrm>
                            <a:off x="0" y="0"/>
                            <a:ext cx="2319020" cy="1497965"/>
                          </a:xfrm>
                          <a:prstGeom prst="rect">
                            <a:avLst/>
                          </a:prstGeom>
                          <a:noFill/>
                          <a:ln>
                            <a:noFill/>
                          </a:ln>
                        </pic:spPr>
                      </pic:pic>
                    </a:graphicData>
                  </a:graphic>
                </wp:inline>
              </w:drawing>
            </w:r>
          </w:p>
          <w:p w14:paraId="6132AD5A">
            <w:pPr>
              <w:pStyle w:val="34"/>
              <w:ind w:left="0" w:leftChars="0" w:firstLine="0" w:firstLineChars="0"/>
              <w:jc w:val="center"/>
              <w:rPr>
                <w:rFonts w:hint="default" w:ascii="Times New Roman" w:hAnsi="Times New Roman" w:eastAsia="黑体" w:cs="Times New Roman"/>
                <w:b w:val="0"/>
                <w:bCs w:val="0"/>
                <w:color w:val="auto"/>
                <w:highlight w:val="none"/>
                <w:lang w:val="en-US" w:eastAsia="zh-CN"/>
              </w:rPr>
            </w:pPr>
            <w:r>
              <w:rPr>
                <w:rFonts w:hint="default" w:ascii="Times New Roman" w:hAnsi="Times New Roman" w:eastAsia="黑体" w:cs="Times New Roman"/>
                <w:b w:val="0"/>
                <w:bCs w:val="0"/>
                <w:color w:val="auto"/>
                <w:highlight w:val="none"/>
                <w:lang w:eastAsia="zh-CN"/>
              </w:rPr>
              <w:t>图</w:t>
            </w:r>
            <w:r>
              <w:rPr>
                <w:rFonts w:hint="default" w:ascii="Times New Roman" w:hAnsi="Times New Roman" w:eastAsia="黑体" w:cs="Times New Roman"/>
                <w:b w:val="0"/>
                <w:bCs w:val="0"/>
                <w:color w:val="auto"/>
                <w:highlight w:val="none"/>
                <w:lang w:val="en-US" w:eastAsia="zh-CN"/>
              </w:rPr>
              <w:t>3</w:t>
            </w:r>
            <w:r>
              <w:rPr>
                <w:rFonts w:hint="eastAsia" w:eastAsia="黑体" w:cs="Times New Roman"/>
                <w:b w:val="0"/>
                <w:bCs w:val="0"/>
                <w:color w:val="auto"/>
                <w:highlight w:val="none"/>
                <w:lang w:val="en-US" w:eastAsia="zh-CN"/>
              </w:rPr>
              <w:t>-2</w:t>
            </w:r>
            <w:r>
              <w:rPr>
                <w:rFonts w:hint="default" w:ascii="Times New Roman" w:hAnsi="Times New Roman" w:eastAsia="黑体" w:cs="Times New Roman"/>
                <w:b w:val="0"/>
                <w:bCs w:val="0"/>
                <w:color w:val="auto"/>
                <w:highlight w:val="none"/>
                <w:lang w:val="en-US" w:eastAsia="zh-CN"/>
              </w:rPr>
              <w:t xml:space="preserve">  既有旧路病害图</w:t>
            </w:r>
          </w:p>
          <w:p w14:paraId="2D213F69">
            <w:pPr>
              <w:spacing w:line="360" w:lineRule="auto"/>
              <w:ind w:firstLine="480" w:firstLineChars="200"/>
              <w:rPr>
                <w:rFonts w:hint="eastAsia"/>
                <w:color w:val="auto"/>
                <w:kern w:val="0"/>
                <w:szCs w:val="21"/>
              </w:rPr>
            </w:pPr>
            <w:r>
              <w:rPr>
                <w:rFonts w:hint="eastAsia"/>
                <w:color w:val="auto"/>
                <w:kern w:val="0"/>
                <w:szCs w:val="21"/>
              </w:rPr>
              <w:t>2、主要环境问题</w:t>
            </w:r>
          </w:p>
          <w:p w14:paraId="4D707917">
            <w:pPr>
              <w:spacing w:line="360" w:lineRule="auto"/>
              <w:ind w:firstLine="480" w:firstLineChars="200"/>
              <w:rPr>
                <w:rFonts w:hint="eastAsia"/>
                <w:color w:val="auto"/>
                <w:kern w:val="0"/>
                <w:szCs w:val="21"/>
                <w:highlight w:val="none"/>
              </w:rPr>
            </w:pPr>
            <w:r>
              <w:rPr>
                <w:rFonts w:hint="eastAsia"/>
                <w:color w:val="auto"/>
                <w:kern w:val="0"/>
                <w:szCs w:val="21"/>
              </w:rPr>
              <w:t>（1）</w:t>
            </w:r>
            <w:r>
              <w:rPr>
                <w:rFonts w:hint="eastAsia"/>
                <w:color w:val="auto"/>
                <w:kern w:val="0"/>
                <w:szCs w:val="21"/>
                <w:highlight w:val="none"/>
              </w:rPr>
              <w:t>大气污染物排放</w:t>
            </w:r>
          </w:p>
          <w:p w14:paraId="0582C8F3">
            <w:pPr>
              <w:spacing w:line="360" w:lineRule="auto"/>
              <w:ind w:firstLine="480" w:firstLineChars="200"/>
              <w:rPr>
                <w:rFonts w:hint="eastAsia"/>
                <w:color w:val="auto"/>
                <w:kern w:val="0"/>
                <w:szCs w:val="21"/>
                <w:highlight w:val="none"/>
              </w:rPr>
            </w:pPr>
            <w:r>
              <w:rPr>
                <w:rFonts w:hint="eastAsia"/>
                <w:color w:val="auto"/>
                <w:kern w:val="0"/>
                <w:szCs w:val="21"/>
                <w:highlight w:val="none"/>
                <w:lang w:val="en-US" w:eastAsia="zh-CN"/>
              </w:rPr>
              <w:t>经调查，</w:t>
            </w:r>
            <w:r>
              <w:rPr>
                <w:rFonts w:hint="eastAsia"/>
                <w:color w:val="auto"/>
                <w:kern w:val="0"/>
                <w:szCs w:val="21"/>
                <w:highlight w:val="none"/>
              </w:rPr>
              <w:t>现有</w:t>
            </w:r>
            <w:r>
              <w:rPr>
                <w:rFonts w:hint="eastAsia"/>
                <w:color w:val="auto"/>
                <w:kern w:val="0"/>
                <w:szCs w:val="21"/>
                <w:highlight w:val="none"/>
                <w:lang w:eastAsia="zh-CN"/>
              </w:rPr>
              <w:t>公路</w:t>
            </w:r>
            <w:r>
              <w:rPr>
                <w:rFonts w:hint="eastAsia"/>
                <w:color w:val="auto"/>
                <w:kern w:val="0"/>
                <w:szCs w:val="21"/>
                <w:highlight w:val="none"/>
              </w:rPr>
              <w:t>主要大气污染物为汽车尾气，经现场踏查，现有</w:t>
            </w:r>
            <w:r>
              <w:rPr>
                <w:rFonts w:hint="eastAsia"/>
                <w:color w:val="auto"/>
                <w:kern w:val="0"/>
                <w:szCs w:val="21"/>
                <w:highlight w:val="none"/>
                <w:lang w:eastAsia="zh-CN"/>
              </w:rPr>
              <w:t>公路</w:t>
            </w:r>
            <w:r>
              <w:rPr>
                <w:rFonts w:hint="eastAsia"/>
                <w:color w:val="auto"/>
                <w:kern w:val="0"/>
                <w:szCs w:val="21"/>
                <w:highlight w:val="none"/>
              </w:rPr>
              <w:t>两侧种植了适宜当地生长的林草，沿线植被覆盖率较高，植被生长良好，可有效</w:t>
            </w:r>
            <w:r>
              <w:rPr>
                <w:rFonts w:hint="eastAsia"/>
                <w:color w:val="auto"/>
                <w:kern w:val="0"/>
                <w:szCs w:val="21"/>
                <w:highlight w:val="none"/>
                <w:lang w:eastAsia="zh-CN"/>
              </w:rPr>
              <w:t>地</w:t>
            </w:r>
            <w:r>
              <w:rPr>
                <w:rFonts w:hint="eastAsia"/>
                <w:color w:val="auto"/>
                <w:kern w:val="0"/>
                <w:szCs w:val="21"/>
                <w:highlight w:val="none"/>
              </w:rPr>
              <w:t>净化尾气、扬尘等，本项目沿线周边大气环境较好。</w:t>
            </w:r>
          </w:p>
          <w:p w14:paraId="391947C7">
            <w:pPr>
              <w:spacing w:line="360" w:lineRule="auto"/>
              <w:ind w:firstLine="480" w:firstLineChars="20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（2）噪声</w:t>
            </w:r>
          </w:p>
          <w:p w14:paraId="056C4FF4">
            <w:pPr>
              <w:spacing w:line="360" w:lineRule="auto"/>
              <w:ind w:firstLine="480" w:firstLineChars="200"/>
              <w:rPr>
                <w:rFonts w:hint="eastAsia"/>
                <w:color w:val="auto"/>
                <w:kern w:val="0"/>
                <w:szCs w:val="21"/>
                <w:highlight w:val="none"/>
              </w:rPr>
            </w:pPr>
            <w:r>
              <w:rPr>
                <w:rFonts w:hint="eastAsia" w:ascii="Times New Roman" w:hAnsi="Times New Roman" w:eastAsia="宋体" w:cs="Times New Roman"/>
                <w:color w:val="auto"/>
                <w:highlight w:val="none"/>
              </w:rPr>
              <w:t>本项目委托中科指南针（黑龙江）检验检测有限公司于202</w:t>
            </w:r>
            <w:r>
              <w:rPr>
                <w:rFonts w:hint="eastAsia" w:cs="Times New Roman"/>
                <w:color w:val="auto"/>
                <w:highlight w:val="none"/>
                <w:lang w:val="en-US" w:eastAsia="zh-CN"/>
              </w:rPr>
              <w:t>6</w:t>
            </w:r>
            <w:r>
              <w:rPr>
                <w:rFonts w:hint="eastAsia" w:ascii="Times New Roman" w:hAnsi="Times New Roman" w:eastAsia="宋体" w:cs="Times New Roman"/>
                <w:color w:val="auto"/>
                <w:highlight w:val="none"/>
              </w:rPr>
              <w:t>年</w:t>
            </w:r>
            <w:r>
              <w:rPr>
                <w:rFonts w:hint="eastAsia" w:cs="Times New Roman"/>
                <w:color w:val="auto"/>
                <w:highlight w:val="none"/>
                <w:lang w:val="en-US" w:eastAsia="zh-CN"/>
              </w:rPr>
              <w:t>5</w:t>
            </w:r>
            <w:r>
              <w:rPr>
                <w:rFonts w:hint="eastAsia" w:ascii="Times New Roman" w:hAnsi="Times New Roman" w:eastAsia="宋体" w:cs="Times New Roman"/>
                <w:color w:val="auto"/>
                <w:highlight w:val="none"/>
              </w:rPr>
              <w:t>月</w:t>
            </w:r>
            <w:r>
              <w:rPr>
                <w:rFonts w:hint="eastAsia" w:cs="Times New Roman"/>
                <w:color w:val="auto"/>
                <w:highlight w:val="none"/>
                <w:lang w:val="en-US" w:eastAsia="zh-CN"/>
              </w:rPr>
              <w:t>1</w:t>
            </w:r>
            <w:r>
              <w:rPr>
                <w:rFonts w:hint="eastAsia" w:ascii="Times New Roman" w:hAnsi="Times New Roman" w:eastAsia="宋体" w:cs="Times New Roman"/>
                <w:color w:val="auto"/>
                <w:highlight w:val="none"/>
              </w:rPr>
              <w:t>日至202</w:t>
            </w:r>
            <w:r>
              <w:rPr>
                <w:rFonts w:hint="eastAsia" w:cs="Times New Roman"/>
                <w:color w:val="auto"/>
                <w:highlight w:val="none"/>
                <w:lang w:val="en-US" w:eastAsia="zh-CN"/>
              </w:rPr>
              <w:t>6</w:t>
            </w:r>
            <w:r>
              <w:rPr>
                <w:rFonts w:hint="eastAsia" w:ascii="Times New Roman" w:hAnsi="Times New Roman" w:eastAsia="宋体" w:cs="Times New Roman"/>
                <w:color w:val="auto"/>
                <w:highlight w:val="none"/>
              </w:rPr>
              <w:t>年</w:t>
            </w:r>
            <w:r>
              <w:rPr>
                <w:rFonts w:hint="eastAsia" w:cs="Times New Roman"/>
                <w:color w:val="auto"/>
                <w:highlight w:val="none"/>
                <w:lang w:val="en-US" w:eastAsia="zh-CN"/>
              </w:rPr>
              <w:t>5</w:t>
            </w:r>
            <w:r>
              <w:rPr>
                <w:rFonts w:hint="eastAsia" w:ascii="Times New Roman" w:hAnsi="Times New Roman" w:eastAsia="宋体" w:cs="Times New Roman"/>
                <w:color w:val="auto"/>
                <w:highlight w:val="none"/>
              </w:rPr>
              <w:t>月</w:t>
            </w:r>
            <w:r>
              <w:rPr>
                <w:rFonts w:hint="eastAsia" w:cs="Times New Roman"/>
                <w:color w:val="auto"/>
                <w:highlight w:val="none"/>
                <w:lang w:val="en-US" w:eastAsia="zh-CN"/>
              </w:rPr>
              <w:t>2</w:t>
            </w:r>
            <w:r>
              <w:rPr>
                <w:rFonts w:hint="eastAsia" w:ascii="Times New Roman" w:hAnsi="Times New Roman" w:eastAsia="宋体" w:cs="Times New Roman"/>
                <w:color w:val="auto"/>
                <w:highlight w:val="none"/>
              </w:rPr>
              <w:t>日对沿线周边</w:t>
            </w:r>
            <w:r>
              <w:rPr>
                <w:rFonts w:hint="eastAsia" w:cs="Times New Roman"/>
                <w:color w:val="auto"/>
                <w:highlight w:val="none"/>
                <w:lang w:eastAsia="zh-CN"/>
              </w:rPr>
              <w:t>部分</w:t>
            </w:r>
            <w:r>
              <w:rPr>
                <w:rFonts w:hint="eastAsia" w:ascii="Times New Roman" w:hAnsi="Times New Roman" w:eastAsia="宋体" w:cs="Times New Roman"/>
                <w:color w:val="auto"/>
                <w:highlight w:val="none"/>
              </w:rPr>
              <w:t>环境保护目标进行了监测，经监测，</w:t>
            </w:r>
            <w:r>
              <w:rPr>
                <w:rFonts w:hint="eastAsia"/>
                <w:color w:val="auto"/>
                <w:highlight w:val="none"/>
              </w:rPr>
              <w:t>各监测点声环境质量均满足《声环境质量标准》（GB</w:t>
            </w:r>
            <w:r>
              <w:rPr>
                <w:rFonts w:hint="eastAsia"/>
                <w:color w:val="auto"/>
                <w:highlight w:val="none"/>
                <w:lang w:val="en-US" w:eastAsia="zh-CN"/>
              </w:rPr>
              <w:t xml:space="preserve"> </w:t>
            </w:r>
            <w:r>
              <w:rPr>
                <w:rFonts w:hint="eastAsia"/>
                <w:color w:val="auto"/>
                <w:highlight w:val="none"/>
              </w:rPr>
              <w:t>3096-2008）中的</w:t>
            </w:r>
            <w:r>
              <w:rPr>
                <w:rFonts w:hint="eastAsia"/>
                <w:color w:val="auto"/>
                <w:highlight w:val="none"/>
                <w:lang w:val="en-US" w:eastAsia="zh-CN"/>
              </w:rPr>
              <w:t>1</w:t>
            </w:r>
            <w:r>
              <w:rPr>
                <w:rFonts w:hint="eastAsia"/>
                <w:color w:val="auto"/>
                <w:highlight w:val="none"/>
              </w:rPr>
              <w:t>类标准</w:t>
            </w:r>
            <w:r>
              <w:rPr>
                <w:rFonts w:hint="eastAsia" w:cs="Times New Roman"/>
                <w:color w:val="auto"/>
                <w:highlight w:val="none"/>
                <w:lang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，声环境质量较好。</w:t>
            </w:r>
          </w:p>
          <w:p w14:paraId="179B05CD">
            <w:pPr>
              <w:spacing w:line="360" w:lineRule="auto"/>
              <w:ind w:firstLine="480" w:firstLineChars="200"/>
              <w:rPr>
                <w:color w:val="auto"/>
                <w:kern w:val="0"/>
                <w:szCs w:val="21"/>
              </w:rPr>
            </w:pPr>
            <w:r>
              <w:rPr>
                <w:rFonts w:hint="eastAsia"/>
                <w:color w:val="auto"/>
                <w:kern w:val="0"/>
                <w:szCs w:val="21"/>
              </w:rPr>
              <w:t>（3）生态环境问题</w:t>
            </w:r>
          </w:p>
          <w:p w14:paraId="6CC96ED2">
            <w:pPr>
              <w:spacing w:line="360" w:lineRule="auto"/>
              <w:ind w:firstLine="480" w:firstLineChars="200"/>
              <w:rPr>
                <w:rFonts w:hint="eastAsia"/>
                <w:color w:val="auto"/>
                <w:kern w:val="0"/>
                <w:szCs w:val="21"/>
              </w:rPr>
            </w:pPr>
            <w:r>
              <w:rPr>
                <w:rFonts w:hint="eastAsia"/>
                <w:color w:val="auto"/>
                <w:kern w:val="0"/>
                <w:szCs w:val="21"/>
              </w:rPr>
              <w:t>本项目位于</w:t>
            </w:r>
            <w:r>
              <w:rPr>
                <w:rFonts w:hint="eastAsia"/>
                <w:color w:val="auto"/>
                <w:kern w:val="0"/>
                <w:szCs w:val="21"/>
                <w:lang w:eastAsia="zh-CN"/>
              </w:rPr>
              <w:t>黑龙江省双鸭山市宝清县</w:t>
            </w:r>
            <w:r>
              <w:rPr>
                <w:rFonts w:hint="eastAsia"/>
                <w:color w:val="auto"/>
                <w:kern w:val="0"/>
                <w:szCs w:val="21"/>
              </w:rPr>
              <w:t>，原有</w:t>
            </w:r>
            <w:r>
              <w:rPr>
                <w:rFonts w:hint="eastAsia"/>
                <w:color w:val="auto"/>
                <w:kern w:val="0"/>
                <w:szCs w:val="21"/>
                <w:lang w:eastAsia="zh-CN"/>
              </w:rPr>
              <w:t>公路</w:t>
            </w:r>
            <w:r>
              <w:rPr>
                <w:rFonts w:hint="eastAsia"/>
                <w:color w:val="auto"/>
                <w:kern w:val="0"/>
                <w:szCs w:val="21"/>
              </w:rPr>
              <w:t>沿线植被生长良好，未发现历史遗留问题。</w:t>
            </w:r>
          </w:p>
          <w:p w14:paraId="0568EEAE">
            <w:pPr>
              <w:spacing w:line="360" w:lineRule="auto"/>
              <w:ind w:firstLine="480" w:firstLineChars="200"/>
              <w:rPr>
                <w:rFonts w:hint="eastAsia"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rPr>
              <w:t>综上所述，原有</w:t>
            </w:r>
            <w:r>
              <w:rPr>
                <w:rFonts w:hint="eastAsia" w:cs="Times New Roman"/>
                <w:color w:val="auto"/>
                <w:kern w:val="0"/>
                <w:szCs w:val="21"/>
                <w:lang w:eastAsia="zh-CN"/>
              </w:rPr>
              <w:t>公路</w:t>
            </w:r>
            <w:r>
              <w:rPr>
                <w:rFonts w:hint="eastAsia" w:ascii="Times New Roman" w:hAnsi="Times New Roman" w:eastAsia="宋体" w:cs="Times New Roman"/>
                <w:color w:val="auto"/>
                <w:kern w:val="0"/>
                <w:szCs w:val="21"/>
              </w:rPr>
              <w:t>不存在环境污染问题，无需整改。</w:t>
            </w:r>
          </w:p>
        </w:tc>
      </w:tr>
      <w:tr w14:paraId="0C1A63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35" w:hRule="atLeast"/>
          <w:jc w:val="center"/>
        </w:trPr>
        <w:tc>
          <w:tcPr>
            <w:tcW w:w="490" w:type="pct"/>
            <w:noWrap w:val="0"/>
            <w:vAlign w:val="center"/>
          </w:tcPr>
          <w:p w14:paraId="31C52C42">
            <w:pPr>
              <w:pStyle w:val="38"/>
              <w:rPr>
                <w:rFonts w:hint="default"/>
                <w:color w:val="auto"/>
                <w:highlight w:val="none"/>
              </w:rPr>
            </w:pPr>
            <w:r>
              <w:rPr>
                <w:rFonts w:hint="default"/>
                <w:color w:val="auto"/>
                <w:highlight w:val="none"/>
              </w:rPr>
              <w:t>生态环境保护目标</w:t>
            </w:r>
          </w:p>
        </w:tc>
        <w:tc>
          <w:tcPr>
            <w:tcW w:w="4509" w:type="pct"/>
            <w:noWrap w:val="0"/>
            <w:vAlign w:val="center"/>
          </w:tcPr>
          <w:p w14:paraId="16096A94">
            <w:pPr>
              <w:pStyle w:val="34"/>
              <w:ind w:firstLine="480"/>
              <w:rPr>
                <w:color w:val="auto"/>
                <w:highlight w:val="none"/>
              </w:rPr>
            </w:pPr>
            <w:r>
              <w:rPr>
                <w:color w:val="auto"/>
                <w:highlight w:val="none"/>
              </w:rPr>
              <w:t>1、生态环境保护目标</w:t>
            </w:r>
          </w:p>
          <w:p w14:paraId="109C9C84">
            <w:pPr>
              <w:bidi w:val="0"/>
              <w:rPr>
                <w:rFonts w:hint="default"/>
                <w:color w:val="auto"/>
                <w:highlight w:val="yellow"/>
                <w:lang w:val="en-US" w:eastAsia="zh-CN"/>
              </w:rPr>
            </w:pPr>
            <w:r>
              <w:rPr>
                <w:rFonts w:hint="eastAsia"/>
                <w:color w:val="auto"/>
                <w:highlight w:val="none"/>
                <w:lang w:val="en-US" w:eastAsia="zh-CN"/>
              </w:rPr>
              <w:t>本项目为改、扩建项目，线路全线位于黑龙江省双鸭山市宝清县境内。通过对项目周边区域生态敏感区的识别，</w:t>
            </w:r>
            <w:r>
              <w:rPr>
                <w:color w:val="auto"/>
                <w:sz w:val="24"/>
                <w:szCs w:val="24"/>
                <w:highlight w:val="none"/>
              </w:rPr>
              <w:t>本项目</w:t>
            </w:r>
            <w:r>
              <w:rPr>
                <w:rFonts w:hint="eastAsia"/>
                <w:color w:val="auto"/>
                <w:highlight w:val="none"/>
                <w:lang w:val="en-US" w:eastAsia="zh-CN"/>
              </w:rPr>
              <w:t>线路桩号K18+920</w:t>
            </w:r>
            <w:r>
              <w:rPr>
                <w:rFonts w:hint="eastAsia" w:ascii="Times New Roman" w:hAnsi="Times New Roman" w:eastAsia="宋体" w:cs="Times New Roman"/>
                <w:color w:val="auto"/>
                <w:highlight w:val="none"/>
                <w:lang w:val="en-US" w:eastAsia="zh-CN"/>
              </w:rPr>
              <w:t>～</w:t>
            </w:r>
            <w:r>
              <w:rPr>
                <w:rFonts w:hint="eastAsia"/>
                <w:color w:val="auto"/>
                <w:highlight w:val="none"/>
                <w:lang w:val="en-US" w:eastAsia="zh-CN"/>
              </w:rPr>
              <w:t>K20+680</w:t>
            </w:r>
            <w:r>
              <w:rPr>
                <w:rFonts w:hint="eastAsia"/>
                <w:color w:val="auto"/>
                <w:sz w:val="24"/>
                <w:szCs w:val="24"/>
                <w:highlight w:val="none"/>
                <w:lang w:val="en-US" w:eastAsia="zh-CN"/>
              </w:rPr>
              <w:t>段约1.76km</w:t>
            </w:r>
            <w:r>
              <w:rPr>
                <w:color w:val="auto"/>
                <w:sz w:val="24"/>
                <w:szCs w:val="24"/>
                <w:highlight w:val="none"/>
              </w:rPr>
              <w:t>穿越生态保护</w:t>
            </w:r>
            <w:r>
              <w:rPr>
                <w:rFonts w:hint="eastAsia" w:ascii="Times New Roman" w:hAnsi="Times New Roman" w:eastAsia="宋体" w:cs="Times New Roman"/>
                <w:color w:val="auto"/>
                <w:highlight w:val="none"/>
                <w:lang w:val="en-US" w:eastAsia="zh-CN"/>
              </w:rPr>
              <w:t>红线；本项目线路桩号</w:t>
            </w:r>
            <w:r>
              <w:rPr>
                <w:rFonts w:hint="eastAsia"/>
                <w:color w:val="auto"/>
                <w:sz w:val="24"/>
                <w:szCs w:val="24"/>
                <w:highlight w:val="none"/>
                <w:lang w:val="en-US" w:eastAsia="zh-CN"/>
              </w:rPr>
              <w:t>K19+150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w:t>
            </w:r>
            <w:r>
              <w:rPr>
                <w:rFonts w:hint="eastAsia" w:ascii="Times New Roman" w:hAnsi="Times New Roman" w:eastAsia="宋体" w:cs="Times New Roman"/>
                <w:color w:val="auto"/>
                <w:highlight w:val="none"/>
                <w:lang w:val="en-US" w:eastAsia="zh-CN"/>
              </w:rPr>
              <w:t>段约1.53km穿越黑龙江东升省级自然</w:t>
            </w:r>
            <w:r>
              <w:rPr>
                <w:rFonts w:hint="eastAsia"/>
                <w:color w:val="auto"/>
                <w:kern w:val="0"/>
                <w:szCs w:val="21"/>
                <w:highlight w:val="none"/>
              </w:rPr>
              <w:t>保护区</w:t>
            </w:r>
            <w:r>
              <w:rPr>
                <w:rFonts w:hint="eastAsia"/>
                <w:color w:val="auto"/>
                <w:kern w:val="0"/>
                <w:szCs w:val="21"/>
                <w:highlight w:val="none"/>
                <w:lang w:eastAsia="zh-CN"/>
              </w:rPr>
              <w:t>；</w:t>
            </w:r>
            <w:r>
              <w:rPr>
                <w:rFonts w:hint="eastAsia"/>
                <w:color w:val="auto"/>
                <w:highlight w:val="none"/>
                <w:lang w:val="en-US" w:eastAsia="zh-CN"/>
              </w:rPr>
              <w:t>线路桩号K40+900～K51+600段约10.7km穿越黑龙江完达山国家级森林公园，因此确定本项目生态环境保护目标为</w:t>
            </w:r>
            <w:r>
              <w:rPr>
                <w:rFonts w:hint="eastAsia"/>
                <w:color w:val="auto"/>
                <w:kern w:val="0"/>
                <w:szCs w:val="21"/>
                <w:highlight w:val="none"/>
              </w:rPr>
              <w:t>黑龙江东升省级自然保护区</w:t>
            </w:r>
            <w:r>
              <w:rPr>
                <w:rFonts w:hint="eastAsia"/>
                <w:color w:val="auto"/>
                <w:highlight w:val="none"/>
                <w:lang w:val="en-US" w:eastAsia="zh-CN"/>
              </w:rPr>
              <w:t>、黑龙江完达山国家级森林公园、生态保护红线及重要物种。</w:t>
            </w:r>
          </w:p>
          <w:p w14:paraId="4BE0CA7D">
            <w:pPr>
              <w:ind w:firstLine="480"/>
              <w:rPr>
                <w:rFonts w:hint="eastAsia"/>
                <w:color w:val="auto"/>
                <w:highlight w:val="yellow"/>
                <w:lang w:eastAsia="zh-CN"/>
              </w:rPr>
            </w:pPr>
            <w:r>
              <w:rPr>
                <w:rFonts w:hint="eastAsia"/>
                <w:color w:val="auto"/>
                <w:highlight w:val="none"/>
                <w:lang w:val="en-US" w:eastAsia="zh-CN"/>
              </w:rPr>
              <w:t>本项目与</w:t>
            </w:r>
            <w:r>
              <w:rPr>
                <w:rFonts w:hint="eastAsia"/>
                <w:color w:val="auto"/>
                <w:kern w:val="0"/>
                <w:szCs w:val="21"/>
                <w:highlight w:val="none"/>
              </w:rPr>
              <w:t>黑龙江东升省级自然保护区</w:t>
            </w:r>
            <w:r>
              <w:rPr>
                <w:rFonts w:hint="eastAsia" w:ascii="Times New Roman" w:hAnsi="Times New Roman" w:eastAsia="宋体" w:cs="Times New Roman"/>
                <w:color w:val="auto"/>
                <w:kern w:val="0"/>
                <w:szCs w:val="21"/>
                <w:highlight w:val="none"/>
                <w:lang w:eastAsia="zh-CN"/>
              </w:rPr>
              <w:t>、</w:t>
            </w:r>
            <w:r>
              <w:rPr>
                <w:rFonts w:hint="eastAsia"/>
                <w:color w:val="auto"/>
                <w:highlight w:val="none"/>
                <w:lang w:val="en-US" w:eastAsia="zh-CN"/>
              </w:rPr>
              <w:t>黑龙江完达山国家级森林公园、</w:t>
            </w:r>
            <w:r>
              <w:rPr>
                <w:rFonts w:hint="eastAsia" w:ascii="Times New Roman" w:hAnsi="Times New Roman" w:eastAsia="宋体" w:cs="Times New Roman"/>
                <w:color w:val="auto"/>
                <w:kern w:val="0"/>
                <w:szCs w:val="21"/>
                <w:highlight w:val="none"/>
                <w:lang w:eastAsia="zh-CN"/>
              </w:rPr>
              <w:t>生态保护红线位置</w:t>
            </w:r>
            <w:r>
              <w:rPr>
                <w:rFonts w:hint="eastAsia"/>
                <w:color w:val="auto"/>
                <w:highlight w:val="none"/>
                <w:lang w:val="en-US" w:eastAsia="zh-CN"/>
              </w:rPr>
              <w:t>关系见附图8、附图9、附图10。项目生态保护目标见表3-9。</w:t>
            </w:r>
          </w:p>
          <w:p w14:paraId="3A70E7C0">
            <w:pPr>
              <w:ind w:firstLine="480"/>
              <w:rPr>
                <w:rFonts w:hint="eastAsia"/>
                <w:color w:val="auto"/>
                <w:highlight w:val="none"/>
              </w:rPr>
            </w:pPr>
            <w:r>
              <w:rPr>
                <w:rFonts w:hint="eastAsia"/>
                <w:color w:val="auto"/>
                <w:highlight w:val="none"/>
                <w:lang w:val="en-US" w:eastAsia="zh-CN"/>
              </w:rPr>
              <w:t>2</w:t>
            </w:r>
            <w:r>
              <w:rPr>
                <w:rFonts w:hint="eastAsia"/>
                <w:color w:val="auto"/>
                <w:highlight w:val="none"/>
              </w:rPr>
              <w:t>、声环境保护目标</w:t>
            </w:r>
          </w:p>
          <w:p w14:paraId="7A95323F">
            <w:pPr>
              <w:ind w:firstLine="480"/>
              <w:rPr>
                <w:rFonts w:hint="eastAsia"/>
                <w:color w:val="auto"/>
                <w:highlight w:val="none"/>
                <w:lang w:val="en-US" w:eastAsia="zh-CN"/>
              </w:rPr>
            </w:pPr>
            <w:r>
              <w:rPr>
                <w:rFonts w:hint="eastAsia"/>
                <w:color w:val="auto"/>
                <w:highlight w:val="none"/>
              </w:rPr>
              <w:t>声环境保护目标主要是指</w:t>
            </w:r>
            <w:r>
              <w:rPr>
                <w:rFonts w:hint="eastAsia"/>
                <w:color w:val="auto"/>
                <w:highlight w:val="none"/>
                <w:lang w:eastAsia="zh-CN"/>
              </w:rPr>
              <w:t>依据法律法规、标准政策等确定的需要保持安静的建筑物及建筑物集中区</w:t>
            </w:r>
            <w:r>
              <w:rPr>
                <w:rFonts w:hint="eastAsia"/>
                <w:color w:val="auto"/>
                <w:highlight w:val="none"/>
              </w:rPr>
              <w:t>。</w:t>
            </w:r>
            <w:r>
              <w:rPr>
                <w:rFonts w:hint="eastAsia"/>
                <w:color w:val="auto"/>
                <w:highlight w:val="none"/>
                <w:lang w:eastAsia="zh-CN"/>
              </w:rPr>
              <w:t>项目</w:t>
            </w:r>
            <w:r>
              <w:rPr>
                <w:color w:val="auto"/>
                <w:highlight w:val="none"/>
              </w:rPr>
              <w:t>声环境保护目标</w:t>
            </w:r>
            <w:r>
              <w:rPr>
                <w:rFonts w:hint="eastAsia"/>
                <w:color w:val="auto"/>
                <w:highlight w:val="none"/>
              </w:rPr>
              <w:t>详见表3-</w:t>
            </w:r>
            <w:r>
              <w:rPr>
                <w:rFonts w:hint="eastAsia"/>
                <w:color w:val="auto"/>
                <w:highlight w:val="none"/>
                <w:lang w:val="en-US" w:eastAsia="zh-CN"/>
              </w:rPr>
              <w:t>8。</w:t>
            </w:r>
          </w:p>
          <w:p w14:paraId="3BED8E1B">
            <w:pPr>
              <w:ind w:firstLine="480"/>
              <w:rPr>
                <w:rFonts w:hint="eastAsia"/>
                <w:color w:val="auto"/>
                <w:highlight w:val="none"/>
              </w:rPr>
            </w:pPr>
            <w:r>
              <w:rPr>
                <w:rFonts w:hint="eastAsia"/>
                <w:color w:val="auto"/>
                <w:highlight w:val="none"/>
                <w:lang w:val="en-US" w:eastAsia="zh-CN"/>
              </w:rPr>
              <w:t>3</w:t>
            </w:r>
            <w:r>
              <w:rPr>
                <w:rFonts w:hint="eastAsia"/>
                <w:color w:val="auto"/>
                <w:highlight w:val="none"/>
              </w:rPr>
              <w:t>、</w:t>
            </w:r>
            <w:r>
              <w:rPr>
                <w:rFonts w:hint="eastAsia"/>
                <w:color w:val="auto"/>
                <w:highlight w:val="none"/>
                <w:lang w:eastAsia="zh-CN"/>
              </w:rPr>
              <w:t>地表水</w:t>
            </w:r>
            <w:r>
              <w:rPr>
                <w:rFonts w:hint="eastAsia"/>
                <w:color w:val="auto"/>
                <w:highlight w:val="none"/>
              </w:rPr>
              <w:t>环境保护目标</w:t>
            </w:r>
          </w:p>
          <w:p w14:paraId="7C8C9E24">
            <w:pPr>
              <w:ind w:firstLine="480"/>
              <w:rPr>
                <w:rFonts w:hint="eastAsia" w:ascii="Times New Roman" w:hAnsi="Times New Roman" w:eastAsia="宋体" w:cs="Times New Roman"/>
                <w:color w:val="auto"/>
                <w:highlight w:val="none"/>
                <w:lang w:val="en-US" w:eastAsia="zh-CN"/>
              </w:rPr>
            </w:pPr>
            <w:r>
              <w:rPr>
                <w:rFonts w:hint="eastAsia"/>
                <w:color w:val="auto"/>
                <w:highlight w:val="none"/>
                <w:lang w:eastAsia="zh-CN"/>
              </w:rPr>
              <w:t>本项目全线既有桥梁</w:t>
            </w:r>
            <w:r>
              <w:rPr>
                <w:rFonts w:hint="eastAsia"/>
                <w:color w:val="auto"/>
                <w:highlight w:val="none"/>
                <w:lang w:val="en-US" w:eastAsia="zh-CN"/>
              </w:rPr>
              <w:t>4</w:t>
            </w:r>
            <w:r>
              <w:rPr>
                <w:rFonts w:hint="eastAsia"/>
                <w:color w:val="auto"/>
                <w:highlight w:val="none"/>
                <w:lang w:eastAsia="zh-CN"/>
              </w:rPr>
              <w:t>座，</w:t>
            </w:r>
            <w:r>
              <w:rPr>
                <w:rFonts w:hint="eastAsia"/>
                <w:color w:val="auto"/>
                <w:szCs w:val="21"/>
                <w:lang w:eastAsia="zh-CN"/>
              </w:rPr>
              <w:t>现</w:t>
            </w:r>
            <w:r>
              <w:rPr>
                <w:rFonts w:hint="eastAsia"/>
                <w:color w:val="auto"/>
                <w:szCs w:val="21"/>
                <w:lang w:val="en-US" w:eastAsia="zh-CN"/>
              </w:rPr>
              <w:t>有桥梁均满足现有道路通行标准，全部利用，其中K53+756银龙桥</w:t>
            </w:r>
            <w:r>
              <w:rPr>
                <w:rFonts w:hint="eastAsia"/>
                <w:color w:val="auto"/>
                <w:szCs w:val="21"/>
                <w:lang w:eastAsia="zh-CN"/>
              </w:rPr>
              <w:t>现</w:t>
            </w:r>
            <w:r>
              <w:rPr>
                <w:rFonts w:hint="eastAsia"/>
                <w:color w:val="auto"/>
                <w:szCs w:val="21"/>
                <w:lang w:val="en-US" w:eastAsia="zh-CN"/>
              </w:rPr>
              <w:t>有桥梁护栏破损，本次维修护栏后利用</w:t>
            </w:r>
            <w:r>
              <w:rPr>
                <w:rFonts w:hint="eastAsia"/>
                <w:color w:val="auto"/>
                <w:highlight w:val="none"/>
                <w:lang w:val="en-US" w:eastAsia="zh-CN"/>
              </w:rPr>
              <w:t>。</w:t>
            </w:r>
            <w:r>
              <w:rPr>
                <w:rFonts w:hint="eastAsia" w:ascii="Times New Roman" w:hAnsi="Times New Roman" w:eastAsia="宋体" w:cs="Times New Roman"/>
                <w:color w:val="auto"/>
                <w:highlight w:val="none"/>
                <w:lang w:val="en-US" w:eastAsia="zh-CN"/>
              </w:rPr>
              <w:t>项目地表水环境保护目标详见表3-</w:t>
            </w:r>
            <w:r>
              <w:rPr>
                <w:rFonts w:hint="eastAsia" w:cs="Times New Roman"/>
                <w:color w:val="auto"/>
                <w:highlight w:val="none"/>
                <w:lang w:val="en-US" w:eastAsia="zh-CN"/>
              </w:rPr>
              <w:t>8</w:t>
            </w:r>
            <w:r>
              <w:rPr>
                <w:rFonts w:hint="eastAsia" w:ascii="Times New Roman" w:hAnsi="Times New Roman" w:eastAsia="宋体" w:cs="Times New Roman"/>
                <w:color w:val="auto"/>
                <w:highlight w:val="none"/>
                <w:lang w:val="en-US" w:eastAsia="zh-CN"/>
              </w:rPr>
              <w:t>。</w:t>
            </w:r>
          </w:p>
          <w:p w14:paraId="2D7EAA46">
            <w:pPr>
              <w:pStyle w:val="40"/>
              <w:spacing w:line="360" w:lineRule="auto"/>
              <w:rPr>
                <w:rFonts w:hint="eastAsia" w:ascii="Times New Roman" w:hAnsi="Times New Roman" w:cs="Times New Roman"/>
                <w:color w:val="auto"/>
                <w:kern w:val="2"/>
                <w:sz w:val="24"/>
                <w:szCs w:val="24"/>
                <w:lang w:val="en-US" w:eastAsia="zh-CN"/>
              </w:rPr>
            </w:pPr>
            <w:r>
              <w:rPr>
                <w:rFonts w:hint="eastAsia" w:ascii="Times New Roman" w:hAnsi="Times New Roman" w:cs="Times New Roman"/>
                <w:color w:val="auto"/>
                <w:kern w:val="2"/>
                <w:sz w:val="24"/>
                <w:szCs w:val="24"/>
                <w:lang w:val="en-US" w:eastAsia="zh-CN"/>
              </w:rPr>
              <w:t>表3-</w:t>
            </w:r>
            <w:r>
              <w:rPr>
                <w:rFonts w:hint="eastAsia" w:cs="Times New Roman"/>
                <w:color w:val="auto"/>
                <w:kern w:val="2"/>
                <w:sz w:val="24"/>
                <w:szCs w:val="24"/>
                <w:lang w:val="en-US" w:eastAsia="zh-CN"/>
              </w:rPr>
              <w:t>8</w:t>
            </w:r>
            <w:r>
              <w:rPr>
                <w:rFonts w:hint="eastAsia" w:ascii="Times New Roman" w:hAnsi="Times New Roman" w:cs="Times New Roman"/>
                <w:color w:val="auto"/>
                <w:kern w:val="2"/>
                <w:sz w:val="24"/>
                <w:szCs w:val="24"/>
                <w:lang w:val="en-US" w:eastAsia="zh-CN"/>
              </w:rPr>
              <w:t xml:space="preserve">  地表水环境保护目标表</w:t>
            </w:r>
          </w:p>
          <w:tbl>
            <w:tblPr>
              <w:tblStyle w:val="19"/>
              <w:tblW w:w="4997"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416"/>
              <w:gridCol w:w="1965"/>
              <w:gridCol w:w="2216"/>
              <w:gridCol w:w="1869"/>
            </w:tblGrid>
            <w:tr w14:paraId="2A77EFF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97" w:hRule="atLeast"/>
              </w:trPr>
              <w:tc>
                <w:tcPr>
                  <w:tcW w:w="948" w:type="pct"/>
                  <w:tcBorders>
                    <w:tl2br w:val="nil"/>
                    <w:tr2bl w:val="nil"/>
                  </w:tcBorders>
                  <w:noWrap w:val="0"/>
                  <w:vAlign w:val="center"/>
                </w:tcPr>
                <w:p w14:paraId="39ECE5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序号</w:t>
                  </w:r>
                </w:p>
              </w:tc>
              <w:tc>
                <w:tcPr>
                  <w:tcW w:w="1315" w:type="pct"/>
                  <w:tcBorders>
                    <w:tl2br w:val="nil"/>
                    <w:tr2bl w:val="nil"/>
                  </w:tcBorders>
                  <w:noWrap w:val="0"/>
                  <w:vAlign w:val="center"/>
                </w:tcPr>
                <w:p w14:paraId="5972DD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河流名称</w:t>
                  </w:r>
                </w:p>
              </w:tc>
              <w:tc>
                <w:tcPr>
                  <w:tcW w:w="1484" w:type="pct"/>
                  <w:tcBorders>
                    <w:tl2br w:val="nil"/>
                    <w:tr2bl w:val="nil"/>
                  </w:tcBorders>
                  <w:noWrap w:val="0"/>
                  <w:vAlign w:val="center"/>
                </w:tcPr>
                <w:p w14:paraId="47A600C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eastAsia="宋体" w:cs="Times New Roman"/>
                      <w:color w:val="auto"/>
                      <w:sz w:val="21"/>
                      <w:szCs w:val="21"/>
                      <w:highlight w:val="none"/>
                      <w:lang w:eastAsia="zh-CN"/>
                    </w:rPr>
                    <w:t>与工程的位置关系</w:t>
                  </w:r>
                </w:p>
              </w:tc>
              <w:tc>
                <w:tcPr>
                  <w:tcW w:w="1251" w:type="pct"/>
                  <w:tcBorders>
                    <w:tl2br w:val="nil"/>
                    <w:tr2bl w:val="nil"/>
                  </w:tcBorders>
                  <w:noWrap w:val="0"/>
                  <w:vAlign w:val="center"/>
                </w:tcPr>
                <w:p w14:paraId="52EC8B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eastAsia="zh-CN"/>
                    </w:rPr>
                    <w:t>水质保护目标</w:t>
                  </w:r>
                </w:p>
              </w:tc>
            </w:tr>
            <w:tr w14:paraId="78A6D63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948" w:type="pct"/>
                  <w:tcBorders>
                    <w:tl2br w:val="nil"/>
                    <w:tr2bl w:val="nil"/>
                  </w:tcBorders>
                  <w:noWrap w:val="0"/>
                  <w:vAlign w:val="center"/>
                </w:tcPr>
                <w:p w14:paraId="37BCD3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w:t>
                  </w:r>
                </w:p>
              </w:tc>
              <w:tc>
                <w:tcPr>
                  <w:tcW w:w="1315" w:type="pct"/>
                  <w:tcBorders>
                    <w:tl2br w:val="nil"/>
                    <w:tr2bl w:val="nil"/>
                  </w:tcBorders>
                  <w:noWrap w:val="0"/>
                  <w:vAlign w:val="center"/>
                </w:tcPr>
                <w:p w14:paraId="60E07C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color w:val="auto"/>
                      <w:kern w:val="0"/>
                      <w:sz w:val="21"/>
                      <w:szCs w:val="21"/>
                      <w:highlight w:val="none"/>
                      <w:lang w:eastAsia="zh-CN"/>
                    </w:rPr>
                    <w:t>挠力河</w:t>
                  </w:r>
                </w:p>
              </w:tc>
              <w:tc>
                <w:tcPr>
                  <w:tcW w:w="1484" w:type="pct"/>
                  <w:tcBorders>
                    <w:tl2br w:val="nil"/>
                    <w:tr2bl w:val="nil"/>
                  </w:tcBorders>
                  <w:noWrap w:val="0"/>
                  <w:vAlign w:val="center"/>
                </w:tcPr>
                <w:p w14:paraId="4EB835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穿越</w:t>
                  </w:r>
                </w:p>
              </w:tc>
              <w:tc>
                <w:tcPr>
                  <w:tcW w:w="1251" w:type="pct"/>
                  <w:tcBorders>
                    <w:tl2br w:val="nil"/>
                    <w:tr2bl w:val="nil"/>
                  </w:tcBorders>
                  <w:noWrap w:val="0"/>
                  <w:vAlign w:val="center"/>
                </w:tcPr>
                <w:p w14:paraId="2A9D902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color w:val="auto"/>
                      <w:sz w:val="21"/>
                      <w:szCs w:val="21"/>
                      <w:highlight w:val="none"/>
                      <w:lang w:val="en-US" w:eastAsia="zh-CN"/>
                    </w:rPr>
                    <w:t>Ⅲ</w:t>
                  </w:r>
                  <w:r>
                    <w:rPr>
                      <w:rFonts w:hint="eastAsia" w:eastAsia="宋体" w:cs="Times New Roman"/>
                      <w:color w:val="auto"/>
                      <w:sz w:val="21"/>
                      <w:szCs w:val="21"/>
                      <w:highlight w:val="none"/>
                      <w:lang w:val="en-US" w:eastAsia="zh-CN"/>
                    </w:rPr>
                    <w:t>类</w:t>
                  </w:r>
                </w:p>
              </w:tc>
            </w:tr>
            <w:tr w14:paraId="6170716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948" w:type="pct"/>
                  <w:tcBorders>
                    <w:tl2br w:val="nil"/>
                    <w:tr2bl w:val="nil"/>
                  </w:tcBorders>
                  <w:noWrap w:val="0"/>
                  <w:vAlign w:val="center"/>
                </w:tcPr>
                <w:p w14:paraId="2A0B820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eastAsia="宋体" w:cs="Times New Roman"/>
                      <w:color w:val="auto"/>
                      <w:sz w:val="21"/>
                      <w:szCs w:val="21"/>
                      <w:highlight w:val="none"/>
                      <w:lang w:val="en-US" w:eastAsia="zh-CN"/>
                    </w:rPr>
                    <w:t>2</w:t>
                  </w:r>
                </w:p>
              </w:tc>
              <w:tc>
                <w:tcPr>
                  <w:tcW w:w="1315" w:type="pct"/>
                  <w:tcBorders>
                    <w:tl2br w:val="nil"/>
                    <w:tr2bl w:val="nil"/>
                  </w:tcBorders>
                  <w:noWrap w:val="0"/>
                  <w:vAlign w:val="center"/>
                </w:tcPr>
                <w:p w14:paraId="646BDF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宋体" w:hAnsi="宋体" w:eastAsia="宋体" w:cs="宋体"/>
                      <w:color w:val="auto"/>
                      <w:kern w:val="0"/>
                      <w:sz w:val="21"/>
                      <w:szCs w:val="21"/>
                      <w:highlight w:val="none"/>
                      <w:lang w:eastAsia="zh-CN"/>
                    </w:rPr>
                    <w:t>蛤蟆通河支流</w:t>
                  </w:r>
                </w:p>
              </w:tc>
              <w:tc>
                <w:tcPr>
                  <w:tcW w:w="1484" w:type="pct"/>
                  <w:tcBorders>
                    <w:tl2br w:val="nil"/>
                    <w:tr2bl w:val="nil"/>
                  </w:tcBorders>
                  <w:noWrap w:val="0"/>
                  <w:vAlign w:val="center"/>
                </w:tcPr>
                <w:p w14:paraId="1B027A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穿越</w:t>
                  </w:r>
                </w:p>
              </w:tc>
              <w:tc>
                <w:tcPr>
                  <w:tcW w:w="1251" w:type="pct"/>
                  <w:tcBorders>
                    <w:tl2br w:val="nil"/>
                    <w:tr2bl w:val="nil"/>
                  </w:tcBorders>
                  <w:noWrap w:val="0"/>
                  <w:vAlign w:val="center"/>
                </w:tcPr>
                <w:p w14:paraId="0A12A48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宋体" w:hAnsi="宋体" w:eastAsia="宋体" w:cs="宋体"/>
                      <w:color w:val="auto"/>
                      <w:kern w:val="0"/>
                      <w:sz w:val="21"/>
                      <w:szCs w:val="21"/>
                      <w:highlight w:val="none"/>
                      <w:lang w:eastAsia="zh-CN"/>
                    </w:rPr>
                    <w:fldChar w:fldCharType="begin"/>
                  </w:r>
                  <w:r>
                    <w:rPr>
                      <w:rFonts w:hint="eastAsia" w:ascii="宋体" w:hAnsi="宋体" w:eastAsia="宋体" w:cs="宋体"/>
                      <w:color w:val="auto"/>
                      <w:kern w:val="0"/>
                      <w:sz w:val="21"/>
                      <w:szCs w:val="21"/>
                      <w:highlight w:val="none"/>
                      <w:lang w:eastAsia="zh-CN"/>
                    </w:rPr>
                    <w:instrText xml:space="preserve"> = 4 \* ROMAN \* MERGEFORMAT </w:instrText>
                  </w:r>
                  <w:r>
                    <w:rPr>
                      <w:rFonts w:hint="eastAsia" w:ascii="宋体" w:hAnsi="宋体" w:eastAsia="宋体" w:cs="宋体"/>
                      <w:color w:val="auto"/>
                      <w:kern w:val="0"/>
                      <w:sz w:val="21"/>
                      <w:szCs w:val="21"/>
                      <w:highlight w:val="none"/>
                      <w:lang w:eastAsia="zh-CN"/>
                    </w:rPr>
                    <w:fldChar w:fldCharType="separate"/>
                  </w:r>
                  <w:r>
                    <w:rPr>
                      <w:rFonts w:hint="eastAsia" w:ascii="宋体" w:hAnsi="宋体" w:eastAsia="宋体" w:cs="宋体"/>
                      <w:color w:val="auto"/>
                      <w:kern w:val="0"/>
                      <w:sz w:val="21"/>
                      <w:szCs w:val="21"/>
                      <w:highlight w:val="none"/>
                      <w:lang w:eastAsia="zh-CN"/>
                    </w:rPr>
                    <w:t>IV</w:t>
                  </w:r>
                  <w:r>
                    <w:rPr>
                      <w:rFonts w:hint="eastAsia" w:ascii="宋体" w:hAnsi="宋体" w:eastAsia="宋体" w:cs="宋体"/>
                      <w:color w:val="auto"/>
                      <w:kern w:val="0"/>
                      <w:sz w:val="21"/>
                      <w:szCs w:val="21"/>
                      <w:highlight w:val="none"/>
                      <w:lang w:eastAsia="zh-CN"/>
                    </w:rPr>
                    <w:fldChar w:fldCharType="end"/>
                  </w:r>
                  <w:r>
                    <w:rPr>
                      <w:rFonts w:hint="eastAsia" w:eastAsia="宋体" w:cs="Times New Roman"/>
                      <w:color w:val="auto"/>
                      <w:sz w:val="21"/>
                      <w:szCs w:val="21"/>
                      <w:highlight w:val="none"/>
                      <w:lang w:val="en-US" w:eastAsia="zh-CN"/>
                    </w:rPr>
                    <w:t>类</w:t>
                  </w:r>
                </w:p>
              </w:tc>
            </w:tr>
          </w:tbl>
          <w:p w14:paraId="238565F4">
            <w:pPr>
              <w:pStyle w:val="16"/>
              <w:keepNext w:val="0"/>
              <w:keepLines w:val="0"/>
              <w:pageBreakBefore w:val="0"/>
              <w:kinsoku/>
              <w:wordWrap/>
              <w:overflowPunct/>
              <w:topLinePunct w:val="0"/>
              <w:autoSpaceDE/>
              <w:autoSpaceDN/>
              <w:bidi w:val="0"/>
              <w:adjustRightInd/>
              <w:snapToGrid/>
              <w:ind w:firstLine="0" w:firstLineChars="0"/>
              <w:textAlignment w:val="auto"/>
              <w:rPr>
                <w:rFonts w:hint="eastAsia"/>
                <w:color w:val="auto"/>
                <w:highlight w:val="none"/>
                <w:lang w:val="en-US" w:eastAsia="zh-CN"/>
              </w:rPr>
            </w:pPr>
          </w:p>
          <w:p w14:paraId="21AEC1A7">
            <w:pPr>
              <w:keepNext w:val="0"/>
              <w:keepLines w:val="0"/>
              <w:pageBreakBefore w:val="0"/>
              <w:kinsoku/>
              <w:wordWrap/>
              <w:overflowPunct/>
              <w:topLinePunct w:val="0"/>
              <w:autoSpaceDE/>
              <w:autoSpaceDN/>
              <w:bidi w:val="0"/>
              <w:adjustRightInd/>
              <w:snapToGrid/>
              <w:ind w:firstLine="0" w:firstLineChars="0"/>
              <w:textAlignment w:val="auto"/>
              <w:rPr>
                <w:rFonts w:hint="eastAsia"/>
                <w:color w:val="auto"/>
                <w:highlight w:val="none"/>
                <w:lang w:val="en-US" w:eastAsia="zh-CN"/>
              </w:rPr>
            </w:pPr>
          </w:p>
          <w:p w14:paraId="1E61ED3E">
            <w:pPr>
              <w:pStyle w:val="16"/>
              <w:keepNext w:val="0"/>
              <w:keepLines w:val="0"/>
              <w:pageBreakBefore w:val="0"/>
              <w:kinsoku/>
              <w:wordWrap/>
              <w:overflowPunct/>
              <w:topLinePunct w:val="0"/>
              <w:autoSpaceDE/>
              <w:autoSpaceDN/>
              <w:bidi w:val="0"/>
              <w:adjustRightInd/>
              <w:snapToGrid/>
              <w:ind w:firstLine="0" w:firstLineChars="0"/>
              <w:textAlignment w:val="auto"/>
              <w:rPr>
                <w:rFonts w:hint="eastAsia"/>
                <w:color w:val="auto"/>
                <w:highlight w:val="none"/>
                <w:lang w:val="en-US" w:eastAsia="zh-CN"/>
              </w:rPr>
            </w:pPr>
          </w:p>
          <w:p w14:paraId="7E9806E6">
            <w:pPr>
              <w:keepNext w:val="0"/>
              <w:keepLines w:val="0"/>
              <w:pageBreakBefore w:val="0"/>
              <w:kinsoku/>
              <w:wordWrap/>
              <w:overflowPunct/>
              <w:topLinePunct w:val="0"/>
              <w:autoSpaceDE/>
              <w:autoSpaceDN/>
              <w:bidi w:val="0"/>
              <w:adjustRightInd/>
              <w:snapToGrid/>
              <w:ind w:firstLine="0" w:firstLineChars="0"/>
              <w:textAlignment w:val="auto"/>
              <w:rPr>
                <w:rFonts w:hint="eastAsia"/>
                <w:color w:val="auto"/>
                <w:highlight w:val="none"/>
                <w:lang w:val="en-US" w:eastAsia="zh-CN"/>
              </w:rPr>
            </w:pPr>
          </w:p>
          <w:p w14:paraId="04ECD0FD">
            <w:pPr>
              <w:pStyle w:val="16"/>
              <w:keepNext w:val="0"/>
              <w:keepLines w:val="0"/>
              <w:pageBreakBefore w:val="0"/>
              <w:kinsoku/>
              <w:wordWrap/>
              <w:overflowPunct/>
              <w:topLinePunct w:val="0"/>
              <w:autoSpaceDE/>
              <w:autoSpaceDN/>
              <w:bidi w:val="0"/>
              <w:adjustRightInd/>
              <w:snapToGrid/>
              <w:ind w:firstLine="0" w:firstLineChars="0"/>
              <w:textAlignment w:val="auto"/>
              <w:rPr>
                <w:rFonts w:hint="eastAsia"/>
                <w:color w:val="auto"/>
                <w:highlight w:val="none"/>
                <w:lang w:val="en-US" w:eastAsia="zh-CN"/>
              </w:rPr>
            </w:pPr>
          </w:p>
          <w:p w14:paraId="2AF9584E">
            <w:pPr>
              <w:keepNext w:val="0"/>
              <w:keepLines w:val="0"/>
              <w:pageBreakBefore w:val="0"/>
              <w:kinsoku/>
              <w:wordWrap/>
              <w:overflowPunct/>
              <w:topLinePunct w:val="0"/>
              <w:autoSpaceDE/>
              <w:autoSpaceDN/>
              <w:bidi w:val="0"/>
              <w:adjustRightInd/>
              <w:snapToGrid/>
              <w:ind w:firstLine="0" w:firstLineChars="0"/>
              <w:textAlignment w:val="auto"/>
              <w:rPr>
                <w:rFonts w:hint="eastAsia"/>
                <w:color w:val="auto"/>
                <w:highlight w:val="none"/>
                <w:lang w:val="en-US" w:eastAsia="zh-CN"/>
              </w:rPr>
            </w:pPr>
          </w:p>
          <w:p w14:paraId="71A5EF84">
            <w:pPr>
              <w:pStyle w:val="16"/>
              <w:keepNext w:val="0"/>
              <w:keepLines w:val="0"/>
              <w:pageBreakBefore w:val="0"/>
              <w:kinsoku/>
              <w:wordWrap/>
              <w:overflowPunct/>
              <w:topLinePunct w:val="0"/>
              <w:autoSpaceDE/>
              <w:autoSpaceDN/>
              <w:bidi w:val="0"/>
              <w:adjustRightInd/>
              <w:snapToGrid/>
              <w:ind w:firstLine="0" w:firstLineChars="0"/>
              <w:textAlignment w:val="auto"/>
              <w:rPr>
                <w:rFonts w:hint="eastAsia"/>
                <w:color w:val="auto"/>
                <w:lang w:val="en-US" w:eastAsia="zh-CN"/>
              </w:rPr>
            </w:pPr>
          </w:p>
          <w:p w14:paraId="264EC6CA">
            <w:pPr>
              <w:ind w:left="0" w:leftChars="0" w:firstLine="0" w:firstLineChars="0"/>
              <w:rPr>
                <w:rFonts w:hint="default"/>
                <w:color w:val="auto"/>
                <w:highlight w:val="none"/>
                <w:lang w:val="en-US" w:eastAsia="zh-CN"/>
              </w:rPr>
            </w:pPr>
          </w:p>
          <w:p w14:paraId="2D2D13F3">
            <w:pPr>
              <w:ind w:left="0" w:leftChars="0" w:firstLine="0" w:firstLineChars="0"/>
              <w:rPr>
                <w:rFonts w:hint="default"/>
                <w:color w:val="auto"/>
                <w:highlight w:val="none"/>
                <w:lang w:val="en-US" w:eastAsia="zh-CN"/>
              </w:rPr>
            </w:pPr>
          </w:p>
          <w:p w14:paraId="022AB423">
            <w:pPr>
              <w:ind w:left="0" w:leftChars="0" w:firstLine="0" w:firstLineChars="0"/>
              <w:rPr>
                <w:rFonts w:hint="default"/>
                <w:color w:val="auto"/>
                <w:highlight w:val="none"/>
                <w:lang w:val="en-US" w:eastAsia="zh-CN"/>
              </w:rPr>
            </w:pPr>
          </w:p>
          <w:p w14:paraId="11DCF1DB">
            <w:pPr>
              <w:ind w:left="0" w:leftChars="0" w:firstLine="0" w:firstLineChars="0"/>
              <w:rPr>
                <w:rFonts w:hint="default"/>
                <w:color w:val="auto"/>
                <w:highlight w:val="none"/>
                <w:lang w:val="en-US" w:eastAsia="zh-CN"/>
              </w:rPr>
            </w:pPr>
          </w:p>
          <w:p w14:paraId="637B7B61">
            <w:pPr>
              <w:ind w:left="0" w:leftChars="0" w:firstLine="0" w:firstLineChars="0"/>
              <w:rPr>
                <w:rFonts w:hint="default"/>
                <w:color w:val="auto"/>
                <w:highlight w:val="none"/>
                <w:lang w:val="en-US" w:eastAsia="zh-CN"/>
              </w:rPr>
            </w:pPr>
          </w:p>
          <w:p w14:paraId="429746A9">
            <w:pPr>
              <w:ind w:left="0" w:leftChars="0" w:firstLine="0" w:firstLineChars="0"/>
              <w:rPr>
                <w:rFonts w:hint="default"/>
                <w:color w:val="auto"/>
                <w:highlight w:val="none"/>
                <w:lang w:val="en-US" w:eastAsia="zh-CN"/>
              </w:rPr>
            </w:pPr>
          </w:p>
          <w:p w14:paraId="2317DEB5">
            <w:pPr>
              <w:ind w:left="0" w:leftChars="0" w:firstLine="0" w:firstLineChars="0"/>
              <w:rPr>
                <w:rFonts w:hint="default"/>
                <w:color w:val="auto"/>
                <w:highlight w:val="none"/>
                <w:lang w:val="en-US" w:eastAsia="zh-CN"/>
              </w:rPr>
            </w:pPr>
          </w:p>
          <w:p w14:paraId="0E050DB2">
            <w:pPr>
              <w:ind w:left="0" w:leftChars="0" w:firstLine="0" w:firstLineChars="0"/>
              <w:rPr>
                <w:rFonts w:hint="default"/>
                <w:color w:val="auto"/>
                <w:highlight w:val="none"/>
                <w:lang w:val="en-US" w:eastAsia="zh-CN"/>
              </w:rPr>
            </w:pPr>
          </w:p>
          <w:p w14:paraId="2472C4C2">
            <w:pPr>
              <w:ind w:left="0" w:leftChars="0" w:firstLine="0" w:firstLineChars="0"/>
              <w:rPr>
                <w:rFonts w:hint="default"/>
                <w:color w:val="auto"/>
                <w:highlight w:val="none"/>
                <w:lang w:val="en-US" w:eastAsia="zh-CN"/>
              </w:rPr>
            </w:pPr>
          </w:p>
          <w:p w14:paraId="4B8ECD33">
            <w:pPr>
              <w:ind w:left="0" w:leftChars="0" w:firstLine="0" w:firstLineChars="0"/>
              <w:rPr>
                <w:rFonts w:hint="default"/>
                <w:color w:val="auto"/>
                <w:highlight w:val="none"/>
                <w:lang w:val="en-US" w:eastAsia="zh-CN"/>
              </w:rPr>
            </w:pPr>
          </w:p>
        </w:tc>
      </w:tr>
    </w:tbl>
    <w:p w14:paraId="60E1764D">
      <w:pPr>
        <w:ind w:firstLine="600"/>
        <w:jc w:val="center"/>
        <w:outlineLvl w:val="0"/>
        <w:rPr>
          <w:rFonts w:hint="eastAsia" w:ascii="黑体" w:hAnsi="黑体" w:eastAsia="黑体"/>
          <w:snapToGrid w:val="0"/>
          <w:color w:val="auto"/>
          <w:sz w:val="30"/>
          <w:szCs w:val="30"/>
          <w:highlight w:val="none"/>
        </w:rPr>
        <w:sectPr>
          <w:pgSz w:w="11906" w:h="16838"/>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4A85E557">
      <w:pPr>
        <w:pStyle w:val="28"/>
        <w:rPr>
          <w:color w:val="auto"/>
          <w:highlight w:val="none"/>
        </w:rPr>
      </w:pPr>
      <w:r>
        <w:rPr>
          <w:color w:val="auto"/>
          <w:highlight w:val="none"/>
        </w:rPr>
        <w:t>表3-</w:t>
      </w:r>
      <w:r>
        <w:rPr>
          <w:rFonts w:hint="eastAsia"/>
          <w:color w:val="auto"/>
          <w:highlight w:val="none"/>
          <w:lang w:val="en-US" w:eastAsia="zh-CN"/>
        </w:rPr>
        <w:t>9</w:t>
      </w:r>
      <w:r>
        <w:rPr>
          <w:color w:val="auto"/>
          <w:highlight w:val="none"/>
        </w:rPr>
        <w:t xml:space="preserve"> </w:t>
      </w:r>
      <w:r>
        <w:rPr>
          <w:rFonts w:hint="eastAsia"/>
          <w:color w:val="auto"/>
          <w:highlight w:val="none"/>
          <w:lang w:val="en-US" w:eastAsia="zh-CN"/>
        </w:rPr>
        <w:t xml:space="preserve"> </w:t>
      </w:r>
      <w:r>
        <w:rPr>
          <w:color w:val="auto"/>
          <w:highlight w:val="none"/>
        </w:rPr>
        <w:t>生态环境保护目标</w:t>
      </w:r>
    </w:p>
    <w:tbl>
      <w:tblPr>
        <w:tblStyle w:val="18"/>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2313"/>
        <w:gridCol w:w="1755"/>
        <w:gridCol w:w="6059"/>
        <w:gridCol w:w="2178"/>
        <w:gridCol w:w="8114"/>
      </w:tblGrid>
      <w:tr w14:paraId="08454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69" w:type="pct"/>
            <w:vMerge w:val="restart"/>
            <w:noWrap w:val="0"/>
            <w:vAlign w:val="center"/>
          </w:tcPr>
          <w:p w14:paraId="3724EC8C">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序号</w:t>
            </w:r>
          </w:p>
        </w:tc>
        <w:tc>
          <w:tcPr>
            <w:tcW w:w="547" w:type="pct"/>
            <w:vMerge w:val="restart"/>
            <w:noWrap w:val="0"/>
            <w:vAlign w:val="center"/>
          </w:tcPr>
          <w:p w14:paraId="346633CB">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名称</w:t>
            </w:r>
          </w:p>
        </w:tc>
        <w:tc>
          <w:tcPr>
            <w:tcW w:w="1848" w:type="pct"/>
            <w:gridSpan w:val="2"/>
            <w:noWrap w:val="0"/>
            <w:vAlign w:val="center"/>
          </w:tcPr>
          <w:p w14:paraId="0DFAE816">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与项目区位关系</w:t>
            </w:r>
          </w:p>
        </w:tc>
        <w:tc>
          <w:tcPr>
            <w:tcW w:w="515" w:type="pct"/>
            <w:vMerge w:val="restart"/>
            <w:noWrap w:val="0"/>
            <w:vAlign w:val="center"/>
          </w:tcPr>
          <w:p w14:paraId="7867BD8A">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保护等级</w:t>
            </w:r>
          </w:p>
        </w:tc>
        <w:tc>
          <w:tcPr>
            <w:tcW w:w="1919" w:type="pct"/>
            <w:vMerge w:val="restart"/>
            <w:noWrap w:val="0"/>
            <w:vAlign w:val="center"/>
          </w:tcPr>
          <w:p w14:paraId="6E6C2D67">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保护对象</w:t>
            </w:r>
          </w:p>
        </w:tc>
      </w:tr>
      <w:tr w14:paraId="233FE5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69" w:type="pct"/>
            <w:vMerge w:val="continue"/>
            <w:noWrap w:val="0"/>
            <w:vAlign w:val="center"/>
          </w:tcPr>
          <w:p w14:paraId="565A62FF">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547" w:type="pct"/>
            <w:vMerge w:val="continue"/>
            <w:noWrap w:val="0"/>
            <w:vAlign w:val="center"/>
          </w:tcPr>
          <w:p w14:paraId="461F7CBB">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415" w:type="pct"/>
            <w:noWrap w:val="0"/>
            <w:vAlign w:val="center"/>
          </w:tcPr>
          <w:p w14:paraId="745D5EA9">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位置关系</w:t>
            </w:r>
          </w:p>
        </w:tc>
        <w:tc>
          <w:tcPr>
            <w:tcW w:w="1432" w:type="pct"/>
            <w:noWrap w:val="0"/>
            <w:vAlign w:val="center"/>
          </w:tcPr>
          <w:p w14:paraId="30D87423">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具体</w:t>
            </w:r>
            <w:r>
              <w:rPr>
                <w:color w:val="auto"/>
                <w:sz w:val="21"/>
                <w:szCs w:val="21"/>
                <w:highlight w:val="none"/>
              </w:rPr>
              <w:t>位置</w:t>
            </w:r>
          </w:p>
        </w:tc>
        <w:tc>
          <w:tcPr>
            <w:tcW w:w="515" w:type="pct"/>
            <w:vMerge w:val="continue"/>
            <w:noWrap w:val="0"/>
            <w:vAlign w:val="center"/>
          </w:tcPr>
          <w:p w14:paraId="5C5CE4BD">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1919" w:type="pct"/>
            <w:vMerge w:val="continue"/>
            <w:noWrap w:val="0"/>
            <w:vAlign w:val="center"/>
          </w:tcPr>
          <w:p w14:paraId="0B01AADF">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r>
      <w:tr w14:paraId="24464E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9" w:type="pct"/>
            <w:noWrap w:val="0"/>
            <w:vAlign w:val="center"/>
          </w:tcPr>
          <w:p w14:paraId="289E8923">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1</w:t>
            </w:r>
          </w:p>
        </w:tc>
        <w:tc>
          <w:tcPr>
            <w:tcW w:w="547" w:type="pct"/>
            <w:noWrap w:val="0"/>
            <w:vAlign w:val="center"/>
          </w:tcPr>
          <w:p w14:paraId="7FCC3180">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kern w:val="0"/>
                <w:szCs w:val="21"/>
                <w:highlight w:val="none"/>
              </w:rPr>
              <w:t>黑龙江东升省级自然保护区</w:t>
            </w:r>
          </w:p>
        </w:tc>
        <w:tc>
          <w:tcPr>
            <w:tcW w:w="415" w:type="pct"/>
            <w:noWrap w:val="0"/>
            <w:vAlign w:val="center"/>
          </w:tcPr>
          <w:p w14:paraId="5A126346">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穿越</w:t>
            </w:r>
          </w:p>
        </w:tc>
        <w:tc>
          <w:tcPr>
            <w:tcW w:w="1432" w:type="pct"/>
            <w:noWrap w:val="0"/>
            <w:vAlign w:val="center"/>
          </w:tcPr>
          <w:p w14:paraId="4AB768B9">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sz w:val="21"/>
                <w:szCs w:val="21"/>
                <w:highlight w:val="yellow"/>
                <w:lang w:eastAsia="zh-CN"/>
              </w:rPr>
            </w:pPr>
            <w:r>
              <w:rPr>
                <w:rFonts w:hint="eastAsia"/>
                <w:color w:val="auto"/>
                <w:sz w:val="21"/>
                <w:szCs w:val="21"/>
                <w:highlight w:val="none"/>
                <w:lang w:eastAsia="zh-CN"/>
              </w:rPr>
              <w:t>本项目</w:t>
            </w:r>
            <w:r>
              <w:rPr>
                <w:rFonts w:hint="eastAsia"/>
                <w:color w:val="auto"/>
                <w:sz w:val="21"/>
                <w:szCs w:val="21"/>
                <w:highlight w:val="none"/>
                <w:lang w:val="en-US" w:eastAsia="zh-CN"/>
              </w:rPr>
              <w:t>K19+150</w:t>
            </w:r>
            <w:r>
              <w:rPr>
                <w:rFonts w:hint="eastAsia" w:ascii="Times New Roman" w:hAnsi="Times New Roman" w:eastAsia="宋体" w:cs="Times New Roman"/>
                <w:color w:val="auto"/>
                <w:sz w:val="21"/>
                <w:szCs w:val="21"/>
                <w:highlight w:val="none"/>
                <w:lang w:val="en-US" w:eastAsia="zh-CN"/>
              </w:rPr>
              <w:t>～</w:t>
            </w:r>
            <w:r>
              <w:rPr>
                <w:rFonts w:hint="eastAsia"/>
                <w:color w:val="auto"/>
                <w:sz w:val="21"/>
                <w:szCs w:val="21"/>
                <w:highlight w:val="none"/>
                <w:lang w:val="en-US" w:eastAsia="zh-CN"/>
              </w:rPr>
              <w:t>K20+680段约1.53km</w:t>
            </w:r>
            <w:r>
              <w:rPr>
                <w:rFonts w:hint="eastAsia"/>
                <w:color w:val="auto"/>
                <w:sz w:val="21"/>
                <w:szCs w:val="21"/>
                <w:highlight w:val="none"/>
              </w:rPr>
              <w:t>以路基</w:t>
            </w:r>
            <w:r>
              <w:rPr>
                <w:rFonts w:hint="eastAsia"/>
                <w:color w:val="auto"/>
                <w:sz w:val="21"/>
                <w:szCs w:val="21"/>
                <w:highlight w:val="none"/>
                <w:lang w:val="en-US" w:eastAsia="zh-CN"/>
              </w:rPr>
              <w:t>和桥梁（桥梁本次完全利用，</w:t>
            </w:r>
            <w:r>
              <w:rPr>
                <w:rFonts w:eastAsia="宋体"/>
                <w:color w:val="auto"/>
                <w:sz w:val="21"/>
                <w:szCs w:val="21"/>
                <w:highlight w:val="none"/>
              </w:rPr>
              <w:t>路基</w:t>
            </w:r>
            <w:r>
              <w:rPr>
                <w:rFonts w:hint="eastAsia" w:eastAsia="宋体"/>
                <w:color w:val="auto"/>
                <w:sz w:val="21"/>
                <w:szCs w:val="21"/>
                <w:highlight w:val="none"/>
                <w:lang w:eastAsia="zh-CN"/>
              </w:rPr>
              <w:t>、路面</w:t>
            </w:r>
            <w:r>
              <w:rPr>
                <w:rFonts w:eastAsia="宋体"/>
                <w:color w:val="auto"/>
                <w:sz w:val="21"/>
                <w:szCs w:val="21"/>
                <w:highlight w:val="none"/>
              </w:rPr>
              <w:t>范围保持不变，不进行路基</w:t>
            </w:r>
            <w:r>
              <w:rPr>
                <w:rFonts w:hint="eastAsia" w:eastAsia="宋体"/>
                <w:color w:val="auto"/>
                <w:sz w:val="21"/>
                <w:szCs w:val="21"/>
                <w:highlight w:val="none"/>
                <w:lang w:eastAsia="zh-CN"/>
              </w:rPr>
              <w:t>、路面</w:t>
            </w:r>
            <w:r>
              <w:rPr>
                <w:rFonts w:eastAsia="宋体"/>
                <w:color w:val="auto"/>
                <w:sz w:val="21"/>
                <w:szCs w:val="21"/>
                <w:highlight w:val="none"/>
              </w:rPr>
              <w:t>帮宽</w:t>
            </w:r>
            <w:r>
              <w:rPr>
                <w:rFonts w:hint="eastAsia" w:eastAsia="宋体"/>
                <w:color w:val="auto"/>
                <w:sz w:val="21"/>
                <w:szCs w:val="21"/>
                <w:highlight w:val="none"/>
                <w:lang w:eastAsia="zh-CN"/>
              </w:rPr>
              <w:t>，仅对</w:t>
            </w:r>
            <w:r>
              <w:rPr>
                <w:rFonts w:ascii="宋体" w:hAnsi="宋体" w:eastAsia="宋体" w:cs="宋体"/>
                <w:color w:val="auto"/>
                <w:sz w:val="21"/>
                <w:szCs w:val="21"/>
                <w:highlight w:val="none"/>
              </w:rPr>
              <w:t>现状既有路面进行</w:t>
            </w:r>
            <w:r>
              <w:rPr>
                <w:rFonts w:hint="eastAsia" w:ascii="宋体" w:hAnsi="宋体" w:eastAsia="宋体" w:cs="宋体"/>
                <w:color w:val="auto"/>
                <w:sz w:val="21"/>
                <w:szCs w:val="21"/>
                <w:highlight w:val="none"/>
                <w:lang w:eastAsia="zh-CN"/>
              </w:rPr>
              <w:t>维护</w:t>
            </w:r>
            <w:r>
              <w:rPr>
                <w:rFonts w:hint="eastAsia" w:ascii="宋体" w:hAnsi="宋体" w:cs="宋体"/>
                <w:color w:val="auto"/>
                <w:sz w:val="21"/>
                <w:szCs w:val="21"/>
                <w:highlight w:val="none"/>
                <w:lang w:eastAsia="zh-CN"/>
              </w:rPr>
              <w:t>作业</w:t>
            </w:r>
            <w:r>
              <w:rPr>
                <w:rFonts w:hint="eastAsia"/>
                <w:color w:val="auto"/>
                <w:sz w:val="21"/>
                <w:szCs w:val="21"/>
                <w:highlight w:val="none"/>
                <w:lang w:val="en-US" w:eastAsia="zh-CN"/>
              </w:rPr>
              <w:t>）</w:t>
            </w:r>
            <w:r>
              <w:rPr>
                <w:rFonts w:hint="eastAsia"/>
                <w:color w:val="auto"/>
                <w:sz w:val="21"/>
                <w:szCs w:val="21"/>
                <w:highlight w:val="none"/>
              </w:rPr>
              <w:t>的形式</w:t>
            </w:r>
            <w:r>
              <w:rPr>
                <w:color w:val="auto"/>
                <w:sz w:val="21"/>
                <w:szCs w:val="21"/>
                <w:highlight w:val="none"/>
              </w:rPr>
              <w:t>穿越</w:t>
            </w:r>
            <w:r>
              <w:rPr>
                <w:rFonts w:hint="eastAsia"/>
                <w:color w:val="auto"/>
                <w:kern w:val="0"/>
                <w:szCs w:val="21"/>
                <w:highlight w:val="none"/>
              </w:rPr>
              <w:t>自然保护区</w:t>
            </w:r>
          </w:p>
        </w:tc>
        <w:tc>
          <w:tcPr>
            <w:tcW w:w="515" w:type="pct"/>
            <w:noWrap w:val="0"/>
            <w:vAlign w:val="center"/>
          </w:tcPr>
          <w:p w14:paraId="08645009">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lang w:eastAsia="zh-CN"/>
              </w:rPr>
              <w:t>省</w:t>
            </w:r>
            <w:r>
              <w:rPr>
                <w:color w:val="auto"/>
                <w:sz w:val="21"/>
                <w:szCs w:val="21"/>
                <w:highlight w:val="none"/>
              </w:rPr>
              <w:t>级</w:t>
            </w:r>
          </w:p>
        </w:tc>
        <w:tc>
          <w:tcPr>
            <w:tcW w:w="1919" w:type="pct"/>
            <w:noWrap w:val="0"/>
            <w:vAlign w:val="center"/>
          </w:tcPr>
          <w:p w14:paraId="3D8576C6">
            <w:pPr>
              <w:pStyle w:val="29"/>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color w:val="auto"/>
                <w:sz w:val="21"/>
                <w:szCs w:val="21"/>
                <w:highlight w:val="none"/>
                <w:lang w:val="en-US" w:eastAsia="zh-CN"/>
              </w:rPr>
            </w:pPr>
            <w:r>
              <w:rPr>
                <w:rFonts w:hint="default" w:eastAsia="宋体"/>
                <w:color w:val="auto"/>
                <w:sz w:val="21"/>
                <w:szCs w:val="21"/>
                <w:highlight w:val="none"/>
                <w:lang w:val="en-US" w:eastAsia="zh-CN"/>
              </w:rPr>
              <w:t>河流沿岸湿地生态系统及其珍稀野生动植物资源</w:t>
            </w:r>
          </w:p>
        </w:tc>
      </w:tr>
      <w:tr w14:paraId="36CA0E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8" w:hRule="atLeast"/>
        </w:trPr>
        <w:tc>
          <w:tcPr>
            <w:tcW w:w="169" w:type="pct"/>
            <w:noWrap w:val="0"/>
            <w:vAlign w:val="center"/>
          </w:tcPr>
          <w:p w14:paraId="236B931A">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sz w:val="21"/>
                <w:szCs w:val="21"/>
                <w:highlight w:val="none"/>
                <w:lang w:val="en-US" w:eastAsia="zh-CN"/>
              </w:rPr>
            </w:pPr>
            <w:r>
              <w:rPr>
                <w:rFonts w:hint="eastAsia"/>
                <w:color w:val="auto"/>
                <w:sz w:val="21"/>
                <w:szCs w:val="21"/>
                <w:highlight w:val="none"/>
                <w:lang w:val="en-US" w:eastAsia="zh-CN"/>
              </w:rPr>
              <w:t>2</w:t>
            </w:r>
          </w:p>
        </w:tc>
        <w:tc>
          <w:tcPr>
            <w:tcW w:w="547" w:type="pct"/>
            <w:noWrap w:val="0"/>
            <w:vAlign w:val="center"/>
          </w:tcPr>
          <w:p w14:paraId="14EF8C35">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highlight w:val="none"/>
              </w:rPr>
            </w:pPr>
            <w:r>
              <w:rPr>
                <w:rFonts w:hint="eastAsia"/>
                <w:color w:val="auto"/>
                <w:highlight w:val="none"/>
                <w:lang w:val="en-US" w:eastAsia="zh-CN"/>
              </w:rPr>
              <w:t>黑龙江完达山国家级森林公园</w:t>
            </w:r>
          </w:p>
        </w:tc>
        <w:tc>
          <w:tcPr>
            <w:tcW w:w="415" w:type="pct"/>
            <w:noWrap w:val="0"/>
            <w:vAlign w:val="center"/>
          </w:tcPr>
          <w:p w14:paraId="3BD805DD">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穿越</w:t>
            </w:r>
          </w:p>
        </w:tc>
        <w:tc>
          <w:tcPr>
            <w:tcW w:w="1432" w:type="pct"/>
            <w:noWrap w:val="0"/>
            <w:vAlign w:val="center"/>
          </w:tcPr>
          <w:p w14:paraId="3985239C">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sz w:val="21"/>
                <w:szCs w:val="21"/>
                <w:highlight w:val="yellow"/>
                <w:lang w:val="en-US" w:eastAsia="zh-CN"/>
              </w:rPr>
            </w:pPr>
            <w:r>
              <w:rPr>
                <w:rFonts w:hint="eastAsia"/>
                <w:color w:val="auto"/>
                <w:sz w:val="21"/>
                <w:szCs w:val="21"/>
                <w:highlight w:val="none"/>
                <w:lang w:val="en-US" w:eastAsia="zh-CN"/>
              </w:rPr>
              <w:t>本项目</w:t>
            </w:r>
            <w:r>
              <w:rPr>
                <w:rFonts w:hint="eastAsia"/>
                <w:color w:val="auto"/>
                <w:highlight w:val="none"/>
                <w:lang w:val="en-US" w:eastAsia="zh-CN"/>
              </w:rPr>
              <w:t>K40+900～K51+600段约10.7km</w:t>
            </w:r>
            <w:r>
              <w:rPr>
                <w:rFonts w:hint="eastAsia"/>
                <w:color w:val="auto"/>
                <w:sz w:val="21"/>
                <w:szCs w:val="21"/>
                <w:highlight w:val="none"/>
              </w:rPr>
              <w:t>以路基</w:t>
            </w:r>
            <w:r>
              <w:rPr>
                <w:rFonts w:hint="eastAsia"/>
                <w:color w:val="auto"/>
                <w:sz w:val="21"/>
                <w:szCs w:val="21"/>
                <w:highlight w:val="none"/>
                <w:lang w:val="en-US" w:eastAsia="zh-CN"/>
              </w:rPr>
              <w:t>（</w:t>
            </w:r>
            <w:r>
              <w:rPr>
                <w:rFonts w:eastAsia="宋体"/>
                <w:color w:val="auto"/>
                <w:sz w:val="21"/>
                <w:szCs w:val="21"/>
                <w:highlight w:val="none"/>
              </w:rPr>
              <w:t>路基</w:t>
            </w:r>
            <w:r>
              <w:rPr>
                <w:rFonts w:hint="eastAsia" w:eastAsia="宋体"/>
                <w:color w:val="auto"/>
                <w:sz w:val="21"/>
                <w:szCs w:val="21"/>
                <w:highlight w:val="none"/>
                <w:lang w:eastAsia="zh-CN"/>
              </w:rPr>
              <w:t>、路面</w:t>
            </w:r>
            <w:r>
              <w:rPr>
                <w:rFonts w:eastAsia="宋体"/>
                <w:color w:val="auto"/>
                <w:sz w:val="21"/>
                <w:szCs w:val="21"/>
                <w:highlight w:val="none"/>
              </w:rPr>
              <w:t>范围保持不变，不进行路基</w:t>
            </w:r>
            <w:r>
              <w:rPr>
                <w:rFonts w:hint="eastAsia" w:eastAsia="宋体"/>
                <w:color w:val="auto"/>
                <w:sz w:val="21"/>
                <w:szCs w:val="21"/>
                <w:highlight w:val="none"/>
                <w:lang w:eastAsia="zh-CN"/>
              </w:rPr>
              <w:t>、路面</w:t>
            </w:r>
            <w:r>
              <w:rPr>
                <w:rFonts w:eastAsia="宋体"/>
                <w:color w:val="auto"/>
                <w:sz w:val="21"/>
                <w:szCs w:val="21"/>
                <w:highlight w:val="none"/>
              </w:rPr>
              <w:t>帮宽</w:t>
            </w:r>
            <w:r>
              <w:rPr>
                <w:rFonts w:hint="eastAsia" w:eastAsia="宋体"/>
                <w:color w:val="auto"/>
                <w:sz w:val="21"/>
                <w:szCs w:val="21"/>
                <w:highlight w:val="none"/>
                <w:lang w:eastAsia="zh-CN"/>
              </w:rPr>
              <w:t>，仅对</w:t>
            </w:r>
            <w:r>
              <w:rPr>
                <w:rFonts w:ascii="宋体" w:hAnsi="宋体" w:eastAsia="宋体" w:cs="宋体"/>
                <w:color w:val="auto"/>
                <w:sz w:val="21"/>
                <w:szCs w:val="21"/>
                <w:highlight w:val="none"/>
              </w:rPr>
              <w:t>现状既有路面进行</w:t>
            </w:r>
            <w:r>
              <w:rPr>
                <w:rFonts w:hint="eastAsia" w:ascii="宋体" w:hAnsi="宋体" w:eastAsia="宋体" w:cs="宋体"/>
                <w:color w:val="auto"/>
                <w:sz w:val="21"/>
                <w:szCs w:val="21"/>
                <w:highlight w:val="none"/>
                <w:lang w:eastAsia="zh-CN"/>
              </w:rPr>
              <w:t>维护</w:t>
            </w:r>
            <w:r>
              <w:rPr>
                <w:rFonts w:hint="eastAsia" w:ascii="宋体" w:hAnsi="宋体" w:cs="宋体"/>
                <w:color w:val="auto"/>
                <w:sz w:val="21"/>
                <w:szCs w:val="21"/>
                <w:highlight w:val="none"/>
                <w:lang w:eastAsia="zh-CN"/>
              </w:rPr>
              <w:t>作业</w:t>
            </w:r>
            <w:r>
              <w:rPr>
                <w:rFonts w:hint="eastAsia"/>
                <w:color w:val="auto"/>
                <w:sz w:val="21"/>
                <w:szCs w:val="21"/>
                <w:highlight w:val="none"/>
                <w:lang w:val="en-US" w:eastAsia="zh-CN"/>
              </w:rPr>
              <w:t>）</w:t>
            </w:r>
            <w:r>
              <w:rPr>
                <w:rFonts w:hint="eastAsia"/>
                <w:color w:val="auto"/>
                <w:sz w:val="21"/>
                <w:szCs w:val="21"/>
                <w:highlight w:val="none"/>
              </w:rPr>
              <w:t>的形式</w:t>
            </w:r>
            <w:r>
              <w:rPr>
                <w:color w:val="auto"/>
                <w:sz w:val="21"/>
                <w:szCs w:val="21"/>
                <w:highlight w:val="none"/>
              </w:rPr>
              <w:t>穿越</w:t>
            </w:r>
            <w:r>
              <w:rPr>
                <w:rFonts w:hint="eastAsia"/>
                <w:color w:val="auto"/>
                <w:sz w:val="21"/>
                <w:szCs w:val="21"/>
                <w:highlight w:val="none"/>
                <w:lang w:val="en-US" w:eastAsia="zh-CN"/>
              </w:rPr>
              <w:t>森林</w:t>
            </w:r>
            <w:r>
              <w:rPr>
                <w:color w:val="auto"/>
                <w:sz w:val="21"/>
                <w:szCs w:val="21"/>
                <w:highlight w:val="none"/>
              </w:rPr>
              <w:t>公园</w:t>
            </w:r>
          </w:p>
        </w:tc>
        <w:tc>
          <w:tcPr>
            <w:tcW w:w="515" w:type="pct"/>
            <w:noWrap w:val="0"/>
            <w:vAlign w:val="center"/>
          </w:tcPr>
          <w:p w14:paraId="7AF6D446">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国家级</w:t>
            </w:r>
          </w:p>
        </w:tc>
        <w:tc>
          <w:tcPr>
            <w:tcW w:w="1919" w:type="pct"/>
            <w:noWrap w:val="0"/>
            <w:vAlign w:val="center"/>
          </w:tcPr>
          <w:p w14:paraId="4819601F">
            <w:pPr>
              <w:pStyle w:val="29"/>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color w:val="auto"/>
                <w:sz w:val="21"/>
                <w:szCs w:val="21"/>
                <w:highlight w:val="none"/>
                <w:lang w:val="en-US" w:eastAsia="zh-CN"/>
              </w:rPr>
            </w:pPr>
            <w:r>
              <w:rPr>
                <w:rFonts w:hint="default" w:eastAsia="宋体"/>
                <w:color w:val="auto"/>
                <w:sz w:val="21"/>
                <w:szCs w:val="21"/>
                <w:highlight w:val="none"/>
                <w:lang w:val="en-US" w:eastAsia="zh-CN"/>
              </w:rPr>
              <w:t>森林生态系统的完整性和培育生物多样性</w:t>
            </w:r>
          </w:p>
        </w:tc>
      </w:tr>
      <w:tr w14:paraId="7BAE07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9" w:type="pct"/>
            <w:noWrap w:val="0"/>
            <w:vAlign w:val="center"/>
          </w:tcPr>
          <w:p w14:paraId="21EB013F">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highlight w:val="none"/>
                <w:lang w:eastAsia="zh-CN"/>
              </w:rPr>
            </w:pPr>
            <w:r>
              <w:rPr>
                <w:rFonts w:hint="eastAsia"/>
                <w:color w:val="auto"/>
                <w:sz w:val="21"/>
                <w:szCs w:val="21"/>
                <w:highlight w:val="none"/>
                <w:lang w:val="en-US" w:eastAsia="zh-CN"/>
              </w:rPr>
              <w:t>3</w:t>
            </w:r>
          </w:p>
        </w:tc>
        <w:tc>
          <w:tcPr>
            <w:tcW w:w="547" w:type="pct"/>
            <w:noWrap w:val="0"/>
            <w:vAlign w:val="center"/>
          </w:tcPr>
          <w:p w14:paraId="1AA0F7EA">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生态保护红线</w:t>
            </w:r>
          </w:p>
        </w:tc>
        <w:tc>
          <w:tcPr>
            <w:tcW w:w="415" w:type="pct"/>
            <w:noWrap w:val="0"/>
            <w:vAlign w:val="center"/>
          </w:tcPr>
          <w:p w14:paraId="5D94A9CF">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穿越</w:t>
            </w:r>
          </w:p>
        </w:tc>
        <w:tc>
          <w:tcPr>
            <w:tcW w:w="1432" w:type="pct"/>
            <w:noWrap w:val="0"/>
            <w:vAlign w:val="center"/>
          </w:tcPr>
          <w:p w14:paraId="0D15FA19">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本项目</w:t>
            </w:r>
            <w:r>
              <w:rPr>
                <w:rFonts w:hint="eastAsia"/>
                <w:color w:val="auto"/>
                <w:sz w:val="21"/>
                <w:szCs w:val="21"/>
                <w:highlight w:val="none"/>
                <w:lang w:val="en-US" w:eastAsia="zh-CN"/>
              </w:rPr>
              <w:t>K18+920</w:t>
            </w:r>
            <w:r>
              <w:rPr>
                <w:rFonts w:hint="eastAsia" w:ascii="Times New Roman" w:hAnsi="Times New Roman" w:eastAsia="宋体" w:cs="Times New Roman"/>
                <w:color w:val="auto"/>
                <w:sz w:val="21"/>
                <w:szCs w:val="21"/>
                <w:highlight w:val="none"/>
                <w:lang w:val="en-US" w:eastAsia="zh-CN"/>
              </w:rPr>
              <w:t>～</w:t>
            </w:r>
            <w:r>
              <w:rPr>
                <w:rFonts w:hint="eastAsia"/>
                <w:color w:val="auto"/>
                <w:sz w:val="21"/>
                <w:szCs w:val="21"/>
                <w:highlight w:val="none"/>
                <w:lang w:val="en-US" w:eastAsia="zh-CN"/>
              </w:rPr>
              <w:t>K20+680段约1.76km</w:t>
            </w:r>
            <w:r>
              <w:rPr>
                <w:rFonts w:hint="eastAsia"/>
                <w:color w:val="auto"/>
                <w:sz w:val="21"/>
                <w:szCs w:val="21"/>
                <w:highlight w:val="none"/>
              </w:rPr>
              <w:t>以路基</w:t>
            </w:r>
            <w:r>
              <w:rPr>
                <w:rFonts w:hint="eastAsia"/>
                <w:color w:val="auto"/>
                <w:sz w:val="21"/>
                <w:szCs w:val="21"/>
                <w:highlight w:val="none"/>
                <w:lang w:val="en-US" w:eastAsia="zh-CN"/>
              </w:rPr>
              <w:t>和桥梁（桥梁本次完全利用，</w:t>
            </w:r>
            <w:r>
              <w:rPr>
                <w:rFonts w:eastAsia="宋体"/>
                <w:color w:val="auto"/>
                <w:sz w:val="21"/>
                <w:szCs w:val="21"/>
                <w:highlight w:val="none"/>
              </w:rPr>
              <w:t>路基</w:t>
            </w:r>
            <w:r>
              <w:rPr>
                <w:rFonts w:hint="eastAsia" w:eastAsia="宋体"/>
                <w:color w:val="auto"/>
                <w:sz w:val="21"/>
                <w:szCs w:val="21"/>
                <w:highlight w:val="none"/>
                <w:lang w:eastAsia="zh-CN"/>
              </w:rPr>
              <w:t>、路面</w:t>
            </w:r>
            <w:r>
              <w:rPr>
                <w:rFonts w:eastAsia="宋体"/>
                <w:color w:val="auto"/>
                <w:sz w:val="21"/>
                <w:szCs w:val="21"/>
                <w:highlight w:val="none"/>
              </w:rPr>
              <w:t>范围保持不变，不进行路基</w:t>
            </w:r>
            <w:r>
              <w:rPr>
                <w:rFonts w:hint="eastAsia" w:eastAsia="宋体"/>
                <w:color w:val="auto"/>
                <w:sz w:val="21"/>
                <w:szCs w:val="21"/>
                <w:highlight w:val="none"/>
                <w:lang w:eastAsia="zh-CN"/>
              </w:rPr>
              <w:t>、路面</w:t>
            </w:r>
            <w:r>
              <w:rPr>
                <w:rFonts w:eastAsia="宋体"/>
                <w:color w:val="auto"/>
                <w:sz w:val="21"/>
                <w:szCs w:val="21"/>
                <w:highlight w:val="none"/>
              </w:rPr>
              <w:t>帮宽</w:t>
            </w:r>
            <w:r>
              <w:rPr>
                <w:rFonts w:hint="eastAsia" w:eastAsia="宋体"/>
                <w:color w:val="auto"/>
                <w:sz w:val="21"/>
                <w:szCs w:val="21"/>
                <w:highlight w:val="none"/>
                <w:lang w:eastAsia="zh-CN"/>
              </w:rPr>
              <w:t>，仅对</w:t>
            </w:r>
            <w:r>
              <w:rPr>
                <w:rFonts w:ascii="宋体" w:hAnsi="宋体" w:eastAsia="宋体" w:cs="宋体"/>
                <w:color w:val="auto"/>
                <w:sz w:val="21"/>
                <w:szCs w:val="21"/>
                <w:highlight w:val="none"/>
              </w:rPr>
              <w:t>现状既有路面进行</w:t>
            </w:r>
            <w:r>
              <w:rPr>
                <w:rFonts w:hint="eastAsia" w:ascii="宋体" w:hAnsi="宋体" w:eastAsia="宋体" w:cs="宋体"/>
                <w:color w:val="auto"/>
                <w:sz w:val="21"/>
                <w:szCs w:val="21"/>
                <w:highlight w:val="none"/>
                <w:lang w:eastAsia="zh-CN"/>
              </w:rPr>
              <w:t>维护</w:t>
            </w:r>
            <w:r>
              <w:rPr>
                <w:rFonts w:hint="eastAsia" w:ascii="宋体" w:hAnsi="宋体" w:cs="宋体"/>
                <w:color w:val="auto"/>
                <w:sz w:val="21"/>
                <w:szCs w:val="21"/>
                <w:highlight w:val="none"/>
                <w:lang w:eastAsia="zh-CN"/>
              </w:rPr>
              <w:t>作业</w:t>
            </w:r>
            <w:r>
              <w:rPr>
                <w:rFonts w:hint="eastAsia"/>
                <w:color w:val="auto"/>
                <w:sz w:val="21"/>
                <w:szCs w:val="21"/>
                <w:highlight w:val="none"/>
                <w:lang w:val="en-US" w:eastAsia="zh-CN"/>
              </w:rPr>
              <w:t>）</w:t>
            </w:r>
            <w:r>
              <w:rPr>
                <w:rFonts w:hint="eastAsia"/>
                <w:color w:val="auto"/>
                <w:sz w:val="21"/>
                <w:szCs w:val="21"/>
                <w:highlight w:val="none"/>
              </w:rPr>
              <w:t>的形式</w:t>
            </w:r>
            <w:r>
              <w:rPr>
                <w:color w:val="auto"/>
                <w:sz w:val="21"/>
                <w:szCs w:val="21"/>
                <w:highlight w:val="none"/>
              </w:rPr>
              <w:t>穿越生态保护红线区</w:t>
            </w:r>
          </w:p>
        </w:tc>
        <w:tc>
          <w:tcPr>
            <w:tcW w:w="515" w:type="pct"/>
            <w:noWrap w:val="0"/>
            <w:vAlign w:val="center"/>
          </w:tcPr>
          <w:p w14:paraId="2F8B3A1B">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color w:val="auto"/>
                <w:sz w:val="21"/>
                <w:szCs w:val="21"/>
                <w:highlight w:val="none"/>
              </w:rPr>
              <w:t>/</w:t>
            </w:r>
          </w:p>
        </w:tc>
        <w:tc>
          <w:tcPr>
            <w:tcW w:w="1919" w:type="pct"/>
            <w:noWrap w:val="0"/>
            <w:vAlign w:val="center"/>
          </w:tcPr>
          <w:p w14:paraId="41842976">
            <w:pPr>
              <w:pStyle w:val="29"/>
              <w:keepNext w:val="0"/>
              <w:keepLines w:val="0"/>
              <w:pageBreakBefore w:val="0"/>
              <w:widowControl w:val="0"/>
              <w:kinsoku/>
              <w:wordWrap/>
              <w:overflowPunct/>
              <w:topLinePunct w:val="0"/>
              <w:autoSpaceDE/>
              <w:autoSpaceDN/>
              <w:bidi w:val="0"/>
              <w:adjustRightInd/>
              <w:snapToGrid/>
              <w:spacing w:line="240" w:lineRule="auto"/>
              <w:jc w:val="both"/>
              <w:textAlignment w:val="auto"/>
              <w:rPr>
                <w:color w:val="auto"/>
                <w:sz w:val="21"/>
                <w:szCs w:val="21"/>
                <w:highlight w:val="none"/>
              </w:rPr>
            </w:pPr>
            <w:r>
              <w:rPr>
                <w:rFonts w:hint="eastAsia" w:ascii="Times New Roman" w:hAnsi="Times New Roman" w:eastAsia="宋体" w:cs="Times New Roman"/>
                <w:color w:val="auto"/>
                <w:sz w:val="21"/>
                <w:szCs w:val="21"/>
                <w:highlight w:val="none"/>
                <w:lang w:val="en-US" w:eastAsia="zh-CN"/>
              </w:rPr>
              <w:t>宝清县三江平原生物多样性维护功能生态保护红线-生物多样性维护生态功能重要区</w:t>
            </w:r>
          </w:p>
        </w:tc>
      </w:tr>
      <w:tr w14:paraId="51D0A0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9" w:type="pct"/>
            <w:vMerge w:val="restart"/>
            <w:noWrap w:val="0"/>
            <w:vAlign w:val="center"/>
          </w:tcPr>
          <w:p w14:paraId="35AA0C10">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highlight w:val="none"/>
                <w:lang w:eastAsia="zh-CN"/>
              </w:rPr>
            </w:pPr>
            <w:r>
              <w:rPr>
                <w:rFonts w:hint="eastAsia"/>
                <w:color w:val="auto"/>
                <w:sz w:val="21"/>
                <w:szCs w:val="21"/>
                <w:highlight w:val="none"/>
                <w:lang w:val="en-US" w:eastAsia="zh-CN"/>
              </w:rPr>
              <w:t>4</w:t>
            </w:r>
          </w:p>
        </w:tc>
        <w:tc>
          <w:tcPr>
            <w:tcW w:w="547" w:type="pct"/>
            <w:vMerge w:val="restart"/>
            <w:noWrap w:val="0"/>
            <w:vAlign w:val="center"/>
          </w:tcPr>
          <w:p w14:paraId="4EBF94BA">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sz w:val="21"/>
                <w:szCs w:val="21"/>
                <w:highlight w:val="none"/>
              </w:rPr>
            </w:pPr>
            <w:r>
              <w:rPr>
                <w:rFonts w:hint="eastAsia"/>
                <w:color w:val="auto"/>
                <w:sz w:val="21"/>
                <w:szCs w:val="21"/>
                <w:highlight w:val="none"/>
              </w:rPr>
              <w:t>重要</w:t>
            </w:r>
          </w:p>
          <w:p w14:paraId="50498814">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物种</w:t>
            </w:r>
          </w:p>
        </w:tc>
        <w:tc>
          <w:tcPr>
            <w:tcW w:w="415" w:type="pct"/>
            <w:noWrap w:val="0"/>
            <w:vAlign w:val="center"/>
          </w:tcPr>
          <w:p w14:paraId="52CDCB90">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野生植物</w:t>
            </w:r>
          </w:p>
        </w:tc>
        <w:tc>
          <w:tcPr>
            <w:tcW w:w="1432" w:type="pct"/>
            <w:noWrap w:val="0"/>
            <w:vAlign w:val="center"/>
          </w:tcPr>
          <w:p w14:paraId="798CBA4C">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工程占地范围内未发现重要野生植物分布，评价范围内分布有重要野生植物物种</w:t>
            </w:r>
          </w:p>
        </w:tc>
        <w:tc>
          <w:tcPr>
            <w:tcW w:w="515" w:type="pct"/>
            <w:noWrap w:val="0"/>
            <w:vAlign w:val="center"/>
          </w:tcPr>
          <w:p w14:paraId="47701B15">
            <w:pPr>
              <w:pStyle w:val="29"/>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sz w:val="21"/>
                <w:szCs w:val="21"/>
                <w:highlight w:val="none"/>
                <w:lang w:eastAsia="zh-CN"/>
              </w:rPr>
            </w:pPr>
            <w:r>
              <w:rPr>
                <w:rFonts w:hint="eastAsia"/>
                <w:color w:val="auto"/>
                <w:sz w:val="21"/>
                <w:szCs w:val="21"/>
                <w:highlight w:val="none"/>
              </w:rPr>
              <w:t>国家级</w:t>
            </w:r>
            <w:r>
              <w:rPr>
                <w:rFonts w:hint="eastAsia"/>
                <w:color w:val="auto"/>
                <w:sz w:val="21"/>
                <w:szCs w:val="21"/>
                <w:highlight w:val="none"/>
                <w:lang w:eastAsia="zh-CN"/>
              </w:rPr>
              <w:t>二级</w:t>
            </w:r>
          </w:p>
        </w:tc>
        <w:tc>
          <w:tcPr>
            <w:tcW w:w="1919" w:type="pct"/>
            <w:noWrap w:val="0"/>
            <w:vAlign w:val="center"/>
          </w:tcPr>
          <w:p w14:paraId="545B39E4">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野大豆</w:t>
            </w:r>
          </w:p>
        </w:tc>
      </w:tr>
      <w:tr w14:paraId="707D93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9" w:type="pct"/>
            <w:vMerge w:val="continue"/>
            <w:noWrap w:val="0"/>
            <w:vAlign w:val="center"/>
          </w:tcPr>
          <w:p w14:paraId="3524776F">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547" w:type="pct"/>
            <w:vMerge w:val="continue"/>
            <w:noWrap w:val="0"/>
            <w:vAlign w:val="center"/>
          </w:tcPr>
          <w:p w14:paraId="7B9CE2D8">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415" w:type="pct"/>
            <w:noWrap w:val="0"/>
            <w:vAlign w:val="center"/>
          </w:tcPr>
          <w:p w14:paraId="475EA9F2">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野生动物</w:t>
            </w:r>
          </w:p>
        </w:tc>
        <w:tc>
          <w:tcPr>
            <w:tcW w:w="1432" w:type="pct"/>
            <w:noWrap w:val="0"/>
            <w:vAlign w:val="center"/>
          </w:tcPr>
          <w:p w14:paraId="15D0B8E2">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工程占地范围内未发现重要野生动物物种栖息地分布，评价范围内偶见重要野生动物物种</w:t>
            </w:r>
          </w:p>
        </w:tc>
        <w:tc>
          <w:tcPr>
            <w:tcW w:w="515" w:type="pct"/>
            <w:noWrap w:val="0"/>
            <w:vAlign w:val="center"/>
          </w:tcPr>
          <w:p w14:paraId="7743F866">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国家级、</w:t>
            </w:r>
            <w:r>
              <w:rPr>
                <w:rFonts w:hint="eastAsia"/>
                <w:color w:val="auto"/>
                <w:sz w:val="21"/>
                <w:szCs w:val="21"/>
                <w:highlight w:val="none"/>
                <w:lang w:eastAsia="zh-CN"/>
              </w:rPr>
              <w:t>省级</w:t>
            </w:r>
          </w:p>
        </w:tc>
        <w:tc>
          <w:tcPr>
            <w:tcW w:w="1919" w:type="pct"/>
            <w:noWrap w:val="0"/>
            <w:vAlign w:val="center"/>
          </w:tcPr>
          <w:p w14:paraId="24BCA263">
            <w:pPr>
              <w:pStyle w:val="29"/>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r>
              <w:rPr>
                <w:rFonts w:hint="eastAsia"/>
                <w:color w:val="auto"/>
                <w:sz w:val="21"/>
                <w:szCs w:val="21"/>
                <w:highlight w:val="none"/>
              </w:rPr>
              <w:t>普通鵟</w:t>
            </w:r>
            <w:r>
              <w:rPr>
                <w:rFonts w:hint="eastAsia"/>
                <w:color w:val="auto"/>
                <w:sz w:val="21"/>
                <w:szCs w:val="21"/>
                <w:highlight w:val="none"/>
                <w:lang w:eastAsia="zh-CN"/>
              </w:rPr>
              <w:t>、</w:t>
            </w:r>
            <w:r>
              <w:rPr>
                <w:rFonts w:hint="eastAsia"/>
                <w:color w:val="auto"/>
                <w:sz w:val="21"/>
                <w:szCs w:val="21"/>
                <w:highlight w:val="none"/>
              </w:rPr>
              <w:t>红隼</w:t>
            </w:r>
            <w:r>
              <w:rPr>
                <w:rFonts w:hint="eastAsia"/>
                <w:color w:val="auto"/>
                <w:sz w:val="21"/>
                <w:szCs w:val="21"/>
                <w:highlight w:val="none"/>
                <w:lang w:eastAsia="zh-CN"/>
              </w:rPr>
              <w:t>、</w:t>
            </w:r>
            <w:r>
              <w:rPr>
                <w:rFonts w:hint="eastAsia"/>
                <w:color w:val="auto"/>
                <w:sz w:val="21"/>
                <w:szCs w:val="21"/>
                <w:highlight w:val="none"/>
              </w:rPr>
              <w:t>琵嘴鸭</w:t>
            </w:r>
            <w:r>
              <w:rPr>
                <w:rFonts w:hint="eastAsia"/>
                <w:color w:val="auto"/>
                <w:sz w:val="21"/>
                <w:szCs w:val="21"/>
                <w:highlight w:val="none"/>
                <w:lang w:eastAsia="zh-CN"/>
              </w:rPr>
              <w:t>、</w:t>
            </w:r>
            <w:r>
              <w:rPr>
                <w:rFonts w:hint="eastAsia"/>
                <w:color w:val="auto"/>
                <w:sz w:val="21"/>
                <w:szCs w:val="21"/>
                <w:highlight w:val="none"/>
              </w:rPr>
              <w:t>普通夜鹰</w:t>
            </w:r>
            <w:r>
              <w:rPr>
                <w:rFonts w:hint="eastAsia"/>
                <w:color w:val="auto"/>
                <w:sz w:val="21"/>
                <w:szCs w:val="21"/>
                <w:highlight w:val="none"/>
                <w:lang w:eastAsia="zh-CN"/>
              </w:rPr>
              <w:t>、</w:t>
            </w:r>
            <w:r>
              <w:rPr>
                <w:rFonts w:hint="eastAsia"/>
                <w:color w:val="auto"/>
                <w:sz w:val="21"/>
                <w:szCs w:val="21"/>
                <w:highlight w:val="none"/>
              </w:rPr>
              <w:t>黑枕黄鹂</w:t>
            </w:r>
            <w:r>
              <w:rPr>
                <w:rFonts w:hint="eastAsia"/>
                <w:color w:val="auto"/>
                <w:sz w:val="21"/>
                <w:szCs w:val="21"/>
                <w:highlight w:val="none"/>
                <w:lang w:eastAsia="zh-CN"/>
              </w:rPr>
              <w:t>、</w:t>
            </w:r>
            <w:r>
              <w:rPr>
                <w:rFonts w:hint="eastAsia"/>
                <w:color w:val="auto"/>
                <w:sz w:val="21"/>
                <w:szCs w:val="21"/>
                <w:highlight w:val="none"/>
              </w:rPr>
              <w:t>太平鸟</w:t>
            </w:r>
            <w:r>
              <w:rPr>
                <w:rFonts w:hint="eastAsia"/>
                <w:color w:val="auto"/>
                <w:sz w:val="21"/>
                <w:szCs w:val="21"/>
                <w:highlight w:val="none"/>
                <w:lang w:eastAsia="zh-CN"/>
              </w:rPr>
              <w:t>、</w:t>
            </w:r>
            <w:r>
              <w:rPr>
                <w:rFonts w:hint="eastAsia"/>
                <w:color w:val="auto"/>
                <w:sz w:val="21"/>
                <w:szCs w:val="21"/>
                <w:highlight w:val="none"/>
              </w:rPr>
              <w:t>东北兔</w:t>
            </w:r>
            <w:r>
              <w:rPr>
                <w:rFonts w:hint="eastAsia"/>
                <w:color w:val="auto"/>
                <w:sz w:val="21"/>
                <w:szCs w:val="21"/>
                <w:highlight w:val="none"/>
                <w:lang w:eastAsia="zh-CN"/>
              </w:rPr>
              <w:t>、</w:t>
            </w:r>
            <w:r>
              <w:rPr>
                <w:rFonts w:hint="eastAsia"/>
                <w:color w:val="auto"/>
                <w:sz w:val="21"/>
                <w:szCs w:val="21"/>
                <w:highlight w:val="none"/>
              </w:rPr>
              <w:t>黄鼬</w:t>
            </w:r>
            <w:r>
              <w:rPr>
                <w:rFonts w:hint="eastAsia"/>
                <w:color w:val="auto"/>
                <w:sz w:val="21"/>
                <w:szCs w:val="21"/>
                <w:highlight w:val="none"/>
                <w:lang w:eastAsia="zh-CN"/>
              </w:rPr>
              <w:t>、</w:t>
            </w:r>
            <w:r>
              <w:rPr>
                <w:rFonts w:hint="eastAsia"/>
                <w:color w:val="auto"/>
                <w:sz w:val="21"/>
                <w:szCs w:val="21"/>
                <w:highlight w:val="none"/>
              </w:rPr>
              <w:t>香鼬</w:t>
            </w:r>
            <w:r>
              <w:rPr>
                <w:rFonts w:hint="eastAsia"/>
                <w:color w:val="auto"/>
                <w:sz w:val="21"/>
                <w:szCs w:val="21"/>
                <w:highlight w:val="none"/>
                <w:lang w:eastAsia="zh-CN"/>
              </w:rPr>
              <w:t>、</w:t>
            </w:r>
            <w:r>
              <w:rPr>
                <w:rFonts w:hint="eastAsia"/>
                <w:color w:val="auto"/>
                <w:sz w:val="21"/>
                <w:szCs w:val="21"/>
                <w:highlight w:val="none"/>
              </w:rPr>
              <w:t>丽斑麻蜥</w:t>
            </w:r>
          </w:p>
        </w:tc>
      </w:tr>
    </w:tbl>
    <w:p w14:paraId="28E72BEC">
      <w:pPr>
        <w:pStyle w:val="28"/>
        <w:keepNext w:val="0"/>
        <w:keepLines w:val="0"/>
        <w:pageBreakBefore w:val="0"/>
        <w:widowControl w:val="0"/>
        <w:kinsoku/>
        <w:wordWrap/>
        <w:overflowPunct/>
        <w:topLinePunct w:val="0"/>
        <w:autoSpaceDE/>
        <w:autoSpaceDN/>
        <w:bidi w:val="0"/>
        <w:adjustRightInd/>
        <w:snapToGrid/>
        <w:spacing w:before="157" w:beforeLines="50"/>
        <w:textAlignment w:val="auto"/>
        <w:rPr>
          <w:rFonts w:hint="default"/>
          <w:color w:val="auto"/>
          <w:highlight w:val="none"/>
        </w:rPr>
      </w:pPr>
    </w:p>
    <w:p w14:paraId="5F44C1CD">
      <w:pPr>
        <w:pStyle w:val="28"/>
        <w:keepNext w:val="0"/>
        <w:keepLines w:val="0"/>
        <w:pageBreakBefore w:val="0"/>
        <w:widowControl w:val="0"/>
        <w:kinsoku/>
        <w:wordWrap/>
        <w:overflowPunct/>
        <w:topLinePunct w:val="0"/>
        <w:autoSpaceDE/>
        <w:autoSpaceDN/>
        <w:bidi w:val="0"/>
        <w:adjustRightInd/>
        <w:snapToGrid/>
        <w:spacing w:before="157" w:beforeLines="50"/>
        <w:textAlignment w:val="auto"/>
        <w:rPr>
          <w:rFonts w:hint="default"/>
          <w:color w:val="auto"/>
          <w:highlight w:val="none"/>
        </w:rPr>
      </w:pPr>
      <w:r>
        <w:rPr>
          <w:rFonts w:hint="default"/>
          <w:color w:val="auto"/>
          <w:highlight w:val="none"/>
        </w:rPr>
        <w:t>表</w:t>
      </w:r>
      <w:r>
        <w:rPr>
          <w:color w:val="auto"/>
          <w:highlight w:val="none"/>
        </w:rPr>
        <w:t>3-</w:t>
      </w:r>
      <w:r>
        <w:rPr>
          <w:rFonts w:hint="eastAsia"/>
          <w:color w:val="auto"/>
          <w:highlight w:val="none"/>
          <w:lang w:val="en-US" w:eastAsia="zh-CN"/>
        </w:rPr>
        <w:t xml:space="preserve">10  </w:t>
      </w:r>
      <w:r>
        <w:rPr>
          <w:rFonts w:hint="default"/>
          <w:color w:val="auto"/>
          <w:highlight w:val="none"/>
        </w:rPr>
        <w:t>声环境保护目标表</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8"/>
        <w:gridCol w:w="663"/>
        <w:gridCol w:w="823"/>
        <w:gridCol w:w="804"/>
        <w:gridCol w:w="686"/>
        <w:gridCol w:w="687"/>
        <w:gridCol w:w="891"/>
        <w:gridCol w:w="730"/>
        <w:gridCol w:w="643"/>
        <w:gridCol w:w="657"/>
        <w:gridCol w:w="716"/>
        <w:gridCol w:w="686"/>
        <w:gridCol w:w="527"/>
        <w:gridCol w:w="497"/>
        <w:gridCol w:w="672"/>
        <w:gridCol w:w="964"/>
        <w:gridCol w:w="4886"/>
        <w:gridCol w:w="5117"/>
      </w:tblGrid>
      <w:tr w14:paraId="06A135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9" w:hRule="atLeast"/>
          <w:tblHeader/>
          <w:jc w:val="center"/>
        </w:trPr>
        <w:tc>
          <w:tcPr>
            <w:tcW w:w="117" w:type="pct"/>
            <w:vMerge w:val="restart"/>
            <w:noWrap w:val="0"/>
            <w:vAlign w:val="center"/>
          </w:tcPr>
          <w:p w14:paraId="40C69B7F">
            <w:pPr>
              <w:spacing w:line="240" w:lineRule="auto"/>
              <w:ind w:firstLine="0" w:firstLineChars="0"/>
              <w:jc w:val="center"/>
              <w:rPr>
                <w:rFonts w:ascii="Times New Roman" w:hAnsi="Times New Roman" w:eastAsia="宋体"/>
                <w:color w:val="auto"/>
                <w:sz w:val="21"/>
                <w:szCs w:val="21"/>
                <w:highlight w:val="none"/>
              </w:rPr>
            </w:pPr>
            <w:r>
              <w:rPr>
                <w:rFonts w:ascii="Times New Roman" w:hAnsi="Times New Roman" w:eastAsia="宋体"/>
                <w:color w:val="auto"/>
                <w:sz w:val="21"/>
                <w:szCs w:val="21"/>
                <w:highlight w:val="none"/>
              </w:rPr>
              <w:t>序号</w:t>
            </w:r>
          </w:p>
        </w:tc>
        <w:tc>
          <w:tcPr>
            <w:tcW w:w="156" w:type="pct"/>
            <w:vMerge w:val="restart"/>
            <w:noWrap w:val="0"/>
            <w:vAlign w:val="center"/>
          </w:tcPr>
          <w:p w14:paraId="27B12B4B">
            <w:pPr>
              <w:spacing w:line="240" w:lineRule="auto"/>
              <w:ind w:firstLine="0" w:firstLineChars="0"/>
              <w:jc w:val="center"/>
              <w:rPr>
                <w:rFonts w:ascii="Times New Roman" w:hAnsi="Times New Roman" w:eastAsia="宋体"/>
                <w:color w:val="auto"/>
                <w:sz w:val="21"/>
                <w:szCs w:val="21"/>
                <w:highlight w:val="none"/>
              </w:rPr>
            </w:pPr>
            <w:r>
              <w:rPr>
                <w:rFonts w:hint="eastAsia" w:ascii="Times New Roman" w:hAnsi="Times New Roman" w:eastAsia="宋体"/>
                <w:color w:val="auto"/>
                <w:sz w:val="21"/>
                <w:szCs w:val="21"/>
                <w:highlight w:val="none"/>
                <w:lang w:eastAsia="zh-CN"/>
              </w:rPr>
              <w:t>声环境保护目标</w:t>
            </w:r>
            <w:r>
              <w:rPr>
                <w:rFonts w:ascii="Times New Roman" w:hAnsi="Times New Roman" w:eastAsia="宋体"/>
                <w:color w:val="auto"/>
                <w:sz w:val="21"/>
                <w:szCs w:val="21"/>
                <w:highlight w:val="none"/>
              </w:rPr>
              <w:t>名称</w:t>
            </w:r>
          </w:p>
        </w:tc>
        <w:tc>
          <w:tcPr>
            <w:tcW w:w="194" w:type="pct"/>
            <w:vMerge w:val="restart"/>
            <w:noWrap w:val="0"/>
            <w:vAlign w:val="center"/>
          </w:tcPr>
          <w:p w14:paraId="7BC59618">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所在路段</w:t>
            </w:r>
          </w:p>
        </w:tc>
        <w:tc>
          <w:tcPr>
            <w:tcW w:w="189" w:type="pct"/>
            <w:vMerge w:val="restart"/>
            <w:noWrap w:val="0"/>
            <w:vAlign w:val="center"/>
          </w:tcPr>
          <w:p w14:paraId="41469BD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里程范围</w:t>
            </w:r>
          </w:p>
        </w:tc>
        <w:tc>
          <w:tcPr>
            <w:tcW w:w="162" w:type="pct"/>
            <w:vMerge w:val="restart"/>
            <w:noWrap w:val="0"/>
            <w:vAlign w:val="center"/>
          </w:tcPr>
          <w:p w14:paraId="5F0D11BF">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线路形式</w:t>
            </w:r>
          </w:p>
        </w:tc>
        <w:tc>
          <w:tcPr>
            <w:tcW w:w="162" w:type="pct"/>
            <w:vMerge w:val="restart"/>
            <w:noWrap w:val="0"/>
            <w:vAlign w:val="center"/>
          </w:tcPr>
          <w:p w14:paraId="077B6544">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snapToGrid w:val="0"/>
                <w:color w:val="auto"/>
                <w:kern w:val="0"/>
                <w:sz w:val="21"/>
                <w:szCs w:val="21"/>
                <w:highlight w:val="none"/>
                <w:lang w:eastAsia="zh-CN"/>
              </w:rPr>
              <w:t>方位</w:t>
            </w:r>
          </w:p>
        </w:tc>
        <w:tc>
          <w:tcPr>
            <w:tcW w:w="210" w:type="pct"/>
            <w:vMerge w:val="restart"/>
            <w:noWrap w:val="0"/>
            <w:vAlign w:val="center"/>
          </w:tcPr>
          <w:p w14:paraId="75E25C3B">
            <w:pPr>
              <w:spacing w:line="240" w:lineRule="auto"/>
              <w:ind w:firstLine="0" w:firstLineChars="0"/>
              <w:jc w:val="center"/>
              <w:rPr>
                <w:rFonts w:hint="default" w:ascii="Times New Roman" w:hAnsi="Times New Roman" w:eastAsia="宋体"/>
                <w:snapToGrid w:val="0"/>
                <w:color w:val="auto"/>
                <w:kern w:val="0"/>
                <w:sz w:val="21"/>
                <w:szCs w:val="21"/>
                <w:highlight w:val="none"/>
                <w:lang w:val="en-US" w:eastAsia="zh-CN"/>
              </w:rPr>
            </w:pPr>
            <w:r>
              <w:rPr>
                <w:rFonts w:hint="eastAsia" w:ascii="Times New Roman" w:hAnsi="Times New Roman" w:eastAsia="宋体"/>
                <w:snapToGrid w:val="0"/>
                <w:color w:val="auto"/>
                <w:kern w:val="0"/>
                <w:sz w:val="21"/>
                <w:szCs w:val="21"/>
                <w:highlight w:val="none"/>
                <w:lang w:eastAsia="zh-CN"/>
              </w:rPr>
              <w:t>声环境保护目标预测点与路面高差</w:t>
            </w:r>
            <w:r>
              <w:rPr>
                <w:rFonts w:hint="eastAsia" w:ascii="Times New Roman" w:hAnsi="Times New Roman" w:eastAsia="宋体"/>
                <w:snapToGrid w:val="0"/>
                <w:color w:val="auto"/>
                <w:kern w:val="0"/>
                <w:sz w:val="21"/>
                <w:szCs w:val="21"/>
                <w:highlight w:val="none"/>
                <w:lang w:val="en-US" w:eastAsia="zh-CN"/>
              </w:rPr>
              <w:t>/m</w:t>
            </w:r>
          </w:p>
        </w:tc>
        <w:tc>
          <w:tcPr>
            <w:tcW w:w="324" w:type="pct"/>
            <w:gridSpan w:val="2"/>
            <w:noWrap w:val="0"/>
            <w:vAlign w:val="center"/>
          </w:tcPr>
          <w:p w14:paraId="12319F2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距</w:t>
            </w:r>
            <w:r>
              <w:rPr>
                <w:rFonts w:hint="eastAsia"/>
                <w:color w:val="auto"/>
                <w:sz w:val="21"/>
                <w:szCs w:val="21"/>
                <w:highlight w:val="none"/>
                <w:lang w:eastAsia="zh-CN"/>
              </w:rPr>
              <w:t>道路</w:t>
            </w:r>
            <w:r>
              <w:rPr>
                <w:rFonts w:hint="eastAsia" w:ascii="Times New Roman" w:hAnsi="Times New Roman" w:eastAsia="宋体"/>
                <w:color w:val="auto"/>
                <w:sz w:val="21"/>
                <w:szCs w:val="21"/>
                <w:highlight w:val="none"/>
                <w:lang w:eastAsia="zh-CN"/>
              </w:rPr>
              <w:t>边界（红线）距离</w:t>
            </w:r>
            <w:r>
              <w:rPr>
                <w:rFonts w:hint="eastAsia" w:ascii="Times New Roman" w:hAnsi="Times New Roman" w:eastAsia="宋体"/>
                <w:color w:val="auto"/>
                <w:sz w:val="21"/>
                <w:szCs w:val="21"/>
                <w:highlight w:val="none"/>
                <w:lang w:val="en-US" w:eastAsia="zh-CN"/>
              </w:rPr>
              <w:t>/m</w:t>
            </w:r>
          </w:p>
        </w:tc>
        <w:tc>
          <w:tcPr>
            <w:tcW w:w="324" w:type="pct"/>
            <w:gridSpan w:val="2"/>
            <w:noWrap w:val="0"/>
            <w:vAlign w:val="center"/>
          </w:tcPr>
          <w:p w14:paraId="3BA2E476">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距</w:t>
            </w:r>
            <w:r>
              <w:rPr>
                <w:rFonts w:hint="eastAsia"/>
                <w:color w:val="auto"/>
                <w:sz w:val="21"/>
                <w:szCs w:val="21"/>
                <w:highlight w:val="none"/>
                <w:lang w:eastAsia="zh-CN"/>
              </w:rPr>
              <w:t>道路</w:t>
            </w:r>
            <w:r>
              <w:rPr>
                <w:rFonts w:hint="eastAsia" w:ascii="Times New Roman" w:hAnsi="Times New Roman" w:eastAsia="宋体"/>
                <w:color w:val="auto"/>
                <w:sz w:val="21"/>
                <w:szCs w:val="21"/>
                <w:highlight w:val="none"/>
                <w:lang w:eastAsia="zh-CN"/>
              </w:rPr>
              <w:t>中心线距离</w:t>
            </w:r>
            <w:r>
              <w:rPr>
                <w:rFonts w:hint="eastAsia" w:ascii="Times New Roman" w:hAnsi="Times New Roman" w:eastAsia="宋体"/>
                <w:color w:val="auto"/>
                <w:sz w:val="21"/>
                <w:szCs w:val="21"/>
                <w:highlight w:val="none"/>
                <w:lang w:val="en-US" w:eastAsia="zh-CN"/>
              </w:rPr>
              <w:t>/m</w:t>
            </w:r>
          </w:p>
        </w:tc>
        <w:tc>
          <w:tcPr>
            <w:tcW w:w="162" w:type="pct"/>
            <w:vMerge w:val="restart"/>
            <w:noWrap w:val="0"/>
            <w:vAlign w:val="center"/>
          </w:tcPr>
          <w:p w14:paraId="2385A59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eastAsia="zh-CN"/>
              </w:rPr>
              <w:t>公路用地界宽度</w:t>
            </w:r>
            <w:r>
              <w:rPr>
                <w:rFonts w:hint="eastAsia"/>
                <w:color w:val="auto"/>
                <w:sz w:val="21"/>
                <w:szCs w:val="21"/>
                <w:highlight w:val="none"/>
                <w:lang w:val="en-US" w:eastAsia="zh-CN"/>
              </w:rPr>
              <w:t>/m</w:t>
            </w:r>
          </w:p>
        </w:tc>
        <w:tc>
          <w:tcPr>
            <w:tcW w:w="241" w:type="pct"/>
            <w:gridSpan w:val="2"/>
            <w:noWrap w:val="0"/>
            <w:vAlign w:val="center"/>
          </w:tcPr>
          <w:p w14:paraId="1DFC2EE4">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不同功能区户数</w:t>
            </w:r>
          </w:p>
        </w:tc>
        <w:tc>
          <w:tcPr>
            <w:tcW w:w="158" w:type="pct"/>
            <w:vMerge w:val="restart"/>
            <w:noWrap w:val="0"/>
            <w:vAlign w:val="center"/>
          </w:tcPr>
          <w:p w14:paraId="04762A8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声环境保护目标情况介绍</w:t>
            </w:r>
          </w:p>
        </w:tc>
        <w:tc>
          <w:tcPr>
            <w:tcW w:w="227" w:type="pct"/>
            <w:vMerge w:val="restart"/>
            <w:shd w:val="clear" w:color="auto" w:fill="auto"/>
            <w:noWrap w:val="0"/>
            <w:vAlign w:val="center"/>
          </w:tcPr>
          <w:p w14:paraId="2ADC45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声功能区保护要求</w:t>
            </w:r>
          </w:p>
        </w:tc>
        <w:tc>
          <w:tcPr>
            <w:tcW w:w="1155" w:type="pct"/>
            <w:vMerge w:val="restart"/>
            <w:noWrap w:val="0"/>
            <w:vAlign w:val="center"/>
          </w:tcPr>
          <w:p w14:paraId="2366173C">
            <w:pPr>
              <w:spacing w:line="240" w:lineRule="auto"/>
              <w:ind w:firstLine="0" w:firstLineChars="0"/>
              <w:jc w:val="center"/>
              <w:rPr>
                <w:rFonts w:ascii="Times New Roman" w:hAnsi="Times New Roman" w:eastAsia="宋体"/>
                <w:color w:val="auto"/>
                <w:sz w:val="21"/>
                <w:szCs w:val="21"/>
                <w:highlight w:val="none"/>
              </w:rPr>
            </w:pPr>
            <w:r>
              <w:rPr>
                <w:rFonts w:ascii="Times New Roman" w:hAnsi="Times New Roman" w:eastAsia="宋体"/>
                <w:color w:val="auto"/>
                <w:sz w:val="21"/>
                <w:szCs w:val="21"/>
                <w:highlight w:val="none"/>
              </w:rPr>
              <w:t>平面图</w:t>
            </w:r>
          </w:p>
        </w:tc>
        <w:tc>
          <w:tcPr>
            <w:tcW w:w="1209" w:type="pct"/>
            <w:vMerge w:val="restart"/>
            <w:noWrap w:val="0"/>
            <w:vAlign w:val="center"/>
          </w:tcPr>
          <w:p w14:paraId="1AAA25C3">
            <w:pPr>
              <w:spacing w:line="240" w:lineRule="auto"/>
              <w:ind w:firstLine="0" w:firstLineChars="0"/>
              <w:jc w:val="center"/>
              <w:rPr>
                <w:rFonts w:ascii="Times New Roman" w:hAnsi="Times New Roman" w:eastAsia="宋体"/>
                <w:color w:val="auto"/>
                <w:sz w:val="21"/>
                <w:szCs w:val="21"/>
                <w:highlight w:val="none"/>
              </w:rPr>
            </w:pPr>
            <w:r>
              <w:rPr>
                <w:rFonts w:ascii="Times New Roman" w:hAnsi="Times New Roman" w:eastAsia="宋体"/>
                <w:color w:val="auto"/>
                <w:sz w:val="21"/>
                <w:szCs w:val="21"/>
                <w:highlight w:val="none"/>
              </w:rPr>
              <w:t>现场照片</w:t>
            </w:r>
          </w:p>
        </w:tc>
      </w:tr>
      <w:tr w14:paraId="086C35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7" w:hRule="atLeast"/>
          <w:tblHeader/>
          <w:jc w:val="center"/>
        </w:trPr>
        <w:tc>
          <w:tcPr>
            <w:tcW w:w="117" w:type="pct"/>
            <w:vMerge w:val="continue"/>
            <w:noWrap w:val="0"/>
            <w:vAlign w:val="center"/>
          </w:tcPr>
          <w:p w14:paraId="5457EF74">
            <w:pPr>
              <w:spacing w:line="240" w:lineRule="auto"/>
              <w:ind w:firstLine="0" w:firstLineChars="0"/>
              <w:jc w:val="center"/>
              <w:rPr>
                <w:rFonts w:ascii="Times New Roman" w:hAnsi="Times New Roman" w:eastAsia="宋体"/>
                <w:color w:val="auto"/>
                <w:sz w:val="21"/>
                <w:szCs w:val="21"/>
                <w:highlight w:val="none"/>
              </w:rPr>
            </w:pPr>
          </w:p>
        </w:tc>
        <w:tc>
          <w:tcPr>
            <w:tcW w:w="156" w:type="pct"/>
            <w:vMerge w:val="continue"/>
            <w:noWrap w:val="0"/>
            <w:vAlign w:val="center"/>
          </w:tcPr>
          <w:p w14:paraId="1855FCC3">
            <w:pPr>
              <w:spacing w:line="240" w:lineRule="auto"/>
              <w:ind w:firstLine="0" w:firstLineChars="0"/>
              <w:jc w:val="center"/>
              <w:rPr>
                <w:rFonts w:ascii="Times New Roman" w:hAnsi="Times New Roman" w:eastAsia="宋体"/>
                <w:color w:val="auto"/>
                <w:sz w:val="21"/>
                <w:szCs w:val="21"/>
                <w:highlight w:val="none"/>
              </w:rPr>
            </w:pPr>
          </w:p>
        </w:tc>
        <w:tc>
          <w:tcPr>
            <w:tcW w:w="194" w:type="pct"/>
            <w:vMerge w:val="continue"/>
            <w:noWrap w:val="0"/>
            <w:vAlign w:val="center"/>
          </w:tcPr>
          <w:p w14:paraId="0E035578">
            <w:pPr>
              <w:spacing w:line="240" w:lineRule="auto"/>
              <w:ind w:firstLine="0" w:firstLineChars="0"/>
              <w:jc w:val="center"/>
              <w:rPr>
                <w:rFonts w:ascii="Times New Roman" w:hAnsi="Times New Roman" w:eastAsia="宋体"/>
                <w:color w:val="auto"/>
                <w:sz w:val="21"/>
                <w:szCs w:val="21"/>
                <w:highlight w:val="none"/>
              </w:rPr>
            </w:pPr>
          </w:p>
        </w:tc>
        <w:tc>
          <w:tcPr>
            <w:tcW w:w="189" w:type="pct"/>
            <w:vMerge w:val="continue"/>
            <w:noWrap w:val="0"/>
            <w:vAlign w:val="center"/>
          </w:tcPr>
          <w:p w14:paraId="55D81752">
            <w:pPr>
              <w:spacing w:line="240" w:lineRule="auto"/>
              <w:ind w:firstLine="0" w:firstLineChars="0"/>
              <w:jc w:val="center"/>
              <w:rPr>
                <w:rFonts w:ascii="Times New Roman" w:hAnsi="Times New Roman" w:eastAsia="宋体"/>
                <w:color w:val="auto"/>
                <w:sz w:val="21"/>
                <w:szCs w:val="21"/>
                <w:highlight w:val="none"/>
              </w:rPr>
            </w:pPr>
          </w:p>
        </w:tc>
        <w:tc>
          <w:tcPr>
            <w:tcW w:w="162" w:type="pct"/>
            <w:vMerge w:val="continue"/>
            <w:noWrap w:val="0"/>
            <w:vAlign w:val="center"/>
          </w:tcPr>
          <w:p w14:paraId="227B6001">
            <w:pPr>
              <w:spacing w:line="240" w:lineRule="auto"/>
              <w:ind w:firstLine="0" w:firstLineChars="0"/>
              <w:jc w:val="center"/>
              <w:rPr>
                <w:rFonts w:ascii="Times New Roman" w:hAnsi="Times New Roman" w:eastAsia="宋体"/>
                <w:color w:val="auto"/>
                <w:sz w:val="21"/>
                <w:szCs w:val="21"/>
                <w:highlight w:val="none"/>
              </w:rPr>
            </w:pPr>
          </w:p>
        </w:tc>
        <w:tc>
          <w:tcPr>
            <w:tcW w:w="162" w:type="pct"/>
            <w:vMerge w:val="continue"/>
            <w:noWrap w:val="0"/>
            <w:vAlign w:val="center"/>
          </w:tcPr>
          <w:p w14:paraId="4C7CAF53">
            <w:pPr>
              <w:spacing w:line="240" w:lineRule="auto"/>
              <w:ind w:firstLine="0" w:firstLineChars="0"/>
              <w:jc w:val="center"/>
              <w:rPr>
                <w:rFonts w:ascii="Times New Roman" w:hAnsi="Times New Roman" w:eastAsia="宋体"/>
                <w:color w:val="auto"/>
                <w:sz w:val="21"/>
                <w:szCs w:val="21"/>
                <w:highlight w:val="none"/>
              </w:rPr>
            </w:pPr>
          </w:p>
        </w:tc>
        <w:tc>
          <w:tcPr>
            <w:tcW w:w="210" w:type="pct"/>
            <w:vMerge w:val="continue"/>
            <w:noWrap w:val="0"/>
            <w:vAlign w:val="center"/>
          </w:tcPr>
          <w:p w14:paraId="64374417">
            <w:pPr>
              <w:spacing w:line="240" w:lineRule="auto"/>
              <w:ind w:firstLine="0" w:firstLineChars="0"/>
              <w:jc w:val="center"/>
              <w:rPr>
                <w:rFonts w:ascii="Times New Roman" w:hAnsi="Times New Roman" w:eastAsia="宋体"/>
                <w:color w:val="auto"/>
                <w:sz w:val="21"/>
                <w:szCs w:val="21"/>
                <w:highlight w:val="none"/>
              </w:rPr>
            </w:pPr>
          </w:p>
        </w:tc>
        <w:tc>
          <w:tcPr>
            <w:tcW w:w="172" w:type="pct"/>
            <w:noWrap w:val="0"/>
            <w:vAlign w:val="center"/>
          </w:tcPr>
          <w:p w14:paraId="6F235037">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改扩建前</w:t>
            </w:r>
          </w:p>
        </w:tc>
        <w:tc>
          <w:tcPr>
            <w:tcW w:w="152" w:type="pct"/>
            <w:noWrap w:val="0"/>
            <w:vAlign w:val="center"/>
          </w:tcPr>
          <w:p w14:paraId="559E9816">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改扩建后</w:t>
            </w:r>
          </w:p>
        </w:tc>
        <w:tc>
          <w:tcPr>
            <w:tcW w:w="155" w:type="pct"/>
            <w:noWrap w:val="0"/>
            <w:vAlign w:val="center"/>
          </w:tcPr>
          <w:p w14:paraId="3457C1B1">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改扩建前</w:t>
            </w:r>
          </w:p>
        </w:tc>
        <w:tc>
          <w:tcPr>
            <w:tcW w:w="169" w:type="pct"/>
            <w:noWrap w:val="0"/>
            <w:vAlign w:val="center"/>
          </w:tcPr>
          <w:p w14:paraId="6B0AB82C">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改扩建后</w:t>
            </w:r>
          </w:p>
        </w:tc>
        <w:tc>
          <w:tcPr>
            <w:tcW w:w="162" w:type="pct"/>
            <w:vMerge w:val="continue"/>
            <w:noWrap w:val="0"/>
            <w:vAlign w:val="center"/>
          </w:tcPr>
          <w:p w14:paraId="4DF0D23E">
            <w:pPr>
              <w:spacing w:line="240" w:lineRule="auto"/>
              <w:ind w:firstLine="0" w:firstLineChars="0"/>
              <w:jc w:val="center"/>
              <w:rPr>
                <w:rFonts w:ascii="Times New Roman" w:hAnsi="Times New Roman" w:eastAsia="宋体"/>
                <w:color w:val="auto"/>
                <w:sz w:val="21"/>
                <w:szCs w:val="21"/>
                <w:highlight w:val="none"/>
              </w:rPr>
            </w:pPr>
          </w:p>
        </w:tc>
        <w:tc>
          <w:tcPr>
            <w:tcW w:w="124" w:type="pct"/>
            <w:noWrap w:val="0"/>
            <w:vAlign w:val="center"/>
          </w:tcPr>
          <w:p w14:paraId="5EC5D4A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1类</w:t>
            </w:r>
          </w:p>
        </w:tc>
        <w:tc>
          <w:tcPr>
            <w:tcW w:w="117" w:type="pct"/>
            <w:noWrap w:val="0"/>
            <w:vAlign w:val="center"/>
          </w:tcPr>
          <w:p w14:paraId="3652FF0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2类</w:t>
            </w:r>
          </w:p>
        </w:tc>
        <w:tc>
          <w:tcPr>
            <w:tcW w:w="158" w:type="pct"/>
            <w:vMerge w:val="continue"/>
            <w:noWrap w:val="0"/>
            <w:vAlign w:val="center"/>
          </w:tcPr>
          <w:p w14:paraId="4778A3F4">
            <w:pPr>
              <w:spacing w:line="240" w:lineRule="auto"/>
              <w:ind w:firstLine="0" w:firstLineChars="0"/>
              <w:jc w:val="center"/>
              <w:rPr>
                <w:rFonts w:hint="eastAsia" w:ascii="Times New Roman" w:hAnsi="Times New Roman" w:eastAsia="宋体"/>
                <w:color w:val="auto"/>
                <w:sz w:val="21"/>
                <w:szCs w:val="21"/>
                <w:highlight w:val="none"/>
              </w:rPr>
            </w:pPr>
          </w:p>
        </w:tc>
        <w:tc>
          <w:tcPr>
            <w:tcW w:w="227" w:type="pct"/>
            <w:vMerge w:val="continue"/>
            <w:noWrap w:val="0"/>
            <w:vAlign w:val="center"/>
          </w:tcPr>
          <w:p w14:paraId="349C17D0">
            <w:pPr>
              <w:spacing w:line="240" w:lineRule="auto"/>
              <w:ind w:firstLine="0" w:firstLineChars="0"/>
              <w:jc w:val="center"/>
              <w:rPr>
                <w:rFonts w:hint="eastAsia" w:ascii="Times New Roman" w:hAnsi="Times New Roman" w:eastAsia="宋体"/>
                <w:color w:val="auto"/>
                <w:sz w:val="21"/>
                <w:szCs w:val="21"/>
                <w:highlight w:val="none"/>
              </w:rPr>
            </w:pPr>
          </w:p>
        </w:tc>
        <w:tc>
          <w:tcPr>
            <w:tcW w:w="1155" w:type="pct"/>
            <w:vMerge w:val="continue"/>
            <w:noWrap w:val="0"/>
            <w:vAlign w:val="center"/>
          </w:tcPr>
          <w:p w14:paraId="13CE66E1">
            <w:pPr>
              <w:spacing w:line="240" w:lineRule="auto"/>
              <w:ind w:firstLine="0" w:firstLineChars="0"/>
              <w:jc w:val="center"/>
              <w:rPr>
                <w:rFonts w:hint="eastAsia" w:ascii="Times New Roman" w:hAnsi="Times New Roman" w:eastAsia="宋体"/>
                <w:color w:val="auto"/>
                <w:sz w:val="21"/>
                <w:szCs w:val="21"/>
                <w:highlight w:val="none"/>
              </w:rPr>
            </w:pPr>
          </w:p>
        </w:tc>
        <w:tc>
          <w:tcPr>
            <w:tcW w:w="1209" w:type="pct"/>
            <w:vMerge w:val="continue"/>
            <w:noWrap w:val="0"/>
            <w:vAlign w:val="center"/>
          </w:tcPr>
          <w:p w14:paraId="416D4935">
            <w:pPr>
              <w:spacing w:line="240" w:lineRule="auto"/>
              <w:ind w:firstLine="0" w:firstLineChars="0"/>
              <w:jc w:val="center"/>
              <w:rPr>
                <w:rFonts w:hint="eastAsia" w:ascii="Times New Roman" w:hAnsi="Times New Roman" w:eastAsia="宋体"/>
                <w:color w:val="auto"/>
                <w:sz w:val="21"/>
                <w:szCs w:val="21"/>
                <w:highlight w:val="none"/>
              </w:rPr>
            </w:pPr>
          </w:p>
        </w:tc>
      </w:tr>
      <w:tr w14:paraId="7309BE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89" w:hRule="atLeast"/>
          <w:jc w:val="center"/>
        </w:trPr>
        <w:tc>
          <w:tcPr>
            <w:tcW w:w="117" w:type="pct"/>
            <w:noWrap w:val="0"/>
            <w:vAlign w:val="center"/>
          </w:tcPr>
          <w:p w14:paraId="1684A926">
            <w:pPr>
              <w:spacing w:line="240" w:lineRule="auto"/>
              <w:ind w:firstLine="0" w:firstLineChars="0"/>
              <w:jc w:val="center"/>
              <w:rPr>
                <w:rFonts w:hint="eastAsia" w:ascii="Times New Roman" w:hAnsi="Times New Roman" w:eastAsia="宋体"/>
                <w:color w:val="auto"/>
                <w:sz w:val="21"/>
                <w:szCs w:val="21"/>
                <w:highlight w:val="none"/>
              </w:rPr>
            </w:pPr>
            <w:r>
              <w:rPr>
                <w:rFonts w:hint="eastAsia" w:ascii="Times New Roman" w:hAnsi="Times New Roman" w:eastAsia="宋体"/>
                <w:color w:val="auto"/>
                <w:sz w:val="21"/>
                <w:szCs w:val="21"/>
                <w:highlight w:val="none"/>
              </w:rPr>
              <w:t>1</w:t>
            </w:r>
          </w:p>
        </w:tc>
        <w:tc>
          <w:tcPr>
            <w:tcW w:w="156" w:type="pct"/>
            <w:noWrap w:val="0"/>
            <w:vAlign w:val="center"/>
          </w:tcPr>
          <w:p w14:paraId="4F490FE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eastAsia="zh-CN"/>
              </w:rPr>
              <w:t>零散一户</w:t>
            </w:r>
            <w:r>
              <w:rPr>
                <w:rFonts w:hint="eastAsia"/>
                <w:color w:val="auto"/>
                <w:sz w:val="21"/>
                <w:szCs w:val="21"/>
                <w:highlight w:val="none"/>
                <w:lang w:val="en-US" w:eastAsia="zh-CN"/>
              </w:rPr>
              <w:t>1</w:t>
            </w:r>
          </w:p>
        </w:tc>
        <w:tc>
          <w:tcPr>
            <w:tcW w:w="194" w:type="pct"/>
            <w:noWrap w:val="0"/>
            <w:vAlign w:val="center"/>
          </w:tcPr>
          <w:p w14:paraId="78E9957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7772D49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23</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640</w:t>
            </w:r>
          </w:p>
        </w:tc>
        <w:tc>
          <w:tcPr>
            <w:tcW w:w="162" w:type="pct"/>
            <w:noWrap w:val="0"/>
            <w:vAlign w:val="center"/>
          </w:tcPr>
          <w:p w14:paraId="3C01A4A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D886EE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77C7C0D8">
            <w:pPr>
              <w:pStyle w:val="29"/>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3336B78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38</w:t>
            </w:r>
          </w:p>
        </w:tc>
        <w:tc>
          <w:tcPr>
            <w:tcW w:w="152" w:type="pct"/>
            <w:noWrap w:val="0"/>
            <w:vAlign w:val="center"/>
          </w:tcPr>
          <w:p w14:paraId="1CBF0983">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38</w:t>
            </w:r>
          </w:p>
        </w:tc>
        <w:tc>
          <w:tcPr>
            <w:tcW w:w="155" w:type="pct"/>
            <w:noWrap w:val="0"/>
            <w:vAlign w:val="center"/>
          </w:tcPr>
          <w:p w14:paraId="1E554C3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45</w:t>
            </w:r>
          </w:p>
        </w:tc>
        <w:tc>
          <w:tcPr>
            <w:tcW w:w="169" w:type="pct"/>
            <w:noWrap w:val="0"/>
            <w:vAlign w:val="center"/>
          </w:tcPr>
          <w:p w14:paraId="28167F25">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45</w:t>
            </w:r>
          </w:p>
        </w:tc>
        <w:tc>
          <w:tcPr>
            <w:tcW w:w="162" w:type="pct"/>
            <w:noWrap w:val="0"/>
            <w:vAlign w:val="center"/>
          </w:tcPr>
          <w:p w14:paraId="4DCAD4C5">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086E9B6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1户</w:t>
            </w:r>
          </w:p>
        </w:tc>
        <w:tc>
          <w:tcPr>
            <w:tcW w:w="117" w:type="pct"/>
            <w:noWrap w:val="0"/>
            <w:vAlign w:val="center"/>
          </w:tcPr>
          <w:p w14:paraId="049874CD">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5E27490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一</w:t>
            </w:r>
            <w:r>
              <w:rPr>
                <w:rFonts w:hint="eastAsia" w:ascii="Times New Roman" w:hAnsi="Times New Roman" w:eastAsia="宋体"/>
                <w:color w:val="auto"/>
                <w:sz w:val="21"/>
                <w:szCs w:val="21"/>
                <w:highlight w:val="none"/>
                <w:lang w:val="en-US" w:eastAsia="zh-CN"/>
              </w:rPr>
              <w:t>层/</w:t>
            </w:r>
            <w:r>
              <w:rPr>
                <w:rFonts w:hint="eastAsia"/>
                <w:color w:val="auto"/>
                <w:sz w:val="21"/>
                <w:szCs w:val="21"/>
                <w:highlight w:val="none"/>
                <w:lang w:val="en-US" w:eastAsia="zh-CN"/>
              </w:rPr>
              <w:t>正对</w:t>
            </w:r>
          </w:p>
        </w:tc>
        <w:tc>
          <w:tcPr>
            <w:tcW w:w="227" w:type="pct"/>
            <w:noWrap w:val="0"/>
            <w:vAlign w:val="center"/>
          </w:tcPr>
          <w:p w14:paraId="67FDEF36">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3DC50EC3">
            <w:pPr>
              <w:spacing w:line="240" w:lineRule="auto"/>
              <w:ind w:firstLine="0" w:firstLineChars="0"/>
              <w:jc w:val="center"/>
              <w:rPr>
                <w:rFonts w:hint="eastAsia" w:ascii="Times New Roman" w:hAnsi="Times New Roman" w:eastAsia="宋体"/>
                <w:color w:val="auto"/>
                <w:sz w:val="21"/>
                <w:szCs w:val="21"/>
                <w:highlight w:val="none"/>
              </w:rPr>
            </w:pPr>
            <w:r>
              <w:rPr>
                <w:color w:val="auto"/>
                <w:sz w:val="21"/>
                <w:szCs w:val="21"/>
              </w:rPr>
              <w:drawing>
                <wp:inline distT="0" distB="0" distL="114300" distR="114300">
                  <wp:extent cx="2941320" cy="2149475"/>
                  <wp:effectExtent l="0" t="0" r="11430" b="3175"/>
                  <wp:docPr id="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8"/>
                          <pic:cNvPicPr>
                            <a:picLocks noChangeAspect="1"/>
                          </pic:cNvPicPr>
                        </pic:nvPicPr>
                        <pic:blipFill>
                          <a:blip r:embed="rId25"/>
                          <a:stretch>
                            <a:fillRect/>
                          </a:stretch>
                        </pic:blipFill>
                        <pic:spPr>
                          <a:xfrm>
                            <a:off x="0" y="0"/>
                            <a:ext cx="2941320" cy="2149475"/>
                          </a:xfrm>
                          <a:prstGeom prst="rect">
                            <a:avLst/>
                          </a:prstGeom>
                          <a:noFill/>
                          <a:ln>
                            <a:noFill/>
                          </a:ln>
                        </pic:spPr>
                      </pic:pic>
                    </a:graphicData>
                  </a:graphic>
                </wp:inline>
              </w:drawing>
            </w:r>
          </w:p>
        </w:tc>
        <w:tc>
          <w:tcPr>
            <w:tcW w:w="1209" w:type="pct"/>
            <w:noWrap w:val="0"/>
            <w:vAlign w:val="center"/>
          </w:tcPr>
          <w:p w14:paraId="6E092472">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899410" cy="2165350"/>
                  <wp:effectExtent l="0" t="0" r="1524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6"/>
                          <a:stretch>
                            <a:fillRect/>
                          </a:stretch>
                        </pic:blipFill>
                        <pic:spPr>
                          <a:xfrm>
                            <a:off x="0" y="0"/>
                            <a:ext cx="2899410" cy="2165350"/>
                          </a:xfrm>
                          <a:prstGeom prst="rect">
                            <a:avLst/>
                          </a:prstGeom>
                          <a:noFill/>
                          <a:ln>
                            <a:noFill/>
                          </a:ln>
                        </pic:spPr>
                      </pic:pic>
                    </a:graphicData>
                  </a:graphic>
                </wp:inline>
              </w:drawing>
            </w:r>
          </w:p>
        </w:tc>
      </w:tr>
      <w:tr w14:paraId="125AF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5BF7629C">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2</w:t>
            </w:r>
          </w:p>
        </w:tc>
        <w:tc>
          <w:tcPr>
            <w:tcW w:w="156" w:type="pct"/>
            <w:noWrap w:val="0"/>
            <w:vAlign w:val="center"/>
          </w:tcPr>
          <w:p w14:paraId="4C2E03E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联合屯</w:t>
            </w:r>
          </w:p>
        </w:tc>
        <w:tc>
          <w:tcPr>
            <w:tcW w:w="194" w:type="pct"/>
            <w:noWrap w:val="0"/>
            <w:vAlign w:val="center"/>
          </w:tcPr>
          <w:p w14:paraId="53957CCA">
            <w:pPr>
              <w:spacing w:line="240" w:lineRule="auto"/>
              <w:ind w:firstLine="0" w:firstLineChars="0"/>
              <w:jc w:val="center"/>
              <w:rPr>
                <w:rFonts w:ascii="Times New Roman" w:hAnsi="Times New Roman" w:eastAsia="宋体"/>
                <w:color w:val="auto"/>
                <w:sz w:val="21"/>
                <w:szCs w:val="21"/>
                <w:highlight w:val="none"/>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090F9C20">
            <w:pPr>
              <w:spacing w:line="240" w:lineRule="auto"/>
              <w:ind w:firstLine="0" w:firstLineChars="0"/>
              <w:jc w:val="center"/>
              <w:rPr>
                <w:rFonts w:hint="default" w:ascii="Times New Roman" w:hAnsi="Times New Roman" w:eastAsia="宋体"/>
                <w:color w:val="auto"/>
                <w:sz w:val="21"/>
                <w:szCs w:val="21"/>
                <w:highlight w:val="none"/>
                <w:lang w:val="en-US"/>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27</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820</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28</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175</w:t>
            </w:r>
          </w:p>
        </w:tc>
        <w:tc>
          <w:tcPr>
            <w:tcW w:w="162" w:type="pct"/>
            <w:noWrap w:val="0"/>
            <w:vAlign w:val="center"/>
          </w:tcPr>
          <w:p w14:paraId="3826B8D7">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4597854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右</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15CB8064">
            <w:pPr>
              <w:pStyle w:val="29"/>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FEC13ED">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36</w:t>
            </w:r>
          </w:p>
        </w:tc>
        <w:tc>
          <w:tcPr>
            <w:tcW w:w="152" w:type="pct"/>
            <w:noWrap w:val="0"/>
            <w:vAlign w:val="center"/>
          </w:tcPr>
          <w:p w14:paraId="1E71E2A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36</w:t>
            </w:r>
          </w:p>
        </w:tc>
        <w:tc>
          <w:tcPr>
            <w:tcW w:w="155" w:type="pct"/>
            <w:noWrap w:val="0"/>
            <w:vAlign w:val="center"/>
          </w:tcPr>
          <w:p w14:paraId="6C7C437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42</w:t>
            </w:r>
          </w:p>
        </w:tc>
        <w:tc>
          <w:tcPr>
            <w:tcW w:w="169" w:type="pct"/>
            <w:noWrap w:val="0"/>
            <w:vAlign w:val="center"/>
          </w:tcPr>
          <w:p w14:paraId="3FE1852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42</w:t>
            </w:r>
          </w:p>
        </w:tc>
        <w:tc>
          <w:tcPr>
            <w:tcW w:w="162" w:type="pct"/>
            <w:noWrap w:val="0"/>
            <w:vAlign w:val="center"/>
          </w:tcPr>
          <w:p w14:paraId="1992AD3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12</w:t>
            </w:r>
          </w:p>
        </w:tc>
        <w:tc>
          <w:tcPr>
            <w:tcW w:w="124" w:type="pct"/>
            <w:noWrap w:val="0"/>
            <w:vAlign w:val="center"/>
          </w:tcPr>
          <w:p w14:paraId="1783022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32户</w:t>
            </w:r>
          </w:p>
        </w:tc>
        <w:tc>
          <w:tcPr>
            <w:tcW w:w="117" w:type="pct"/>
            <w:noWrap w:val="0"/>
            <w:vAlign w:val="center"/>
          </w:tcPr>
          <w:p w14:paraId="079A55F9">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0DE2EABC">
            <w:pPr>
              <w:spacing w:line="240" w:lineRule="auto"/>
              <w:ind w:firstLine="0" w:firstLineChars="0"/>
              <w:jc w:val="center"/>
              <w:rPr>
                <w:rFonts w:hint="default" w:ascii="Times New Roman" w:hAnsi="Times New Roman" w:eastAsia="宋体"/>
                <w:color w:val="auto"/>
                <w:sz w:val="21"/>
                <w:szCs w:val="21"/>
                <w:highlight w:val="none"/>
                <w:lang w:val="en-US"/>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43F5D3D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5584CE05">
            <w:pPr>
              <w:spacing w:line="240" w:lineRule="auto"/>
              <w:ind w:firstLine="0" w:firstLineChars="0"/>
              <w:jc w:val="center"/>
              <w:rPr>
                <w:rFonts w:hint="eastAsia" w:ascii="Times New Roman" w:hAnsi="Times New Roman" w:eastAsia="宋体"/>
                <w:color w:val="auto"/>
                <w:sz w:val="21"/>
                <w:szCs w:val="21"/>
                <w:highlight w:val="none"/>
              </w:rPr>
            </w:pPr>
            <w:r>
              <w:rPr>
                <w:color w:val="auto"/>
                <w:sz w:val="21"/>
                <w:szCs w:val="21"/>
              </w:rPr>
              <w:drawing>
                <wp:inline distT="0" distB="0" distL="114300" distR="114300">
                  <wp:extent cx="2912110" cy="2308225"/>
                  <wp:effectExtent l="0" t="0" r="2540" b="15875"/>
                  <wp:docPr id="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pic:cNvPicPr>
                            <a:picLocks noChangeAspect="1"/>
                          </pic:cNvPicPr>
                        </pic:nvPicPr>
                        <pic:blipFill>
                          <a:blip r:embed="rId27"/>
                          <a:stretch>
                            <a:fillRect/>
                          </a:stretch>
                        </pic:blipFill>
                        <pic:spPr>
                          <a:xfrm>
                            <a:off x="0" y="0"/>
                            <a:ext cx="2912110" cy="2308225"/>
                          </a:xfrm>
                          <a:prstGeom prst="rect">
                            <a:avLst/>
                          </a:prstGeom>
                          <a:noFill/>
                          <a:ln>
                            <a:noFill/>
                          </a:ln>
                        </pic:spPr>
                      </pic:pic>
                    </a:graphicData>
                  </a:graphic>
                </wp:inline>
              </w:drawing>
            </w:r>
          </w:p>
        </w:tc>
        <w:tc>
          <w:tcPr>
            <w:tcW w:w="1209" w:type="pct"/>
            <w:noWrap w:val="0"/>
            <w:vAlign w:val="center"/>
          </w:tcPr>
          <w:p w14:paraId="6FE81221">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887345" cy="2238375"/>
                  <wp:effectExtent l="0" t="0" r="8255" b="952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8"/>
                          <a:stretch>
                            <a:fillRect/>
                          </a:stretch>
                        </pic:blipFill>
                        <pic:spPr>
                          <a:xfrm>
                            <a:off x="0" y="0"/>
                            <a:ext cx="2887345" cy="2238375"/>
                          </a:xfrm>
                          <a:prstGeom prst="rect">
                            <a:avLst/>
                          </a:prstGeom>
                          <a:noFill/>
                          <a:ln>
                            <a:noFill/>
                          </a:ln>
                        </pic:spPr>
                      </pic:pic>
                    </a:graphicData>
                  </a:graphic>
                </wp:inline>
              </w:drawing>
            </w:r>
          </w:p>
        </w:tc>
      </w:tr>
      <w:tr w14:paraId="5360B8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193852B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3</w:t>
            </w:r>
          </w:p>
        </w:tc>
        <w:tc>
          <w:tcPr>
            <w:tcW w:w="156" w:type="pct"/>
            <w:noWrap w:val="0"/>
            <w:vAlign w:val="center"/>
          </w:tcPr>
          <w:p w14:paraId="308F40C9">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头道林子村</w:t>
            </w:r>
          </w:p>
        </w:tc>
        <w:tc>
          <w:tcPr>
            <w:tcW w:w="194" w:type="pct"/>
            <w:noWrap w:val="0"/>
            <w:vAlign w:val="center"/>
          </w:tcPr>
          <w:p w14:paraId="44C2285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09B27D8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29</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115</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29</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410</w:t>
            </w:r>
          </w:p>
        </w:tc>
        <w:tc>
          <w:tcPr>
            <w:tcW w:w="162" w:type="pct"/>
            <w:noWrap w:val="0"/>
            <w:vAlign w:val="center"/>
          </w:tcPr>
          <w:p w14:paraId="5A30141C">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503C53BA">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eastAsia="zh-CN"/>
              </w:rPr>
              <w:t>右</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6D15CC18">
            <w:pPr>
              <w:pStyle w:val="29"/>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71175BA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162</w:t>
            </w:r>
          </w:p>
        </w:tc>
        <w:tc>
          <w:tcPr>
            <w:tcW w:w="152" w:type="pct"/>
            <w:noWrap w:val="0"/>
            <w:vAlign w:val="center"/>
          </w:tcPr>
          <w:p w14:paraId="0C6D5089">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162</w:t>
            </w:r>
          </w:p>
        </w:tc>
        <w:tc>
          <w:tcPr>
            <w:tcW w:w="155" w:type="pct"/>
            <w:noWrap w:val="0"/>
            <w:vAlign w:val="center"/>
          </w:tcPr>
          <w:p w14:paraId="2C2C9247">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169</w:t>
            </w:r>
          </w:p>
        </w:tc>
        <w:tc>
          <w:tcPr>
            <w:tcW w:w="169" w:type="pct"/>
            <w:noWrap w:val="0"/>
            <w:vAlign w:val="center"/>
          </w:tcPr>
          <w:p w14:paraId="327AAFE5">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169</w:t>
            </w:r>
          </w:p>
        </w:tc>
        <w:tc>
          <w:tcPr>
            <w:tcW w:w="162" w:type="pct"/>
            <w:noWrap w:val="0"/>
            <w:vAlign w:val="center"/>
          </w:tcPr>
          <w:p w14:paraId="06BDDCA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172ADBE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5户</w:t>
            </w:r>
          </w:p>
        </w:tc>
        <w:tc>
          <w:tcPr>
            <w:tcW w:w="117" w:type="pct"/>
            <w:noWrap w:val="0"/>
            <w:vAlign w:val="center"/>
          </w:tcPr>
          <w:p w14:paraId="73772393">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5522869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1259A21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63B1C754">
            <w:pPr>
              <w:spacing w:line="240" w:lineRule="auto"/>
              <w:ind w:firstLine="0" w:firstLineChars="0"/>
              <w:jc w:val="center"/>
              <w:rPr>
                <w:rFonts w:ascii="Times New Roman" w:hAnsi="Times New Roman" w:eastAsia="宋体"/>
                <w:color w:val="auto"/>
                <w:sz w:val="21"/>
                <w:szCs w:val="21"/>
                <w:highlight w:val="none"/>
              </w:rPr>
            </w:pPr>
            <w:r>
              <w:rPr>
                <w:color w:val="auto"/>
                <w:sz w:val="21"/>
                <w:szCs w:val="21"/>
              </w:rPr>
              <w:drawing>
                <wp:inline distT="0" distB="0" distL="114300" distR="114300">
                  <wp:extent cx="2951480" cy="2301240"/>
                  <wp:effectExtent l="0" t="0" r="1270" b="381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29"/>
                          <a:stretch>
                            <a:fillRect/>
                          </a:stretch>
                        </pic:blipFill>
                        <pic:spPr>
                          <a:xfrm>
                            <a:off x="0" y="0"/>
                            <a:ext cx="2951480" cy="2301240"/>
                          </a:xfrm>
                          <a:prstGeom prst="rect">
                            <a:avLst/>
                          </a:prstGeom>
                          <a:noFill/>
                          <a:ln>
                            <a:noFill/>
                          </a:ln>
                        </pic:spPr>
                      </pic:pic>
                    </a:graphicData>
                  </a:graphic>
                </wp:inline>
              </w:drawing>
            </w:r>
          </w:p>
        </w:tc>
        <w:tc>
          <w:tcPr>
            <w:tcW w:w="1209" w:type="pct"/>
            <w:noWrap w:val="0"/>
            <w:vAlign w:val="center"/>
          </w:tcPr>
          <w:p w14:paraId="6026FD19">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790825" cy="2274570"/>
                  <wp:effectExtent l="0" t="0" r="9525" b="1143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30"/>
                          <a:stretch>
                            <a:fillRect/>
                          </a:stretch>
                        </pic:blipFill>
                        <pic:spPr>
                          <a:xfrm>
                            <a:off x="0" y="0"/>
                            <a:ext cx="2790825" cy="2274570"/>
                          </a:xfrm>
                          <a:prstGeom prst="rect">
                            <a:avLst/>
                          </a:prstGeom>
                          <a:noFill/>
                          <a:ln>
                            <a:noFill/>
                          </a:ln>
                        </pic:spPr>
                      </pic:pic>
                    </a:graphicData>
                  </a:graphic>
                </wp:inline>
              </w:drawing>
            </w:r>
          </w:p>
        </w:tc>
      </w:tr>
      <w:tr w14:paraId="327598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1D0A935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4</w:t>
            </w:r>
          </w:p>
        </w:tc>
        <w:tc>
          <w:tcPr>
            <w:tcW w:w="156" w:type="pct"/>
            <w:noWrap w:val="0"/>
            <w:vAlign w:val="center"/>
          </w:tcPr>
          <w:p w14:paraId="380FD78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零散一户2</w:t>
            </w:r>
          </w:p>
        </w:tc>
        <w:tc>
          <w:tcPr>
            <w:tcW w:w="194" w:type="pct"/>
            <w:noWrap w:val="0"/>
            <w:vAlign w:val="center"/>
          </w:tcPr>
          <w:p w14:paraId="4CC6F23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0273F7FA">
            <w:pPr>
              <w:spacing w:line="240" w:lineRule="auto"/>
              <w:ind w:firstLine="0" w:firstLineChars="0"/>
              <w:jc w:val="center"/>
              <w:rPr>
                <w:rFonts w:hint="default"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30</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250</w:t>
            </w:r>
          </w:p>
        </w:tc>
        <w:tc>
          <w:tcPr>
            <w:tcW w:w="162" w:type="pct"/>
            <w:noWrap w:val="0"/>
            <w:vAlign w:val="center"/>
          </w:tcPr>
          <w:p w14:paraId="272D9562">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6FBEAAD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2E96AE44">
            <w:pPr>
              <w:pStyle w:val="29"/>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35AD75D9">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w:t>
            </w:r>
          </w:p>
        </w:tc>
        <w:tc>
          <w:tcPr>
            <w:tcW w:w="152" w:type="pct"/>
            <w:noWrap w:val="0"/>
            <w:vAlign w:val="center"/>
          </w:tcPr>
          <w:p w14:paraId="7D24BE48">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w:t>
            </w:r>
          </w:p>
        </w:tc>
        <w:tc>
          <w:tcPr>
            <w:tcW w:w="155" w:type="pct"/>
            <w:noWrap w:val="0"/>
            <w:vAlign w:val="center"/>
          </w:tcPr>
          <w:p w14:paraId="47C0233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11</w:t>
            </w:r>
          </w:p>
        </w:tc>
        <w:tc>
          <w:tcPr>
            <w:tcW w:w="169" w:type="pct"/>
            <w:noWrap w:val="0"/>
            <w:vAlign w:val="center"/>
          </w:tcPr>
          <w:p w14:paraId="5E429343">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11</w:t>
            </w:r>
          </w:p>
        </w:tc>
        <w:tc>
          <w:tcPr>
            <w:tcW w:w="162" w:type="pct"/>
            <w:noWrap w:val="0"/>
            <w:vAlign w:val="center"/>
          </w:tcPr>
          <w:p w14:paraId="420604F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12</w:t>
            </w:r>
          </w:p>
        </w:tc>
        <w:tc>
          <w:tcPr>
            <w:tcW w:w="124" w:type="pct"/>
            <w:noWrap w:val="0"/>
            <w:vAlign w:val="center"/>
          </w:tcPr>
          <w:p w14:paraId="0180EE5B">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1户</w:t>
            </w:r>
          </w:p>
        </w:tc>
        <w:tc>
          <w:tcPr>
            <w:tcW w:w="117" w:type="pct"/>
            <w:noWrap w:val="0"/>
            <w:vAlign w:val="center"/>
          </w:tcPr>
          <w:p w14:paraId="166AAD3E">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1D5D486D">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68A84B39">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40E4548C">
            <w:pPr>
              <w:spacing w:line="240" w:lineRule="auto"/>
              <w:ind w:firstLine="0" w:firstLineChars="0"/>
              <w:jc w:val="center"/>
              <w:rPr>
                <w:rFonts w:ascii="Times New Roman" w:hAnsi="Times New Roman" w:eastAsia="宋体"/>
                <w:color w:val="auto"/>
                <w:sz w:val="21"/>
                <w:szCs w:val="21"/>
                <w:highlight w:val="none"/>
              </w:rPr>
            </w:pPr>
            <w:r>
              <w:rPr>
                <w:color w:val="auto"/>
                <w:sz w:val="21"/>
                <w:szCs w:val="21"/>
              </w:rPr>
              <w:drawing>
                <wp:inline distT="0" distB="0" distL="114300" distR="114300">
                  <wp:extent cx="2944495" cy="2269490"/>
                  <wp:effectExtent l="0" t="0" r="8255" b="16510"/>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31"/>
                          <a:stretch>
                            <a:fillRect/>
                          </a:stretch>
                        </pic:blipFill>
                        <pic:spPr>
                          <a:xfrm>
                            <a:off x="0" y="0"/>
                            <a:ext cx="2944495" cy="2269490"/>
                          </a:xfrm>
                          <a:prstGeom prst="rect">
                            <a:avLst/>
                          </a:prstGeom>
                          <a:noFill/>
                          <a:ln>
                            <a:noFill/>
                          </a:ln>
                        </pic:spPr>
                      </pic:pic>
                    </a:graphicData>
                  </a:graphic>
                </wp:inline>
              </w:drawing>
            </w:r>
          </w:p>
        </w:tc>
        <w:tc>
          <w:tcPr>
            <w:tcW w:w="1209" w:type="pct"/>
            <w:noWrap w:val="0"/>
            <w:vAlign w:val="center"/>
          </w:tcPr>
          <w:p w14:paraId="5BD994ED">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74035" cy="2397125"/>
                  <wp:effectExtent l="0" t="0" r="12065" b="317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32"/>
                          <a:stretch>
                            <a:fillRect/>
                          </a:stretch>
                        </pic:blipFill>
                        <pic:spPr>
                          <a:xfrm>
                            <a:off x="0" y="0"/>
                            <a:ext cx="3074035" cy="2397125"/>
                          </a:xfrm>
                          <a:prstGeom prst="rect">
                            <a:avLst/>
                          </a:prstGeom>
                          <a:noFill/>
                          <a:ln>
                            <a:noFill/>
                          </a:ln>
                        </pic:spPr>
                      </pic:pic>
                    </a:graphicData>
                  </a:graphic>
                </wp:inline>
              </w:drawing>
            </w:r>
          </w:p>
        </w:tc>
      </w:tr>
      <w:tr w14:paraId="16A43C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0D14F76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5</w:t>
            </w:r>
          </w:p>
        </w:tc>
        <w:tc>
          <w:tcPr>
            <w:tcW w:w="156" w:type="pct"/>
            <w:noWrap w:val="0"/>
            <w:vAlign w:val="center"/>
          </w:tcPr>
          <w:p w14:paraId="476F8DA8">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东旭村</w:t>
            </w:r>
          </w:p>
        </w:tc>
        <w:tc>
          <w:tcPr>
            <w:tcW w:w="194" w:type="pct"/>
            <w:noWrap w:val="0"/>
            <w:vAlign w:val="center"/>
          </w:tcPr>
          <w:p w14:paraId="0BD3B06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2A92BCA5">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32</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310</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32</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46</w:t>
            </w:r>
            <w:r>
              <w:rPr>
                <w:rFonts w:hint="eastAsia" w:ascii="Times New Roman" w:hAnsi="Times New Roman" w:eastAsia="宋体"/>
                <w:color w:val="auto"/>
                <w:sz w:val="21"/>
                <w:szCs w:val="21"/>
                <w:highlight w:val="none"/>
                <w:lang w:val="en-US" w:eastAsia="zh-CN"/>
              </w:rPr>
              <w:t>0</w:t>
            </w:r>
          </w:p>
        </w:tc>
        <w:tc>
          <w:tcPr>
            <w:tcW w:w="162" w:type="pct"/>
            <w:noWrap w:val="0"/>
            <w:vAlign w:val="center"/>
          </w:tcPr>
          <w:p w14:paraId="7D516DE9">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CF79304">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069E7A2F">
            <w:pPr>
              <w:pStyle w:val="29"/>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E12903A">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107</w:t>
            </w:r>
          </w:p>
        </w:tc>
        <w:tc>
          <w:tcPr>
            <w:tcW w:w="152" w:type="pct"/>
            <w:noWrap w:val="0"/>
            <w:vAlign w:val="center"/>
          </w:tcPr>
          <w:p w14:paraId="672432D1">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107</w:t>
            </w:r>
          </w:p>
        </w:tc>
        <w:tc>
          <w:tcPr>
            <w:tcW w:w="155" w:type="pct"/>
            <w:noWrap w:val="0"/>
            <w:vAlign w:val="center"/>
          </w:tcPr>
          <w:p w14:paraId="3BAAD7A9">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114</w:t>
            </w:r>
          </w:p>
        </w:tc>
        <w:tc>
          <w:tcPr>
            <w:tcW w:w="169" w:type="pct"/>
            <w:noWrap w:val="0"/>
            <w:vAlign w:val="center"/>
          </w:tcPr>
          <w:p w14:paraId="68A19A8E">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114</w:t>
            </w:r>
          </w:p>
        </w:tc>
        <w:tc>
          <w:tcPr>
            <w:tcW w:w="162" w:type="pct"/>
            <w:noWrap w:val="0"/>
            <w:vAlign w:val="center"/>
          </w:tcPr>
          <w:p w14:paraId="1109F848">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0FDA9F3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5户</w:t>
            </w:r>
          </w:p>
        </w:tc>
        <w:tc>
          <w:tcPr>
            <w:tcW w:w="117" w:type="pct"/>
            <w:noWrap w:val="0"/>
            <w:vAlign w:val="center"/>
          </w:tcPr>
          <w:p w14:paraId="4AA3E083">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1F83128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shd w:val="clear" w:color="auto" w:fill="auto"/>
            <w:noWrap w:val="0"/>
            <w:vAlign w:val="center"/>
          </w:tcPr>
          <w:p w14:paraId="2E0486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1E18A767">
            <w:pPr>
              <w:spacing w:line="240" w:lineRule="auto"/>
              <w:ind w:firstLine="0" w:firstLineChars="0"/>
              <w:jc w:val="center"/>
              <w:rPr>
                <w:rFonts w:ascii="Times New Roman" w:hAnsi="Times New Roman" w:eastAsia="宋体"/>
                <w:color w:val="auto"/>
                <w:sz w:val="21"/>
                <w:szCs w:val="21"/>
                <w:highlight w:val="none"/>
              </w:rPr>
            </w:pPr>
            <w:r>
              <w:rPr>
                <w:color w:val="auto"/>
                <w:sz w:val="21"/>
                <w:szCs w:val="21"/>
              </w:rPr>
              <w:drawing>
                <wp:inline distT="0" distB="0" distL="114300" distR="114300">
                  <wp:extent cx="3077845" cy="2367915"/>
                  <wp:effectExtent l="0" t="0" r="8255" b="1333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33"/>
                          <a:stretch>
                            <a:fillRect/>
                          </a:stretch>
                        </pic:blipFill>
                        <pic:spPr>
                          <a:xfrm>
                            <a:off x="0" y="0"/>
                            <a:ext cx="3077845" cy="2367915"/>
                          </a:xfrm>
                          <a:prstGeom prst="rect">
                            <a:avLst/>
                          </a:prstGeom>
                          <a:noFill/>
                          <a:ln>
                            <a:noFill/>
                          </a:ln>
                        </pic:spPr>
                      </pic:pic>
                    </a:graphicData>
                  </a:graphic>
                </wp:inline>
              </w:drawing>
            </w:r>
          </w:p>
        </w:tc>
        <w:tc>
          <w:tcPr>
            <w:tcW w:w="1209" w:type="pct"/>
            <w:noWrap w:val="0"/>
            <w:vAlign w:val="center"/>
          </w:tcPr>
          <w:p w14:paraId="60307551">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84830" cy="2590165"/>
                  <wp:effectExtent l="0" t="0" r="1270" b="63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4"/>
                          <a:stretch>
                            <a:fillRect/>
                          </a:stretch>
                        </pic:blipFill>
                        <pic:spPr>
                          <a:xfrm>
                            <a:off x="0" y="0"/>
                            <a:ext cx="3084830" cy="2590165"/>
                          </a:xfrm>
                          <a:prstGeom prst="rect">
                            <a:avLst/>
                          </a:prstGeom>
                          <a:noFill/>
                          <a:ln>
                            <a:noFill/>
                          </a:ln>
                        </pic:spPr>
                      </pic:pic>
                    </a:graphicData>
                  </a:graphic>
                </wp:inline>
              </w:drawing>
            </w:r>
          </w:p>
        </w:tc>
      </w:tr>
      <w:tr w14:paraId="250802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057E79F2">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6</w:t>
            </w:r>
          </w:p>
        </w:tc>
        <w:tc>
          <w:tcPr>
            <w:tcW w:w="156" w:type="pct"/>
            <w:noWrap w:val="0"/>
            <w:vAlign w:val="center"/>
          </w:tcPr>
          <w:p w14:paraId="0DA6B6B5">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二道林子村</w:t>
            </w:r>
          </w:p>
        </w:tc>
        <w:tc>
          <w:tcPr>
            <w:tcW w:w="194" w:type="pct"/>
            <w:noWrap w:val="0"/>
            <w:vAlign w:val="center"/>
          </w:tcPr>
          <w:p w14:paraId="32E8F2C3">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6253AA12">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35</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315</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35</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620</w:t>
            </w:r>
          </w:p>
        </w:tc>
        <w:tc>
          <w:tcPr>
            <w:tcW w:w="162" w:type="pct"/>
            <w:noWrap w:val="0"/>
            <w:vAlign w:val="center"/>
          </w:tcPr>
          <w:p w14:paraId="2628C08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4788FD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5200B74A">
            <w:pPr>
              <w:pStyle w:val="29"/>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3B76D87">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90</w:t>
            </w:r>
          </w:p>
        </w:tc>
        <w:tc>
          <w:tcPr>
            <w:tcW w:w="152" w:type="pct"/>
            <w:noWrap w:val="0"/>
            <w:vAlign w:val="center"/>
          </w:tcPr>
          <w:p w14:paraId="6875F2B1">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90</w:t>
            </w:r>
          </w:p>
        </w:tc>
        <w:tc>
          <w:tcPr>
            <w:tcW w:w="155" w:type="pct"/>
            <w:noWrap w:val="0"/>
            <w:vAlign w:val="center"/>
          </w:tcPr>
          <w:p w14:paraId="389A01A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96</w:t>
            </w:r>
          </w:p>
        </w:tc>
        <w:tc>
          <w:tcPr>
            <w:tcW w:w="169" w:type="pct"/>
            <w:noWrap w:val="0"/>
            <w:vAlign w:val="center"/>
          </w:tcPr>
          <w:p w14:paraId="62EAFD48">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96</w:t>
            </w:r>
          </w:p>
        </w:tc>
        <w:tc>
          <w:tcPr>
            <w:tcW w:w="162" w:type="pct"/>
            <w:noWrap w:val="0"/>
            <w:vAlign w:val="center"/>
          </w:tcPr>
          <w:p w14:paraId="457836CD">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12</w:t>
            </w:r>
          </w:p>
        </w:tc>
        <w:tc>
          <w:tcPr>
            <w:tcW w:w="124" w:type="pct"/>
            <w:noWrap w:val="0"/>
            <w:vAlign w:val="center"/>
          </w:tcPr>
          <w:p w14:paraId="0A6398F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24户</w:t>
            </w:r>
          </w:p>
        </w:tc>
        <w:tc>
          <w:tcPr>
            <w:tcW w:w="117" w:type="pct"/>
            <w:noWrap w:val="0"/>
            <w:vAlign w:val="center"/>
          </w:tcPr>
          <w:p w14:paraId="6D473838">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49FECC5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/一层/正对</w:t>
            </w:r>
          </w:p>
        </w:tc>
        <w:tc>
          <w:tcPr>
            <w:tcW w:w="227" w:type="pct"/>
            <w:noWrap w:val="0"/>
            <w:vAlign w:val="center"/>
          </w:tcPr>
          <w:p w14:paraId="67035C01">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77C1B851">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2974975" cy="2234565"/>
                  <wp:effectExtent l="0" t="0" r="15875" b="1333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35"/>
                          <a:stretch>
                            <a:fillRect/>
                          </a:stretch>
                        </pic:blipFill>
                        <pic:spPr>
                          <a:xfrm>
                            <a:off x="0" y="0"/>
                            <a:ext cx="2974975" cy="2234565"/>
                          </a:xfrm>
                          <a:prstGeom prst="rect">
                            <a:avLst/>
                          </a:prstGeom>
                          <a:noFill/>
                          <a:ln>
                            <a:noFill/>
                          </a:ln>
                        </pic:spPr>
                      </pic:pic>
                    </a:graphicData>
                  </a:graphic>
                </wp:inline>
              </w:drawing>
            </w:r>
          </w:p>
        </w:tc>
        <w:tc>
          <w:tcPr>
            <w:tcW w:w="1209" w:type="pct"/>
            <w:noWrap w:val="0"/>
            <w:vAlign w:val="center"/>
          </w:tcPr>
          <w:p w14:paraId="4BC773D8">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25140" cy="2340610"/>
                  <wp:effectExtent l="0" t="0" r="3810" b="2540"/>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36"/>
                          <a:stretch>
                            <a:fillRect/>
                          </a:stretch>
                        </pic:blipFill>
                        <pic:spPr>
                          <a:xfrm>
                            <a:off x="0" y="0"/>
                            <a:ext cx="3025140" cy="2340610"/>
                          </a:xfrm>
                          <a:prstGeom prst="rect">
                            <a:avLst/>
                          </a:prstGeom>
                          <a:noFill/>
                          <a:ln>
                            <a:noFill/>
                          </a:ln>
                        </pic:spPr>
                      </pic:pic>
                    </a:graphicData>
                  </a:graphic>
                </wp:inline>
              </w:drawing>
            </w:r>
          </w:p>
        </w:tc>
      </w:tr>
      <w:tr w14:paraId="11CF26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8" w:hRule="atLeast"/>
          <w:jc w:val="center"/>
        </w:trPr>
        <w:tc>
          <w:tcPr>
            <w:tcW w:w="117" w:type="pct"/>
            <w:noWrap w:val="0"/>
            <w:vAlign w:val="center"/>
          </w:tcPr>
          <w:p w14:paraId="0D63FB8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7</w:t>
            </w:r>
          </w:p>
        </w:tc>
        <w:tc>
          <w:tcPr>
            <w:tcW w:w="156" w:type="pct"/>
            <w:noWrap w:val="0"/>
            <w:vAlign w:val="center"/>
          </w:tcPr>
          <w:p w14:paraId="1C54DE08">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三道林子村</w:t>
            </w:r>
          </w:p>
        </w:tc>
        <w:tc>
          <w:tcPr>
            <w:tcW w:w="194" w:type="pct"/>
            <w:noWrap w:val="0"/>
            <w:vAlign w:val="center"/>
          </w:tcPr>
          <w:p w14:paraId="67D35D6A">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shd w:val="clear" w:color="auto" w:fill="auto"/>
            <w:noWrap w:val="0"/>
            <w:vAlign w:val="center"/>
          </w:tcPr>
          <w:p w14:paraId="34B2B115">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41</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800</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43</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020</w:t>
            </w:r>
          </w:p>
        </w:tc>
        <w:tc>
          <w:tcPr>
            <w:tcW w:w="162" w:type="pct"/>
            <w:noWrap w:val="0"/>
            <w:vAlign w:val="center"/>
          </w:tcPr>
          <w:p w14:paraId="3BE1A8D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10AE7D1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两侧</w:t>
            </w:r>
          </w:p>
        </w:tc>
        <w:tc>
          <w:tcPr>
            <w:tcW w:w="210" w:type="pct"/>
            <w:noWrap w:val="0"/>
            <w:vAlign w:val="center"/>
          </w:tcPr>
          <w:p w14:paraId="46A03763">
            <w:pPr>
              <w:pStyle w:val="29"/>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57E3FD2">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w:t>
            </w:r>
          </w:p>
        </w:tc>
        <w:tc>
          <w:tcPr>
            <w:tcW w:w="152" w:type="pct"/>
            <w:noWrap w:val="0"/>
            <w:vAlign w:val="center"/>
          </w:tcPr>
          <w:p w14:paraId="643D9FFA">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w:t>
            </w:r>
          </w:p>
        </w:tc>
        <w:tc>
          <w:tcPr>
            <w:tcW w:w="155" w:type="pct"/>
            <w:noWrap w:val="0"/>
            <w:vAlign w:val="center"/>
          </w:tcPr>
          <w:p w14:paraId="7AD232C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10</w:t>
            </w:r>
          </w:p>
        </w:tc>
        <w:tc>
          <w:tcPr>
            <w:tcW w:w="169" w:type="pct"/>
            <w:noWrap w:val="0"/>
            <w:vAlign w:val="center"/>
          </w:tcPr>
          <w:p w14:paraId="7045C60F">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10</w:t>
            </w:r>
          </w:p>
        </w:tc>
        <w:tc>
          <w:tcPr>
            <w:tcW w:w="162" w:type="pct"/>
            <w:noWrap w:val="0"/>
            <w:vAlign w:val="center"/>
          </w:tcPr>
          <w:p w14:paraId="0D9C642E">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124" w:type="pct"/>
            <w:noWrap w:val="0"/>
            <w:vAlign w:val="center"/>
          </w:tcPr>
          <w:p w14:paraId="0379402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160户</w:t>
            </w:r>
          </w:p>
        </w:tc>
        <w:tc>
          <w:tcPr>
            <w:tcW w:w="117" w:type="pct"/>
            <w:noWrap w:val="0"/>
            <w:vAlign w:val="center"/>
          </w:tcPr>
          <w:p w14:paraId="5E017107">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646716E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/一层/正对</w:t>
            </w:r>
          </w:p>
        </w:tc>
        <w:tc>
          <w:tcPr>
            <w:tcW w:w="227" w:type="pct"/>
            <w:noWrap w:val="0"/>
            <w:vAlign w:val="center"/>
          </w:tcPr>
          <w:p w14:paraId="3F88C39D">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4A89E7F6">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2840355" cy="2390140"/>
                  <wp:effectExtent l="0" t="0" r="17145" b="10160"/>
                  <wp:docPr id="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5"/>
                          <pic:cNvPicPr>
                            <a:picLocks noChangeAspect="1"/>
                          </pic:cNvPicPr>
                        </pic:nvPicPr>
                        <pic:blipFill>
                          <a:blip r:embed="rId37"/>
                          <a:stretch>
                            <a:fillRect/>
                          </a:stretch>
                        </pic:blipFill>
                        <pic:spPr>
                          <a:xfrm>
                            <a:off x="0" y="0"/>
                            <a:ext cx="2840355" cy="2390140"/>
                          </a:xfrm>
                          <a:prstGeom prst="rect">
                            <a:avLst/>
                          </a:prstGeom>
                          <a:noFill/>
                          <a:ln>
                            <a:noFill/>
                          </a:ln>
                        </pic:spPr>
                      </pic:pic>
                    </a:graphicData>
                  </a:graphic>
                </wp:inline>
              </w:drawing>
            </w:r>
          </w:p>
        </w:tc>
        <w:tc>
          <w:tcPr>
            <w:tcW w:w="1209" w:type="pct"/>
            <w:noWrap w:val="0"/>
            <w:vAlign w:val="center"/>
          </w:tcPr>
          <w:p w14:paraId="4A747C15">
            <w:pPr>
              <w:spacing w:line="240" w:lineRule="auto"/>
              <w:ind w:firstLine="0" w:firstLineChars="0"/>
              <w:jc w:val="both"/>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914650" cy="2327275"/>
                  <wp:effectExtent l="0" t="0" r="0" b="15875"/>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38"/>
                          <a:stretch>
                            <a:fillRect/>
                          </a:stretch>
                        </pic:blipFill>
                        <pic:spPr>
                          <a:xfrm>
                            <a:off x="0" y="0"/>
                            <a:ext cx="2914650" cy="2327275"/>
                          </a:xfrm>
                          <a:prstGeom prst="rect">
                            <a:avLst/>
                          </a:prstGeom>
                          <a:noFill/>
                          <a:ln>
                            <a:noFill/>
                          </a:ln>
                        </pic:spPr>
                      </pic:pic>
                    </a:graphicData>
                  </a:graphic>
                </wp:inline>
              </w:drawing>
            </w:r>
          </w:p>
        </w:tc>
      </w:tr>
      <w:tr w14:paraId="54B8E0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8" w:hRule="atLeast"/>
          <w:jc w:val="center"/>
        </w:trPr>
        <w:tc>
          <w:tcPr>
            <w:tcW w:w="117" w:type="pct"/>
            <w:noWrap w:val="0"/>
            <w:vAlign w:val="center"/>
          </w:tcPr>
          <w:p w14:paraId="029ED686">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8</w:t>
            </w:r>
          </w:p>
        </w:tc>
        <w:tc>
          <w:tcPr>
            <w:tcW w:w="156" w:type="pct"/>
            <w:noWrap w:val="0"/>
            <w:vAlign w:val="center"/>
          </w:tcPr>
          <w:p w14:paraId="65DB229E">
            <w:pPr>
              <w:spacing w:line="240" w:lineRule="auto"/>
              <w:ind w:firstLine="0" w:firstLineChars="0"/>
              <w:jc w:val="center"/>
              <w:rPr>
                <w:rFonts w:hint="eastAsia"/>
                <w:color w:val="auto"/>
                <w:sz w:val="21"/>
                <w:szCs w:val="21"/>
                <w:highlight w:val="none"/>
                <w:lang w:val="en-US" w:eastAsia="zh-CN"/>
              </w:rPr>
            </w:pPr>
            <w:r>
              <w:rPr>
                <w:rFonts w:hint="eastAsia" w:cs="Times New Roman"/>
                <w:color w:val="auto"/>
                <w:kern w:val="2"/>
                <w:sz w:val="21"/>
                <w:szCs w:val="21"/>
                <w:highlight w:val="none"/>
                <w:lang w:val="en-US" w:eastAsia="zh-CN" w:bidi="ar-SA"/>
              </w:rPr>
              <w:t>东升卫生院</w:t>
            </w:r>
          </w:p>
        </w:tc>
        <w:tc>
          <w:tcPr>
            <w:tcW w:w="194" w:type="pct"/>
            <w:noWrap w:val="0"/>
            <w:vAlign w:val="center"/>
          </w:tcPr>
          <w:p w14:paraId="3AC767A1">
            <w:pPr>
              <w:spacing w:line="240" w:lineRule="auto"/>
              <w:ind w:firstLine="0" w:firstLineChars="0"/>
              <w:jc w:val="center"/>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shd w:val="clear" w:color="auto" w:fill="auto"/>
            <w:noWrap w:val="0"/>
            <w:vAlign w:val="center"/>
          </w:tcPr>
          <w:p w14:paraId="6D68972D">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cs="Times New Roman"/>
                <w:color w:val="auto"/>
                <w:sz w:val="21"/>
                <w:szCs w:val="21"/>
                <w:highlight w:val="none"/>
                <w:lang w:val="en-US" w:eastAsia="zh-CN"/>
              </w:rPr>
              <w:t>42</w:t>
            </w:r>
            <w:r>
              <w:rPr>
                <w:rFonts w:hint="eastAsia" w:ascii="Times New Roman" w:hAnsi="Times New Roman" w:eastAsia="宋体" w:cs="Times New Roman"/>
                <w:color w:val="auto"/>
                <w:sz w:val="21"/>
                <w:szCs w:val="21"/>
                <w:highlight w:val="none"/>
                <w:lang w:val="en-US" w:eastAsia="zh-CN"/>
              </w:rPr>
              <w:t>+3</w:t>
            </w:r>
            <w:r>
              <w:rPr>
                <w:rFonts w:hint="eastAsia" w:ascii="Times New Roman" w:hAnsi="Times New Roman" w:cs="Times New Roman"/>
                <w:color w:val="auto"/>
                <w:sz w:val="21"/>
                <w:szCs w:val="21"/>
                <w:highlight w:val="none"/>
                <w:lang w:val="en-US" w:eastAsia="zh-CN"/>
              </w:rPr>
              <w:t>25</w:t>
            </w:r>
          </w:p>
        </w:tc>
        <w:tc>
          <w:tcPr>
            <w:tcW w:w="162" w:type="pct"/>
            <w:noWrap w:val="0"/>
            <w:vAlign w:val="center"/>
          </w:tcPr>
          <w:p w14:paraId="3D5DA907">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ECDA872">
            <w:pPr>
              <w:spacing w:line="240" w:lineRule="auto"/>
              <w:ind w:firstLine="0" w:firstLineChars="0"/>
              <w:jc w:val="center"/>
              <w:rPr>
                <w:rFonts w:hint="eastAsia"/>
                <w:color w:val="auto"/>
                <w:sz w:val="21"/>
                <w:szCs w:val="21"/>
                <w:highlight w:val="none"/>
                <w:lang w:eastAsia="zh-CN"/>
              </w:rPr>
            </w:pPr>
            <w:r>
              <w:rPr>
                <w:rFonts w:hint="eastAsia"/>
                <w:color w:val="auto"/>
                <w:sz w:val="21"/>
                <w:szCs w:val="21"/>
                <w:highlight w:val="none"/>
                <w:lang w:eastAsia="zh-CN"/>
              </w:rPr>
              <w:t>左侧</w:t>
            </w:r>
          </w:p>
        </w:tc>
        <w:tc>
          <w:tcPr>
            <w:tcW w:w="210" w:type="pct"/>
            <w:noWrap w:val="0"/>
            <w:vAlign w:val="center"/>
          </w:tcPr>
          <w:p w14:paraId="1DAED019">
            <w:pPr>
              <w:pStyle w:val="29"/>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4DFCFBC6">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19</w:t>
            </w:r>
          </w:p>
        </w:tc>
        <w:tc>
          <w:tcPr>
            <w:tcW w:w="152" w:type="pct"/>
            <w:noWrap w:val="0"/>
            <w:vAlign w:val="center"/>
          </w:tcPr>
          <w:p w14:paraId="26B91125">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19</w:t>
            </w:r>
          </w:p>
        </w:tc>
        <w:tc>
          <w:tcPr>
            <w:tcW w:w="155" w:type="pct"/>
            <w:noWrap w:val="0"/>
            <w:vAlign w:val="center"/>
          </w:tcPr>
          <w:p w14:paraId="37F0AE41">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24</w:t>
            </w:r>
          </w:p>
        </w:tc>
        <w:tc>
          <w:tcPr>
            <w:tcW w:w="169" w:type="pct"/>
            <w:noWrap w:val="0"/>
            <w:vAlign w:val="center"/>
          </w:tcPr>
          <w:p w14:paraId="681AA24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24</w:t>
            </w:r>
          </w:p>
        </w:tc>
        <w:tc>
          <w:tcPr>
            <w:tcW w:w="162" w:type="pct"/>
            <w:noWrap w:val="0"/>
            <w:vAlign w:val="center"/>
          </w:tcPr>
          <w:p w14:paraId="618AC070">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124" w:type="pct"/>
            <w:noWrap w:val="0"/>
            <w:vAlign w:val="center"/>
          </w:tcPr>
          <w:p w14:paraId="567990F9">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17" w:type="pct"/>
            <w:noWrap w:val="0"/>
            <w:vAlign w:val="center"/>
          </w:tcPr>
          <w:p w14:paraId="69F5E2E2">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50人</w:t>
            </w:r>
          </w:p>
        </w:tc>
        <w:tc>
          <w:tcPr>
            <w:tcW w:w="158" w:type="pct"/>
            <w:noWrap w:val="0"/>
            <w:vAlign w:val="center"/>
          </w:tcPr>
          <w:p w14:paraId="564C689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二</w:t>
            </w:r>
            <w:r>
              <w:rPr>
                <w:rFonts w:hint="eastAsia" w:ascii="Times New Roman" w:hAnsi="Times New Roman" w:eastAsia="宋体"/>
                <w:color w:val="auto"/>
                <w:sz w:val="21"/>
                <w:szCs w:val="21"/>
                <w:highlight w:val="none"/>
                <w:lang w:val="en-US" w:eastAsia="zh-CN"/>
              </w:rPr>
              <w:t>层/正对</w:t>
            </w:r>
          </w:p>
        </w:tc>
        <w:tc>
          <w:tcPr>
            <w:tcW w:w="227" w:type="pct"/>
            <w:noWrap w:val="0"/>
            <w:vAlign w:val="center"/>
          </w:tcPr>
          <w:p w14:paraId="4E7B3F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olor w:val="auto"/>
                <w:sz w:val="21"/>
                <w:szCs w:val="21"/>
                <w:highlight w:val="none"/>
                <w:lang w:eastAsia="zh-CN"/>
              </w:rPr>
            </w:pPr>
            <w:r>
              <w:rPr>
                <w:rFonts w:hint="eastAsia" w:cs="Times New Roman"/>
                <w:color w:val="auto"/>
                <w:sz w:val="21"/>
                <w:szCs w:val="21"/>
                <w:highlight w:val="none"/>
                <w:lang w:eastAsia="zh-CN"/>
              </w:rPr>
              <w:t>满足</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国家环境保护总局文件</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环发</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2003</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94号</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昼间60dB（A）、夜间50dB（A）</w:t>
            </w:r>
            <w:r>
              <w:rPr>
                <w:rFonts w:hint="eastAsia" w:ascii="Times New Roman" w:hAnsi="Times New Roman" w:eastAsia="宋体" w:cs="Times New Roman"/>
                <w:color w:val="auto"/>
                <w:sz w:val="21"/>
                <w:szCs w:val="21"/>
                <w:highlight w:val="none"/>
                <w:lang w:eastAsia="zh-CN"/>
              </w:rPr>
              <w:t>要求</w:t>
            </w:r>
          </w:p>
        </w:tc>
        <w:tc>
          <w:tcPr>
            <w:tcW w:w="1155" w:type="pct"/>
            <w:noWrap w:val="0"/>
            <w:vAlign w:val="center"/>
          </w:tcPr>
          <w:p w14:paraId="4327A694">
            <w:pPr>
              <w:spacing w:line="240" w:lineRule="auto"/>
              <w:ind w:firstLine="0" w:firstLineChars="0"/>
              <w:jc w:val="center"/>
              <w:rPr>
                <w:color w:val="auto"/>
                <w:sz w:val="21"/>
                <w:szCs w:val="21"/>
              </w:rPr>
            </w:pPr>
            <w:r>
              <w:rPr>
                <w:color w:val="auto"/>
                <w:sz w:val="21"/>
                <w:szCs w:val="21"/>
              </w:rPr>
              <w:drawing>
                <wp:inline distT="0" distB="0" distL="114300" distR="114300">
                  <wp:extent cx="3114040" cy="2290445"/>
                  <wp:effectExtent l="0" t="0" r="10160" b="1460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39"/>
                          <a:stretch>
                            <a:fillRect/>
                          </a:stretch>
                        </pic:blipFill>
                        <pic:spPr>
                          <a:xfrm>
                            <a:off x="0" y="0"/>
                            <a:ext cx="3114040" cy="2290445"/>
                          </a:xfrm>
                          <a:prstGeom prst="rect">
                            <a:avLst/>
                          </a:prstGeom>
                          <a:noFill/>
                          <a:ln>
                            <a:noFill/>
                          </a:ln>
                        </pic:spPr>
                      </pic:pic>
                    </a:graphicData>
                  </a:graphic>
                </wp:inline>
              </w:drawing>
            </w:r>
          </w:p>
        </w:tc>
        <w:tc>
          <w:tcPr>
            <w:tcW w:w="1209" w:type="pct"/>
            <w:noWrap w:val="0"/>
            <w:vAlign w:val="center"/>
          </w:tcPr>
          <w:p w14:paraId="5743942A">
            <w:pPr>
              <w:spacing w:line="240" w:lineRule="auto"/>
              <w:ind w:firstLine="0" w:firstLineChars="0"/>
              <w:jc w:val="center"/>
              <w:rPr>
                <w:color w:val="auto"/>
                <w:sz w:val="21"/>
                <w:szCs w:val="21"/>
              </w:rPr>
            </w:pPr>
            <w:r>
              <w:rPr>
                <w:color w:val="auto"/>
                <w:sz w:val="21"/>
                <w:szCs w:val="21"/>
              </w:rPr>
              <w:drawing>
                <wp:inline distT="0" distB="0" distL="114300" distR="114300">
                  <wp:extent cx="3100705" cy="2272665"/>
                  <wp:effectExtent l="0" t="0" r="4445" b="1333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40"/>
                          <a:stretch>
                            <a:fillRect/>
                          </a:stretch>
                        </pic:blipFill>
                        <pic:spPr>
                          <a:xfrm>
                            <a:off x="0" y="0"/>
                            <a:ext cx="3100705" cy="2272665"/>
                          </a:xfrm>
                          <a:prstGeom prst="rect">
                            <a:avLst/>
                          </a:prstGeom>
                          <a:noFill/>
                          <a:ln>
                            <a:noFill/>
                          </a:ln>
                        </pic:spPr>
                      </pic:pic>
                    </a:graphicData>
                  </a:graphic>
                </wp:inline>
              </w:drawing>
            </w:r>
          </w:p>
        </w:tc>
      </w:tr>
      <w:tr w14:paraId="468FAD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4A284AE8">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9</w:t>
            </w:r>
          </w:p>
        </w:tc>
        <w:tc>
          <w:tcPr>
            <w:tcW w:w="156" w:type="pct"/>
            <w:noWrap w:val="0"/>
            <w:vAlign w:val="center"/>
          </w:tcPr>
          <w:p w14:paraId="208C9F92">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中岗村</w:t>
            </w:r>
          </w:p>
        </w:tc>
        <w:tc>
          <w:tcPr>
            <w:tcW w:w="194" w:type="pct"/>
            <w:noWrap w:val="0"/>
            <w:vAlign w:val="center"/>
          </w:tcPr>
          <w:p w14:paraId="156EE5ED">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shd w:val="clear" w:color="auto" w:fill="auto"/>
            <w:noWrap w:val="0"/>
            <w:vAlign w:val="center"/>
          </w:tcPr>
          <w:p w14:paraId="71C0F441">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46</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430</w:t>
            </w:r>
            <w:r>
              <w:rPr>
                <w:rFonts w:hint="eastAsia" w:ascii="Times New Roman" w:hAnsi="Times New Roman" w:eastAsia="宋体"/>
                <w:color w:val="auto"/>
                <w:sz w:val="21"/>
                <w:szCs w:val="21"/>
                <w:highlight w:val="none"/>
                <w:lang w:val="en-US" w:eastAsia="zh-CN"/>
              </w:rPr>
              <w:t>~K46+</w:t>
            </w:r>
            <w:r>
              <w:rPr>
                <w:rFonts w:hint="eastAsia"/>
                <w:color w:val="auto"/>
                <w:sz w:val="21"/>
                <w:szCs w:val="21"/>
                <w:highlight w:val="none"/>
                <w:lang w:val="en-US" w:eastAsia="zh-CN"/>
              </w:rPr>
              <w:t>860</w:t>
            </w:r>
          </w:p>
        </w:tc>
        <w:tc>
          <w:tcPr>
            <w:tcW w:w="162" w:type="pct"/>
            <w:noWrap w:val="0"/>
            <w:vAlign w:val="center"/>
          </w:tcPr>
          <w:p w14:paraId="138F953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40AFFAF9">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右侧</w:t>
            </w:r>
          </w:p>
        </w:tc>
        <w:tc>
          <w:tcPr>
            <w:tcW w:w="210" w:type="pct"/>
            <w:noWrap w:val="0"/>
            <w:vAlign w:val="center"/>
          </w:tcPr>
          <w:p w14:paraId="5F2DA99E">
            <w:pPr>
              <w:pStyle w:val="29"/>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376F9E0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43</w:t>
            </w:r>
          </w:p>
        </w:tc>
        <w:tc>
          <w:tcPr>
            <w:tcW w:w="152" w:type="pct"/>
            <w:noWrap w:val="0"/>
            <w:vAlign w:val="center"/>
          </w:tcPr>
          <w:p w14:paraId="614582E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43</w:t>
            </w:r>
          </w:p>
        </w:tc>
        <w:tc>
          <w:tcPr>
            <w:tcW w:w="155" w:type="pct"/>
            <w:noWrap w:val="0"/>
            <w:vAlign w:val="center"/>
          </w:tcPr>
          <w:p w14:paraId="59423C3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50</w:t>
            </w:r>
          </w:p>
        </w:tc>
        <w:tc>
          <w:tcPr>
            <w:tcW w:w="169" w:type="pct"/>
            <w:noWrap w:val="0"/>
            <w:vAlign w:val="center"/>
          </w:tcPr>
          <w:p w14:paraId="51DD69F2">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50</w:t>
            </w:r>
          </w:p>
        </w:tc>
        <w:tc>
          <w:tcPr>
            <w:tcW w:w="162" w:type="pct"/>
            <w:noWrap w:val="0"/>
            <w:vAlign w:val="center"/>
          </w:tcPr>
          <w:p w14:paraId="655D2C6E">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628CD01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32户</w:t>
            </w:r>
          </w:p>
        </w:tc>
        <w:tc>
          <w:tcPr>
            <w:tcW w:w="117" w:type="pct"/>
            <w:noWrap w:val="0"/>
            <w:vAlign w:val="center"/>
          </w:tcPr>
          <w:p w14:paraId="7E428231">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000FF8B5">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0470FB6B">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165A33CC">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2999105" cy="2322830"/>
                  <wp:effectExtent l="0" t="0" r="10795" b="127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41"/>
                          <a:stretch>
                            <a:fillRect/>
                          </a:stretch>
                        </pic:blipFill>
                        <pic:spPr>
                          <a:xfrm>
                            <a:off x="0" y="0"/>
                            <a:ext cx="2999105" cy="2322830"/>
                          </a:xfrm>
                          <a:prstGeom prst="rect">
                            <a:avLst/>
                          </a:prstGeom>
                          <a:noFill/>
                          <a:ln>
                            <a:noFill/>
                          </a:ln>
                        </pic:spPr>
                      </pic:pic>
                    </a:graphicData>
                  </a:graphic>
                </wp:inline>
              </w:drawing>
            </w:r>
          </w:p>
        </w:tc>
        <w:tc>
          <w:tcPr>
            <w:tcW w:w="1209" w:type="pct"/>
            <w:noWrap w:val="0"/>
            <w:vAlign w:val="center"/>
          </w:tcPr>
          <w:p w14:paraId="5133525E">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969895" cy="2258060"/>
                  <wp:effectExtent l="0" t="0" r="1905" b="889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42"/>
                          <a:stretch>
                            <a:fillRect/>
                          </a:stretch>
                        </pic:blipFill>
                        <pic:spPr>
                          <a:xfrm>
                            <a:off x="0" y="0"/>
                            <a:ext cx="2969895" cy="2258060"/>
                          </a:xfrm>
                          <a:prstGeom prst="rect">
                            <a:avLst/>
                          </a:prstGeom>
                          <a:noFill/>
                          <a:ln>
                            <a:noFill/>
                          </a:ln>
                        </pic:spPr>
                      </pic:pic>
                    </a:graphicData>
                  </a:graphic>
                </wp:inline>
              </w:drawing>
            </w:r>
          </w:p>
        </w:tc>
      </w:tr>
      <w:tr w14:paraId="4FFC5D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1B2C4F40">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156" w:type="pct"/>
            <w:noWrap w:val="0"/>
            <w:vAlign w:val="center"/>
          </w:tcPr>
          <w:p w14:paraId="4917E80E">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银龙村</w:t>
            </w:r>
          </w:p>
        </w:tc>
        <w:tc>
          <w:tcPr>
            <w:tcW w:w="194" w:type="pct"/>
            <w:noWrap w:val="0"/>
            <w:vAlign w:val="center"/>
          </w:tcPr>
          <w:p w14:paraId="6CBAAEE4">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Times New Roman" w:hAnsi="Times New Roman" w:eastAsia="宋体" w:cs="Times New Roman"/>
                <w:color w:val="auto"/>
                <w:sz w:val="21"/>
                <w:szCs w:val="21"/>
                <w:highlight w:val="none"/>
                <w:lang w:val="en-US" w:eastAsia="zh-CN"/>
              </w:rPr>
              <w:t>K48+240-K55+161</w:t>
            </w:r>
          </w:p>
        </w:tc>
        <w:tc>
          <w:tcPr>
            <w:tcW w:w="189" w:type="pct"/>
            <w:noWrap w:val="0"/>
            <w:vAlign w:val="center"/>
          </w:tcPr>
          <w:p w14:paraId="1E6B45A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54</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800</w:t>
            </w:r>
            <w:r>
              <w:rPr>
                <w:rFonts w:hint="eastAsia" w:ascii="Times New Roman" w:hAnsi="Times New Roman" w:eastAsia="宋体"/>
                <w:color w:val="auto"/>
                <w:sz w:val="21"/>
                <w:szCs w:val="21"/>
                <w:highlight w:val="none"/>
                <w:lang w:val="en-US" w:eastAsia="zh-CN"/>
              </w:rPr>
              <w:t>~K55+</w:t>
            </w:r>
            <w:r>
              <w:rPr>
                <w:rFonts w:hint="eastAsia"/>
                <w:color w:val="auto"/>
                <w:sz w:val="21"/>
                <w:szCs w:val="21"/>
                <w:highlight w:val="none"/>
                <w:lang w:val="en-US" w:eastAsia="zh-CN"/>
              </w:rPr>
              <w:t>150</w:t>
            </w:r>
          </w:p>
        </w:tc>
        <w:tc>
          <w:tcPr>
            <w:tcW w:w="162" w:type="pct"/>
            <w:noWrap w:val="0"/>
            <w:vAlign w:val="center"/>
          </w:tcPr>
          <w:p w14:paraId="3139DF4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25AB515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两侧</w:t>
            </w:r>
          </w:p>
        </w:tc>
        <w:tc>
          <w:tcPr>
            <w:tcW w:w="210" w:type="pct"/>
            <w:noWrap w:val="0"/>
            <w:vAlign w:val="center"/>
          </w:tcPr>
          <w:p w14:paraId="615D28D4">
            <w:pPr>
              <w:pStyle w:val="29"/>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2193755A">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8</w:t>
            </w:r>
          </w:p>
        </w:tc>
        <w:tc>
          <w:tcPr>
            <w:tcW w:w="152" w:type="pct"/>
            <w:noWrap w:val="0"/>
            <w:vAlign w:val="center"/>
          </w:tcPr>
          <w:p w14:paraId="03241D0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8</w:t>
            </w:r>
          </w:p>
        </w:tc>
        <w:tc>
          <w:tcPr>
            <w:tcW w:w="155" w:type="pct"/>
            <w:noWrap w:val="0"/>
            <w:vAlign w:val="center"/>
          </w:tcPr>
          <w:p w14:paraId="6CD4EB1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12</w:t>
            </w:r>
          </w:p>
        </w:tc>
        <w:tc>
          <w:tcPr>
            <w:tcW w:w="169" w:type="pct"/>
            <w:noWrap w:val="0"/>
            <w:vAlign w:val="center"/>
          </w:tcPr>
          <w:p w14:paraId="52D513E5">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12</w:t>
            </w:r>
          </w:p>
        </w:tc>
        <w:tc>
          <w:tcPr>
            <w:tcW w:w="162" w:type="pct"/>
            <w:noWrap w:val="0"/>
            <w:vAlign w:val="center"/>
          </w:tcPr>
          <w:p w14:paraId="2F73F985">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8</w:t>
            </w:r>
          </w:p>
        </w:tc>
        <w:tc>
          <w:tcPr>
            <w:tcW w:w="124" w:type="pct"/>
            <w:noWrap w:val="0"/>
            <w:vAlign w:val="center"/>
          </w:tcPr>
          <w:p w14:paraId="2C566E2B">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33户</w:t>
            </w:r>
          </w:p>
        </w:tc>
        <w:tc>
          <w:tcPr>
            <w:tcW w:w="117" w:type="pct"/>
            <w:noWrap w:val="0"/>
            <w:vAlign w:val="center"/>
          </w:tcPr>
          <w:p w14:paraId="577CBDD4">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7ACF385B">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/一层/正对</w:t>
            </w:r>
          </w:p>
        </w:tc>
        <w:tc>
          <w:tcPr>
            <w:tcW w:w="227" w:type="pct"/>
            <w:noWrap w:val="0"/>
            <w:vAlign w:val="center"/>
          </w:tcPr>
          <w:p w14:paraId="420D5D3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4DD2B6DF">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3082925" cy="2502535"/>
                  <wp:effectExtent l="0" t="0" r="3175" b="12065"/>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43"/>
                          <a:stretch>
                            <a:fillRect/>
                          </a:stretch>
                        </pic:blipFill>
                        <pic:spPr>
                          <a:xfrm>
                            <a:off x="0" y="0"/>
                            <a:ext cx="3082925" cy="2502535"/>
                          </a:xfrm>
                          <a:prstGeom prst="rect">
                            <a:avLst/>
                          </a:prstGeom>
                          <a:noFill/>
                          <a:ln>
                            <a:noFill/>
                          </a:ln>
                        </pic:spPr>
                      </pic:pic>
                    </a:graphicData>
                  </a:graphic>
                </wp:inline>
              </w:drawing>
            </w:r>
          </w:p>
        </w:tc>
        <w:tc>
          <w:tcPr>
            <w:tcW w:w="1209" w:type="pct"/>
            <w:noWrap w:val="0"/>
            <w:vAlign w:val="center"/>
          </w:tcPr>
          <w:p w14:paraId="65D6F5CA">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60700" cy="2527935"/>
                  <wp:effectExtent l="0" t="0" r="6350" b="571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44"/>
                          <a:stretch>
                            <a:fillRect/>
                          </a:stretch>
                        </pic:blipFill>
                        <pic:spPr>
                          <a:xfrm>
                            <a:off x="0" y="0"/>
                            <a:ext cx="3060700" cy="2527935"/>
                          </a:xfrm>
                          <a:prstGeom prst="rect">
                            <a:avLst/>
                          </a:prstGeom>
                          <a:noFill/>
                          <a:ln>
                            <a:noFill/>
                          </a:ln>
                        </pic:spPr>
                      </pic:pic>
                    </a:graphicData>
                  </a:graphic>
                </wp:inline>
              </w:drawing>
            </w:r>
          </w:p>
        </w:tc>
      </w:tr>
    </w:tbl>
    <w:p w14:paraId="2147D4E1">
      <w:pPr>
        <w:ind w:left="0" w:leftChars="0" w:firstLine="0" w:firstLineChars="0"/>
        <w:rPr>
          <w:rFonts w:hint="eastAsia"/>
          <w:color w:val="auto"/>
          <w:highlight w:val="none"/>
        </w:rPr>
        <w:sectPr>
          <w:pgSz w:w="23811" w:h="16838" w:orient="landscape"/>
          <w:pgMar w:top="1800" w:right="1440" w:bottom="1800" w:left="1440" w:header="851" w:footer="1077" w:gutter="0"/>
          <w:pgBorders>
            <w:top w:val="none" w:sz="0" w:space="0"/>
            <w:left w:val="none" w:sz="0" w:space="0"/>
            <w:bottom w:val="none" w:sz="0" w:space="0"/>
            <w:right w:val="none" w:sz="0" w:space="0"/>
          </w:pgBorders>
          <w:cols w:space="720" w:num="1"/>
          <w:docGrid w:linePitch="312" w:charSpace="0"/>
        </w:sectPr>
      </w:pPr>
    </w:p>
    <w:tbl>
      <w:tblPr>
        <w:tblStyle w:val="18"/>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15"/>
        <w:gridCol w:w="7804"/>
      </w:tblGrid>
      <w:tr w14:paraId="553353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1" w:type="pct"/>
            <w:noWrap w:val="0"/>
            <w:vAlign w:val="center"/>
          </w:tcPr>
          <w:p w14:paraId="42788BD8">
            <w:pPr>
              <w:pStyle w:val="38"/>
              <w:rPr>
                <w:rFonts w:hint="default"/>
                <w:color w:val="auto"/>
                <w:highlight w:val="none"/>
              </w:rPr>
            </w:pPr>
            <w:r>
              <w:rPr>
                <w:rFonts w:hint="default"/>
                <w:color w:val="auto"/>
                <w:highlight w:val="none"/>
              </w:rPr>
              <w:t>评价标准</w:t>
            </w:r>
          </w:p>
        </w:tc>
        <w:tc>
          <w:tcPr>
            <w:tcW w:w="4508" w:type="pct"/>
            <w:noWrap w:val="0"/>
            <w:vAlign w:val="center"/>
          </w:tcPr>
          <w:p w14:paraId="7656E054">
            <w:pPr>
              <w:adjustRightInd w:val="0"/>
              <w:snapToGrid w:val="0"/>
              <w:ind w:firstLine="480"/>
              <w:rPr>
                <w:color w:val="auto"/>
                <w:kern w:val="0"/>
                <w:highlight w:val="none"/>
              </w:rPr>
            </w:pPr>
            <w:r>
              <w:rPr>
                <w:rFonts w:hint="eastAsia"/>
                <w:color w:val="auto"/>
                <w:kern w:val="0"/>
                <w:highlight w:val="none"/>
                <w:lang w:val="en-US" w:eastAsia="zh-CN"/>
              </w:rPr>
              <w:t>1、</w:t>
            </w:r>
            <w:r>
              <w:rPr>
                <w:color w:val="auto"/>
                <w:kern w:val="0"/>
                <w:highlight w:val="none"/>
              </w:rPr>
              <w:t>环境质量标准</w:t>
            </w:r>
          </w:p>
          <w:p w14:paraId="0B530C19">
            <w:pPr>
              <w:adjustRightInd w:val="0"/>
              <w:snapToGrid w:val="0"/>
              <w:ind w:firstLine="480"/>
              <w:rPr>
                <w:color w:val="auto"/>
                <w:kern w:val="0"/>
                <w:highlight w:val="none"/>
              </w:rPr>
            </w:pPr>
            <w:r>
              <w:rPr>
                <w:rFonts w:hint="eastAsia"/>
                <w:color w:val="auto"/>
                <w:kern w:val="0"/>
                <w:highlight w:val="none"/>
                <w:lang w:eastAsia="zh-CN"/>
              </w:rPr>
              <w:t>（</w:t>
            </w:r>
            <w:r>
              <w:rPr>
                <w:rFonts w:hint="eastAsia"/>
                <w:color w:val="auto"/>
                <w:kern w:val="0"/>
                <w:highlight w:val="none"/>
                <w:lang w:val="en-US" w:eastAsia="zh-CN"/>
              </w:rPr>
              <w:t>1</w:t>
            </w:r>
            <w:r>
              <w:rPr>
                <w:rFonts w:hint="eastAsia"/>
                <w:color w:val="auto"/>
                <w:kern w:val="0"/>
                <w:highlight w:val="none"/>
                <w:lang w:eastAsia="zh-CN"/>
              </w:rPr>
              <w:t>）</w:t>
            </w:r>
            <w:r>
              <w:rPr>
                <w:color w:val="auto"/>
                <w:kern w:val="0"/>
                <w:highlight w:val="none"/>
              </w:rPr>
              <w:t>环境空气</w:t>
            </w:r>
          </w:p>
          <w:p w14:paraId="17D5340A">
            <w:pPr>
              <w:adjustRightInd w:val="0"/>
              <w:snapToGrid w:val="0"/>
              <w:ind w:firstLine="480"/>
              <w:rPr>
                <w:rFonts w:hint="eastAsia" w:eastAsia="宋体"/>
                <w:color w:val="auto"/>
                <w:kern w:val="0"/>
                <w:highlight w:val="none"/>
                <w:lang w:eastAsia="zh-CN"/>
              </w:rPr>
            </w:pPr>
            <w:r>
              <w:rPr>
                <w:rFonts w:hint="eastAsia"/>
                <w:color w:val="auto"/>
                <w:kern w:val="0"/>
                <w:highlight w:val="none"/>
              </w:rPr>
              <w:t>本项目线路穿越</w:t>
            </w:r>
            <w:r>
              <w:rPr>
                <w:rFonts w:hint="eastAsia"/>
                <w:color w:val="auto"/>
                <w:kern w:val="0"/>
                <w:highlight w:val="none"/>
                <w:lang w:eastAsia="zh-CN"/>
              </w:rPr>
              <w:t>黑龙江完达山国家级森林公园、黑龙江东升省级自然保护区</w:t>
            </w:r>
            <w:r>
              <w:rPr>
                <w:rFonts w:hint="eastAsia"/>
                <w:color w:val="auto"/>
                <w:kern w:val="0"/>
                <w:highlight w:val="none"/>
              </w:rPr>
              <w:t>所在区域执行《环境空气质量标准》（GB3095</w:t>
            </w:r>
            <w:r>
              <w:rPr>
                <w:rFonts w:hint="eastAsia" w:eastAsia="黑体" w:cs="Times New Roman"/>
                <w:color w:val="auto"/>
                <w:sz w:val="24"/>
                <w:szCs w:val="24"/>
                <w:highlight w:val="none"/>
                <w:lang w:val="en-US" w:eastAsia="zh-CN"/>
              </w:rPr>
              <w:t>—</w:t>
            </w:r>
            <w:r>
              <w:rPr>
                <w:rFonts w:hint="eastAsia"/>
                <w:color w:val="auto"/>
                <w:kern w:val="0"/>
                <w:highlight w:val="none"/>
              </w:rPr>
              <w:t>20</w:t>
            </w:r>
            <w:r>
              <w:rPr>
                <w:rFonts w:hint="eastAsia"/>
                <w:color w:val="auto"/>
                <w:kern w:val="0"/>
                <w:highlight w:val="none"/>
                <w:lang w:val="en-US" w:eastAsia="zh-CN"/>
              </w:rPr>
              <w:t>26</w:t>
            </w:r>
            <w:r>
              <w:rPr>
                <w:rFonts w:hint="eastAsia"/>
                <w:color w:val="auto"/>
                <w:kern w:val="0"/>
                <w:highlight w:val="none"/>
              </w:rPr>
              <w:t>）</w:t>
            </w:r>
            <w:r>
              <w:rPr>
                <w:rFonts w:hint="eastAsia"/>
                <w:color w:val="auto"/>
                <w:lang w:eastAsia="zh-CN"/>
              </w:rPr>
              <w:t>过渡阶段</w:t>
            </w:r>
            <w:r>
              <w:rPr>
                <w:rFonts w:hint="eastAsia"/>
                <w:color w:val="auto"/>
                <w:kern w:val="0"/>
                <w:highlight w:val="none"/>
              </w:rPr>
              <w:t>一级标准，其他区域执行</w:t>
            </w:r>
            <w:r>
              <w:rPr>
                <w:rFonts w:hint="eastAsia"/>
                <w:color w:val="auto"/>
                <w:lang w:eastAsia="zh-CN"/>
              </w:rPr>
              <w:t>过渡阶段</w:t>
            </w:r>
            <w:r>
              <w:rPr>
                <w:rFonts w:hint="eastAsia"/>
                <w:color w:val="auto"/>
                <w:kern w:val="0"/>
                <w:highlight w:val="none"/>
              </w:rPr>
              <w:t>二级标准，</w:t>
            </w:r>
            <w:r>
              <w:rPr>
                <w:color w:val="auto"/>
                <w:kern w:val="0"/>
                <w:highlight w:val="none"/>
              </w:rPr>
              <w:t>详见表</w:t>
            </w:r>
            <w:r>
              <w:rPr>
                <w:rFonts w:hint="eastAsia"/>
                <w:color w:val="auto"/>
                <w:kern w:val="0"/>
                <w:highlight w:val="none"/>
                <w:lang w:val="en-US" w:eastAsia="zh-CN"/>
              </w:rPr>
              <w:t>3-11。</w:t>
            </w:r>
          </w:p>
          <w:p w14:paraId="5FB74709">
            <w:pPr>
              <w:pStyle w:val="28"/>
              <w:rPr>
                <w:rFonts w:hint="default"/>
                <w:color w:val="auto"/>
                <w:sz w:val="24"/>
                <w:highlight w:val="none"/>
              </w:rPr>
            </w:pPr>
            <w:r>
              <w:rPr>
                <w:rFonts w:hint="default"/>
                <w:color w:val="auto"/>
                <w:sz w:val="24"/>
                <w:highlight w:val="none"/>
              </w:rPr>
              <w:t>表</w:t>
            </w:r>
            <w:r>
              <w:rPr>
                <w:color w:val="auto"/>
                <w:sz w:val="24"/>
                <w:highlight w:val="none"/>
              </w:rPr>
              <w:t>3-</w:t>
            </w:r>
            <w:r>
              <w:rPr>
                <w:rFonts w:hint="eastAsia"/>
                <w:color w:val="auto"/>
                <w:sz w:val="24"/>
                <w:highlight w:val="none"/>
                <w:lang w:val="en-US" w:eastAsia="zh-CN"/>
              </w:rPr>
              <w:t xml:space="preserve">11 </w:t>
            </w:r>
            <w:r>
              <w:rPr>
                <w:rFonts w:hint="default"/>
                <w:color w:val="auto"/>
                <w:sz w:val="24"/>
                <w:highlight w:val="none"/>
              </w:rPr>
              <w:t xml:space="preserve"> 环境空气质量标准</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2129"/>
              <w:gridCol w:w="1600"/>
              <w:gridCol w:w="1600"/>
              <w:gridCol w:w="861"/>
            </w:tblGrid>
            <w:tr w14:paraId="111E14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21" w:type="pct"/>
                  <w:vMerge w:val="restart"/>
                  <w:noWrap w:val="0"/>
                  <w:vAlign w:val="center"/>
                </w:tcPr>
                <w:p w14:paraId="6C16FA1F">
                  <w:pPr>
                    <w:spacing w:line="240" w:lineRule="auto"/>
                    <w:ind w:firstLine="0" w:firstLineChars="0"/>
                    <w:jc w:val="center"/>
                    <w:rPr>
                      <w:color w:val="auto"/>
                      <w:kern w:val="0"/>
                      <w:sz w:val="21"/>
                      <w:szCs w:val="21"/>
                      <w:highlight w:val="none"/>
                    </w:rPr>
                  </w:pPr>
                  <w:r>
                    <w:rPr>
                      <w:color w:val="auto"/>
                      <w:kern w:val="0"/>
                      <w:sz w:val="21"/>
                      <w:szCs w:val="21"/>
                      <w:highlight w:val="none"/>
                    </w:rPr>
                    <w:t>污染物</w:t>
                  </w:r>
                </w:p>
                <w:p w14:paraId="68AB9769">
                  <w:pPr>
                    <w:spacing w:line="240" w:lineRule="auto"/>
                    <w:ind w:firstLine="0" w:firstLineChars="0"/>
                    <w:jc w:val="center"/>
                    <w:rPr>
                      <w:color w:val="auto"/>
                      <w:kern w:val="0"/>
                      <w:sz w:val="21"/>
                      <w:szCs w:val="21"/>
                      <w:highlight w:val="none"/>
                    </w:rPr>
                  </w:pPr>
                  <w:r>
                    <w:rPr>
                      <w:color w:val="auto"/>
                      <w:kern w:val="0"/>
                      <w:sz w:val="21"/>
                      <w:szCs w:val="21"/>
                      <w:highlight w:val="none"/>
                    </w:rPr>
                    <w:t>名称</w:t>
                  </w:r>
                </w:p>
              </w:tc>
              <w:tc>
                <w:tcPr>
                  <w:tcW w:w="1402" w:type="pct"/>
                  <w:vMerge w:val="restart"/>
                  <w:noWrap w:val="0"/>
                  <w:vAlign w:val="center"/>
                </w:tcPr>
                <w:p w14:paraId="139C3E7D">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平均</w:t>
                  </w:r>
                  <w:r>
                    <w:rPr>
                      <w:color w:val="auto"/>
                      <w:kern w:val="0"/>
                      <w:sz w:val="21"/>
                      <w:szCs w:val="21"/>
                      <w:highlight w:val="none"/>
                    </w:rPr>
                    <w:t>时间</w:t>
                  </w:r>
                </w:p>
              </w:tc>
              <w:tc>
                <w:tcPr>
                  <w:tcW w:w="2108" w:type="pct"/>
                  <w:gridSpan w:val="2"/>
                  <w:noWrap w:val="0"/>
                  <w:vAlign w:val="center"/>
                </w:tcPr>
                <w:p w14:paraId="5E91C465">
                  <w:pPr>
                    <w:spacing w:line="240" w:lineRule="auto"/>
                    <w:ind w:firstLine="0" w:firstLineChars="0"/>
                    <w:jc w:val="center"/>
                    <w:rPr>
                      <w:rFonts w:hint="eastAsia"/>
                      <w:color w:val="auto"/>
                      <w:kern w:val="0"/>
                      <w:sz w:val="21"/>
                      <w:szCs w:val="21"/>
                      <w:highlight w:val="none"/>
                    </w:rPr>
                  </w:pPr>
                  <w:r>
                    <w:rPr>
                      <w:rFonts w:hint="eastAsia"/>
                      <w:color w:val="auto"/>
                      <w:sz w:val="21"/>
                      <w:szCs w:val="21"/>
                      <w:lang w:eastAsia="zh-CN"/>
                    </w:rPr>
                    <w:t>过渡阶段</w:t>
                  </w:r>
                  <w:r>
                    <w:rPr>
                      <w:rFonts w:hint="eastAsia"/>
                      <w:color w:val="auto"/>
                      <w:kern w:val="0"/>
                      <w:sz w:val="21"/>
                      <w:szCs w:val="21"/>
                      <w:highlight w:val="none"/>
                    </w:rPr>
                    <w:t>浓度限值</w:t>
                  </w:r>
                </w:p>
              </w:tc>
              <w:tc>
                <w:tcPr>
                  <w:tcW w:w="567" w:type="pct"/>
                  <w:vMerge w:val="restart"/>
                  <w:noWrap w:val="0"/>
                  <w:vAlign w:val="center"/>
                </w:tcPr>
                <w:p w14:paraId="48CD769D">
                  <w:pPr>
                    <w:spacing w:line="240" w:lineRule="auto"/>
                    <w:ind w:firstLine="0" w:firstLineChars="0"/>
                    <w:jc w:val="center"/>
                    <w:rPr>
                      <w:color w:val="auto"/>
                      <w:kern w:val="0"/>
                      <w:sz w:val="21"/>
                      <w:szCs w:val="21"/>
                      <w:highlight w:val="none"/>
                    </w:rPr>
                  </w:pPr>
                  <w:r>
                    <w:rPr>
                      <w:color w:val="auto"/>
                      <w:kern w:val="0"/>
                      <w:sz w:val="21"/>
                      <w:szCs w:val="21"/>
                      <w:highlight w:val="none"/>
                    </w:rPr>
                    <w:t>单位</w:t>
                  </w:r>
                </w:p>
              </w:tc>
            </w:tr>
            <w:tr w14:paraId="0FEFD5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21" w:type="pct"/>
                  <w:vMerge w:val="continue"/>
                  <w:noWrap w:val="0"/>
                  <w:vAlign w:val="center"/>
                </w:tcPr>
                <w:p w14:paraId="091FF1AC">
                  <w:pPr>
                    <w:spacing w:line="240" w:lineRule="auto"/>
                    <w:ind w:firstLine="0" w:firstLineChars="0"/>
                    <w:jc w:val="center"/>
                    <w:rPr>
                      <w:color w:val="auto"/>
                      <w:kern w:val="0"/>
                      <w:sz w:val="21"/>
                      <w:szCs w:val="21"/>
                      <w:highlight w:val="none"/>
                    </w:rPr>
                  </w:pPr>
                </w:p>
              </w:tc>
              <w:tc>
                <w:tcPr>
                  <w:tcW w:w="1402" w:type="pct"/>
                  <w:vMerge w:val="continue"/>
                  <w:noWrap w:val="0"/>
                  <w:vAlign w:val="center"/>
                </w:tcPr>
                <w:p w14:paraId="28A02F94">
                  <w:pPr>
                    <w:spacing w:line="240" w:lineRule="auto"/>
                    <w:ind w:firstLine="0" w:firstLineChars="0"/>
                    <w:jc w:val="center"/>
                    <w:rPr>
                      <w:rFonts w:hint="eastAsia"/>
                      <w:color w:val="auto"/>
                      <w:kern w:val="0"/>
                      <w:sz w:val="21"/>
                      <w:szCs w:val="21"/>
                      <w:highlight w:val="none"/>
                    </w:rPr>
                  </w:pPr>
                </w:p>
              </w:tc>
              <w:tc>
                <w:tcPr>
                  <w:tcW w:w="1054" w:type="pct"/>
                  <w:noWrap w:val="0"/>
                  <w:vAlign w:val="center"/>
                </w:tcPr>
                <w:p w14:paraId="4ECAA6ED">
                  <w:pPr>
                    <w:spacing w:line="240" w:lineRule="auto"/>
                    <w:ind w:firstLine="0" w:firstLineChars="0"/>
                    <w:jc w:val="center"/>
                    <w:rPr>
                      <w:rFonts w:hint="eastAsia"/>
                      <w:color w:val="auto"/>
                      <w:kern w:val="0"/>
                      <w:sz w:val="21"/>
                      <w:szCs w:val="21"/>
                      <w:highlight w:val="none"/>
                    </w:rPr>
                  </w:pPr>
                  <w:r>
                    <w:rPr>
                      <w:rFonts w:hint="eastAsia"/>
                      <w:color w:val="auto"/>
                      <w:kern w:val="0"/>
                      <w:sz w:val="21"/>
                      <w:szCs w:val="21"/>
                      <w:highlight w:val="none"/>
                    </w:rPr>
                    <w:t>一级</w:t>
                  </w:r>
                </w:p>
              </w:tc>
              <w:tc>
                <w:tcPr>
                  <w:tcW w:w="1054" w:type="pct"/>
                  <w:noWrap w:val="0"/>
                  <w:vAlign w:val="center"/>
                </w:tcPr>
                <w:p w14:paraId="41E913E6">
                  <w:pPr>
                    <w:spacing w:line="240" w:lineRule="auto"/>
                    <w:ind w:firstLine="0" w:firstLineChars="0"/>
                    <w:jc w:val="center"/>
                    <w:rPr>
                      <w:color w:val="auto"/>
                      <w:kern w:val="0"/>
                      <w:sz w:val="21"/>
                      <w:szCs w:val="21"/>
                      <w:highlight w:val="none"/>
                    </w:rPr>
                  </w:pPr>
                  <w:r>
                    <w:rPr>
                      <w:color w:val="auto"/>
                      <w:kern w:val="0"/>
                      <w:sz w:val="21"/>
                      <w:szCs w:val="21"/>
                      <w:highlight w:val="none"/>
                    </w:rPr>
                    <w:t>二级</w:t>
                  </w:r>
                </w:p>
              </w:tc>
              <w:tc>
                <w:tcPr>
                  <w:tcW w:w="567" w:type="pct"/>
                  <w:vMerge w:val="continue"/>
                  <w:noWrap w:val="0"/>
                  <w:vAlign w:val="center"/>
                </w:tcPr>
                <w:p w14:paraId="4A6C44C2">
                  <w:pPr>
                    <w:spacing w:line="240" w:lineRule="auto"/>
                    <w:ind w:firstLine="0" w:firstLineChars="0"/>
                    <w:jc w:val="center"/>
                    <w:rPr>
                      <w:color w:val="auto"/>
                      <w:kern w:val="0"/>
                      <w:sz w:val="21"/>
                      <w:szCs w:val="21"/>
                      <w:highlight w:val="none"/>
                    </w:rPr>
                  </w:pPr>
                </w:p>
              </w:tc>
            </w:tr>
            <w:tr w14:paraId="57393E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6E4D7337">
                  <w:pPr>
                    <w:spacing w:line="240" w:lineRule="auto"/>
                    <w:ind w:firstLine="0" w:firstLineChars="0"/>
                    <w:jc w:val="center"/>
                    <w:rPr>
                      <w:color w:val="auto"/>
                      <w:kern w:val="0"/>
                      <w:sz w:val="21"/>
                      <w:szCs w:val="21"/>
                      <w:highlight w:val="none"/>
                    </w:rPr>
                  </w:pPr>
                  <w:r>
                    <w:rPr>
                      <w:color w:val="auto"/>
                      <w:kern w:val="0"/>
                      <w:sz w:val="21"/>
                      <w:szCs w:val="21"/>
                      <w:highlight w:val="none"/>
                    </w:rPr>
                    <w:t>SO</w:t>
                  </w:r>
                  <w:r>
                    <w:rPr>
                      <w:color w:val="auto"/>
                      <w:kern w:val="0"/>
                      <w:sz w:val="21"/>
                      <w:szCs w:val="21"/>
                      <w:highlight w:val="none"/>
                      <w:vertAlign w:val="subscript"/>
                    </w:rPr>
                    <w:t>2</w:t>
                  </w:r>
                </w:p>
              </w:tc>
              <w:tc>
                <w:tcPr>
                  <w:tcW w:w="1402" w:type="pct"/>
                  <w:noWrap w:val="0"/>
                  <w:vAlign w:val="center"/>
                </w:tcPr>
                <w:p w14:paraId="794E02D1">
                  <w:pPr>
                    <w:spacing w:line="240" w:lineRule="auto"/>
                    <w:ind w:firstLine="0" w:firstLineChars="0"/>
                    <w:jc w:val="center"/>
                    <w:rPr>
                      <w:color w:val="auto"/>
                      <w:kern w:val="0"/>
                      <w:sz w:val="21"/>
                      <w:szCs w:val="21"/>
                      <w:highlight w:val="none"/>
                    </w:rPr>
                  </w:pPr>
                  <w:r>
                    <w:rPr>
                      <w:color w:val="auto"/>
                      <w:kern w:val="0"/>
                      <w:sz w:val="21"/>
                      <w:szCs w:val="21"/>
                      <w:highlight w:val="none"/>
                    </w:rPr>
                    <w:t>年平均</w:t>
                  </w:r>
                </w:p>
              </w:tc>
              <w:tc>
                <w:tcPr>
                  <w:tcW w:w="1054" w:type="pct"/>
                  <w:noWrap w:val="0"/>
                  <w:vAlign w:val="center"/>
                </w:tcPr>
                <w:p w14:paraId="11477197">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20</w:t>
                  </w:r>
                </w:p>
              </w:tc>
              <w:tc>
                <w:tcPr>
                  <w:tcW w:w="1054" w:type="pct"/>
                  <w:noWrap w:val="0"/>
                  <w:vAlign w:val="center"/>
                </w:tcPr>
                <w:p w14:paraId="7832F0C9">
                  <w:pPr>
                    <w:spacing w:line="240" w:lineRule="auto"/>
                    <w:ind w:firstLine="0" w:firstLineChars="0"/>
                    <w:jc w:val="center"/>
                    <w:rPr>
                      <w:color w:val="auto"/>
                      <w:kern w:val="0"/>
                      <w:sz w:val="21"/>
                      <w:szCs w:val="21"/>
                      <w:highlight w:val="none"/>
                    </w:rPr>
                  </w:pPr>
                  <w:r>
                    <w:rPr>
                      <w:color w:val="auto"/>
                      <w:kern w:val="0"/>
                      <w:sz w:val="21"/>
                      <w:szCs w:val="21"/>
                      <w:highlight w:val="none"/>
                    </w:rPr>
                    <w:t>60</w:t>
                  </w:r>
                </w:p>
              </w:tc>
              <w:tc>
                <w:tcPr>
                  <w:tcW w:w="567" w:type="pct"/>
                  <w:vMerge w:val="restart"/>
                  <w:noWrap w:val="0"/>
                  <w:vAlign w:val="center"/>
                </w:tcPr>
                <w:p w14:paraId="5A9B64DD">
                  <w:pPr>
                    <w:spacing w:line="240" w:lineRule="auto"/>
                    <w:ind w:firstLine="0" w:firstLineChars="0"/>
                    <w:jc w:val="center"/>
                    <w:rPr>
                      <w:color w:val="auto"/>
                      <w:kern w:val="0"/>
                      <w:sz w:val="21"/>
                      <w:szCs w:val="21"/>
                      <w:highlight w:val="none"/>
                    </w:rPr>
                  </w:pPr>
                  <w:r>
                    <w:rPr>
                      <w:color w:val="auto"/>
                      <w:kern w:val="0"/>
                      <w:sz w:val="21"/>
                      <w:szCs w:val="21"/>
                      <w:highlight w:val="none"/>
                    </w:rPr>
                    <w:t>μg/m</w:t>
                  </w:r>
                  <w:r>
                    <w:rPr>
                      <w:color w:val="auto"/>
                      <w:kern w:val="0"/>
                      <w:sz w:val="21"/>
                      <w:szCs w:val="21"/>
                      <w:highlight w:val="none"/>
                      <w:vertAlign w:val="superscript"/>
                    </w:rPr>
                    <w:t>3</w:t>
                  </w:r>
                </w:p>
              </w:tc>
            </w:tr>
            <w:tr w14:paraId="700783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3566AB5B">
                  <w:pPr>
                    <w:spacing w:line="240" w:lineRule="auto"/>
                    <w:ind w:firstLine="0" w:firstLineChars="0"/>
                    <w:jc w:val="center"/>
                    <w:rPr>
                      <w:color w:val="auto"/>
                      <w:kern w:val="0"/>
                      <w:sz w:val="21"/>
                      <w:szCs w:val="21"/>
                      <w:highlight w:val="none"/>
                    </w:rPr>
                  </w:pPr>
                </w:p>
              </w:tc>
              <w:tc>
                <w:tcPr>
                  <w:tcW w:w="1402" w:type="pct"/>
                  <w:noWrap w:val="0"/>
                  <w:vAlign w:val="center"/>
                </w:tcPr>
                <w:p w14:paraId="75E0003F">
                  <w:pPr>
                    <w:spacing w:line="240" w:lineRule="auto"/>
                    <w:ind w:firstLine="0" w:firstLineChars="0"/>
                    <w:jc w:val="center"/>
                    <w:rPr>
                      <w:color w:val="auto"/>
                      <w:kern w:val="0"/>
                      <w:sz w:val="21"/>
                      <w:szCs w:val="21"/>
                      <w:highlight w:val="none"/>
                    </w:rPr>
                  </w:pPr>
                  <w:r>
                    <w:rPr>
                      <w:color w:val="auto"/>
                      <w:kern w:val="0"/>
                      <w:sz w:val="21"/>
                      <w:szCs w:val="21"/>
                      <w:highlight w:val="none"/>
                    </w:rPr>
                    <w:t>24小时平均</w:t>
                  </w:r>
                </w:p>
              </w:tc>
              <w:tc>
                <w:tcPr>
                  <w:tcW w:w="1054" w:type="pct"/>
                  <w:noWrap w:val="0"/>
                  <w:vAlign w:val="center"/>
                </w:tcPr>
                <w:p w14:paraId="6938FA10">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50</w:t>
                  </w:r>
                </w:p>
              </w:tc>
              <w:tc>
                <w:tcPr>
                  <w:tcW w:w="1054" w:type="pct"/>
                  <w:noWrap w:val="0"/>
                  <w:vAlign w:val="center"/>
                </w:tcPr>
                <w:p w14:paraId="0919B978">
                  <w:pPr>
                    <w:spacing w:line="240" w:lineRule="auto"/>
                    <w:ind w:firstLine="0" w:firstLineChars="0"/>
                    <w:jc w:val="center"/>
                    <w:rPr>
                      <w:color w:val="auto"/>
                      <w:kern w:val="0"/>
                      <w:sz w:val="21"/>
                      <w:szCs w:val="21"/>
                      <w:highlight w:val="none"/>
                    </w:rPr>
                  </w:pPr>
                  <w:r>
                    <w:rPr>
                      <w:color w:val="auto"/>
                      <w:kern w:val="0"/>
                      <w:sz w:val="21"/>
                      <w:szCs w:val="21"/>
                      <w:highlight w:val="none"/>
                    </w:rPr>
                    <w:t>150</w:t>
                  </w:r>
                </w:p>
              </w:tc>
              <w:tc>
                <w:tcPr>
                  <w:tcW w:w="567" w:type="pct"/>
                  <w:vMerge w:val="continue"/>
                  <w:noWrap w:val="0"/>
                  <w:vAlign w:val="center"/>
                </w:tcPr>
                <w:p w14:paraId="22774A58">
                  <w:pPr>
                    <w:spacing w:line="240" w:lineRule="auto"/>
                    <w:ind w:firstLine="0" w:firstLineChars="0"/>
                    <w:jc w:val="center"/>
                    <w:rPr>
                      <w:color w:val="auto"/>
                      <w:kern w:val="0"/>
                      <w:sz w:val="21"/>
                      <w:szCs w:val="21"/>
                      <w:highlight w:val="none"/>
                    </w:rPr>
                  </w:pPr>
                </w:p>
              </w:tc>
            </w:tr>
            <w:tr w14:paraId="2DC3BC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79A7527F">
                  <w:pPr>
                    <w:spacing w:line="240" w:lineRule="auto"/>
                    <w:ind w:firstLine="0" w:firstLineChars="0"/>
                    <w:jc w:val="center"/>
                    <w:rPr>
                      <w:color w:val="auto"/>
                      <w:kern w:val="0"/>
                      <w:sz w:val="21"/>
                      <w:szCs w:val="21"/>
                      <w:highlight w:val="none"/>
                    </w:rPr>
                  </w:pPr>
                </w:p>
              </w:tc>
              <w:tc>
                <w:tcPr>
                  <w:tcW w:w="1402" w:type="pct"/>
                  <w:noWrap w:val="0"/>
                  <w:vAlign w:val="center"/>
                </w:tcPr>
                <w:p w14:paraId="2A31D5EA">
                  <w:pPr>
                    <w:spacing w:line="240" w:lineRule="auto"/>
                    <w:ind w:firstLine="0" w:firstLineChars="0"/>
                    <w:jc w:val="center"/>
                    <w:rPr>
                      <w:color w:val="auto"/>
                      <w:kern w:val="0"/>
                      <w:sz w:val="21"/>
                      <w:szCs w:val="21"/>
                      <w:highlight w:val="none"/>
                    </w:rPr>
                  </w:pPr>
                  <w:r>
                    <w:rPr>
                      <w:color w:val="auto"/>
                      <w:kern w:val="0"/>
                      <w:sz w:val="21"/>
                      <w:szCs w:val="21"/>
                      <w:highlight w:val="none"/>
                    </w:rPr>
                    <w:t>1小时平均</w:t>
                  </w:r>
                </w:p>
              </w:tc>
              <w:tc>
                <w:tcPr>
                  <w:tcW w:w="1054" w:type="pct"/>
                  <w:noWrap w:val="0"/>
                  <w:vAlign w:val="center"/>
                </w:tcPr>
                <w:p w14:paraId="0AB4E747">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150</w:t>
                  </w:r>
                </w:p>
              </w:tc>
              <w:tc>
                <w:tcPr>
                  <w:tcW w:w="1054" w:type="pct"/>
                  <w:noWrap w:val="0"/>
                  <w:vAlign w:val="center"/>
                </w:tcPr>
                <w:p w14:paraId="04C588E5">
                  <w:pPr>
                    <w:spacing w:line="240" w:lineRule="auto"/>
                    <w:ind w:firstLine="0" w:firstLineChars="0"/>
                    <w:jc w:val="center"/>
                    <w:rPr>
                      <w:color w:val="auto"/>
                      <w:kern w:val="0"/>
                      <w:sz w:val="21"/>
                      <w:szCs w:val="21"/>
                      <w:highlight w:val="none"/>
                    </w:rPr>
                  </w:pPr>
                  <w:r>
                    <w:rPr>
                      <w:color w:val="auto"/>
                      <w:kern w:val="0"/>
                      <w:sz w:val="21"/>
                      <w:szCs w:val="21"/>
                      <w:highlight w:val="none"/>
                    </w:rPr>
                    <w:t>500</w:t>
                  </w:r>
                </w:p>
              </w:tc>
              <w:tc>
                <w:tcPr>
                  <w:tcW w:w="567" w:type="pct"/>
                  <w:vMerge w:val="continue"/>
                  <w:noWrap w:val="0"/>
                  <w:vAlign w:val="center"/>
                </w:tcPr>
                <w:p w14:paraId="4ED307B8">
                  <w:pPr>
                    <w:spacing w:line="240" w:lineRule="auto"/>
                    <w:ind w:firstLine="0" w:firstLineChars="0"/>
                    <w:jc w:val="center"/>
                    <w:rPr>
                      <w:color w:val="auto"/>
                      <w:kern w:val="0"/>
                      <w:sz w:val="21"/>
                      <w:szCs w:val="21"/>
                      <w:highlight w:val="none"/>
                    </w:rPr>
                  </w:pPr>
                </w:p>
              </w:tc>
            </w:tr>
            <w:tr w14:paraId="149DCA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2372E4E9">
                  <w:pPr>
                    <w:spacing w:line="240" w:lineRule="auto"/>
                    <w:ind w:firstLine="0" w:firstLineChars="0"/>
                    <w:jc w:val="center"/>
                    <w:rPr>
                      <w:color w:val="auto"/>
                      <w:kern w:val="0"/>
                      <w:sz w:val="21"/>
                      <w:szCs w:val="21"/>
                      <w:highlight w:val="none"/>
                    </w:rPr>
                  </w:pPr>
                  <w:r>
                    <w:rPr>
                      <w:color w:val="auto"/>
                      <w:kern w:val="0"/>
                      <w:sz w:val="21"/>
                      <w:szCs w:val="21"/>
                      <w:highlight w:val="none"/>
                    </w:rPr>
                    <w:t>NO</w:t>
                  </w:r>
                  <w:r>
                    <w:rPr>
                      <w:color w:val="auto"/>
                      <w:kern w:val="0"/>
                      <w:sz w:val="21"/>
                      <w:szCs w:val="21"/>
                      <w:highlight w:val="none"/>
                      <w:vertAlign w:val="subscript"/>
                    </w:rPr>
                    <w:t>2</w:t>
                  </w:r>
                </w:p>
              </w:tc>
              <w:tc>
                <w:tcPr>
                  <w:tcW w:w="1402" w:type="pct"/>
                  <w:noWrap w:val="0"/>
                  <w:vAlign w:val="center"/>
                </w:tcPr>
                <w:p w14:paraId="0AC256DE">
                  <w:pPr>
                    <w:spacing w:line="240" w:lineRule="auto"/>
                    <w:ind w:firstLine="0" w:firstLineChars="0"/>
                    <w:jc w:val="center"/>
                    <w:rPr>
                      <w:color w:val="auto"/>
                      <w:kern w:val="0"/>
                      <w:sz w:val="21"/>
                      <w:szCs w:val="21"/>
                      <w:highlight w:val="none"/>
                    </w:rPr>
                  </w:pPr>
                  <w:r>
                    <w:rPr>
                      <w:color w:val="auto"/>
                      <w:kern w:val="0"/>
                      <w:sz w:val="21"/>
                      <w:szCs w:val="21"/>
                      <w:highlight w:val="none"/>
                    </w:rPr>
                    <w:t>年平均</w:t>
                  </w:r>
                </w:p>
              </w:tc>
              <w:tc>
                <w:tcPr>
                  <w:tcW w:w="1054" w:type="pct"/>
                  <w:noWrap w:val="0"/>
                  <w:vAlign w:val="center"/>
                </w:tcPr>
                <w:p w14:paraId="1FE71549">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40</w:t>
                  </w:r>
                </w:p>
              </w:tc>
              <w:tc>
                <w:tcPr>
                  <w:tcW w:w="1054" w:type="pct"/>
                  <w:noWrap w:val="0"/>
                  <w:vAlign w:val="center"/>
                </w:tcPr>
                <w:p w14:paraId="0BBC9FCB">
                  <w:pPr>
                    <w:spacing w:line="240" w:lineRule="auto"/>
                    <w:ind w:firstLine="0" w:firstLineChars="0"/>
                    <w:jc w:val="center"/>
                    <w:rPr>
                      <w:color w:val="auto"/>
                      <w:kern w:val="0"/>
                      <w:sz w:val="21"/>
                      <w:szCs w:val="21"/>
                      <w:highlight w:val="none"/>
                    </w:rPr>
                  </w:pPr>
                  <w:r>
                    <w:rPr>
                      <w:color w:val="auto"/>
                      <w:kern w:val="0"/>
                      <w:sz w:val="21"/>
                      <w:szCs w:val="21"/>
                      <w:highlight w:val="none"/>
                    </w:rPr>
                    <w:t>40</w:t>
                  </w:r>
                </w:p>
              </w:tc>
              <w:tc>
                <w:tcPr>
                  <w:tcW w:w="567" w:type="pct"/>
                  <w:vMerge w:val="continue"/>
                  <w:noWrap w:val="0"/>
                  <w:vAlign w:val="center"/>
                </w:tcPr>
                <w:p w14:paraId="2D359ECA">
                  <w:pPr>
                    <w:spacing w:line="240" w:lineRule="auto"/>
                    <w:ind w:firstLine="0" w:firstLineChars="0"/>
                    <w:jc w:val="center"/>
                    <w:rPr>
                      <w:color w:val="auto"/>
                      <w:kern w:val="0"/>
                      <w:sz w:val="21"/>
                      <w:szCs w:val="21"/>
                      <w:highlight w:val="none"/>
                    </w:rPr>
                  </w:pPr>
                </w:p>
              </w:tc>
            </w:tr>
            <w:tr w14:paraId="49D9F5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056BEC90">
                  <w:pPr>
                    <w:spacing w:line="240" w:lineRule="auto"/>
                    <w:ind w:firstLine="0" w:firstLineChars="0"/>
                    <w:jc w:val="center"/>
                    <w:rPr>
                      <w:color w:val="auto"/>
                      <w:kern w:val="0"/>
                      <w:sz w:val="21"/>
                      <w:szCs w:val="21"/>
                      <w:highlight w:val="none"/>
                    </w:rPr>
                  </w:pPr>
                </w:p>
              </w:tc>
              <w:tc>
                <w:tcPr>
                  <w:tcW w:w="1402" w:type="pct"/>
                  <w:noWrap w:val="0"/>
                  <w:vAlign w:val="center"/>
                </w:tcPr>
                <w:p w14:paraId="2D867E91">
                  <w:pPr>
                    <w:spacing w:line="240" w:lineRule="auto"/>
                    <w:ind w:firstLine="0" w:firstLineChars="0"/>
                    <w:jc w:val="center"/>
                    <w:rPr>
                      <w:color w:val="auto"/>
                      <w:kern w:val="0"/>
                      <w:sz w:val="21"/>
                      <w:szCs w:val="21"/>
                      <w:highlight w:val="none"/>
                    </w:rPr>
                  </w:pPr>
                  <w:r>
                    <w:rPr>
                      <w:color w:val="auto"/>
                      <w:kern w:val="0"/>
                      <w:sz w:val="21"/>
                      <w:szCs w:val="21"/>
                      <w:highlight w:val="none"/>
                    </w:rPr>
                    <w:t>24小时平均</w:t>
                  </w:r>
                </w:p>
              </w:tc>
              <w:tc>
                <w:tcPr>
                  <w:tcW w:w="1054" w:type="pct"/>
                  <w:noWrap w:val="0"/>
                  <w:vAlign w:val="center"/>
                </w:tcPr>
                <w:p w14:paraId="3D7CF187">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80</w:t>
                  </w:r>
                </w:p>
              </w:tc>
              <w:tc>
                <w:tcPr>
                  <w:tcW w:w="1054" w:type="pct"/>
                  <w:noWrap w:val="0"/>
                  <w:vAlign w:val="center"/>
                </w:tcPr>
                <w:p w14:paraId="16FBB85C">
                  <w:pPr>
                    <w:spacing w:line="240" w:lineRule="auto"/>
                    <w:ind w:firstLine="0" w:firstLineChars="0"/>
                    <w:jc w:val="center"/>
                    <w:rPr>
                      <w:color w:val="auto"/>
                      <w:kern w:val="0"/>
                      <w:sz w:val="21"/>
                      <w:szCs w:val="21"/>
                      <w:highlight w:val="none"/>
                    </w:rPr>
                  </w:pPr>
                  <w:r>
                    <w:rPr>
                      <w:color w:val="auto"/>
                      <w:kern w:val="0"/>
                      <w:sz w:val="21"/>
                      <w:szCs w:val="21"/>
                      <w:highlight w:val="none"/>
                    </w:rPr>
                    <w:t>80</w:t>
                  </w:r>
                </w:p>
              </w:tc>
              <w:tc>
                <w:tcPr>
                  <w:tcW w:w="567" w:type="pct"/>
                  <w:vMerge w:val="continue"/>
                  <w:noWrap w:val="0"/>
                  <w:vAlign w:val="center"/>
                </w:tcPr>
                <w:p w14:paraId="441BCD30">
                  <w:pPr>
                    <w:spacing w:line="240" w:lineRule="auto"/>
                    <w:ind w:firstLine="0" w:firstLineChars="0"/>
                    <w:jc w:val="center"/>
                    <w:rPr>
                      <w:color w:val="auto"/>
                      <w:kern w:val="0"/>
                      <w:sz w:val="21"/>
                      <w:szCs w:val="21"/>
                      <w:highlight w:val="none"/>
                    </w:rPr>
                  </w:pPr>
                </w:p>
              </w:tc>
            </w:tr>
            <w:tr w14:paraId="54CA6E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30BFDFE4">
                  <w:pPr>
                    <w:spacing w:line="240" w:lineRule="auto"/>
                    <w:ind w:firstLine="0" w:firstLineChars="0"/>
                    <w:jc w:val="center"/>
                    <w:rPr>
                      <w:color w:val="auto"/>
                      <w:kern w:val="0"/>
                      <w:sz w:val="21"/>
                      <w:szCs w:val="21"/>
                      <w:highlight w:val="none"/>
                    </w:rPr>
                  </w:pPr>
                </w:p>
              </w:tc>
              <w:tc>
                <w:tcPr>
                  <w:tcW w:w="1402" w:type="pct"/>
                  <w:noWrap w:val="0"/>
                  <w:vAlign w:val="center"/>
                </w:tcPr>
                <w:p w14:paraId="75A5AE87">
                  <w:pPr>
                    <w:spacing w:line="240" w:lineRule="auto"/>
                    <w:ind w:firstLine="0" w:firstLineChars="0"/>
                    <w:jc w:val="center"/>
                    <w:rPr>
                      <w:color w:val="auto"/>
                      <w:kern w:val="0"/>
                      <w:sz w:val="21"/>
                      <w:szCs w:val="21"/>
                      <w:highlight w:val="none"/>
                    </w:rPr>
                  </w:pPr>
                  <w:r>
                    <w:rPr>
                      <w:color w:val="auto"/>
                      <w:kern w:val="0"/>
                      <w:sz w:val="21"/>
                      <w:szCs w:val="21"/>
                      <w:highlight w:val="none"/>
                    </w:rPr>
                    <w:t>1小时平均</w:t>
                  </w:r>
                </w:p>
              </w:tc>
              <w:tc>
                <w:tcPr>
                  <w:tcW w:w="1054" w:type="pct"/>
                  <w:noWrap w:val="0"/>
                  <w:vAlign w:val="center"/>
                </w:tcPr>
                <w:p w14:paraId="42561801">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200</w:t>
                  </w:r>
                </w:p>
              </w:tc>
              <w:tc>
                <w:tcPr>
                  <w:tcW w:w="1054" w:type="pct"/>
                  <w:noWrap w:val="0"/>
                  <w:vAlign w:val="center"/>
                </w:tcPr>
                <w:p w14:paraId="7BE198FA">
                  <w:pPr>
                    <w:spacing w:line="240" w:lineRule="auto"/>
                    <w:ind w:firstLine="0" w:firstLineChars="0"/>
                    <w:jc w:val="center"/>
                    <w:rPr>
                      <w:color w:val="auto"/>
                      <w:kern w:val="0"/>
                      <w:sz w:val="21"/>
                      <w:szCs w:val="21"/>
                      <w:highlight w:val="none"/>
                    </w:rPr>
                  </w:pPr>
                  <w:r>
                    <w:rPr>
                      <w:color w:val="auto"/>
                      <w:kern w:val="0"/>
                      <w:sz w:val="21"/>
                      <w:szCs w:val="21"/>
                      <w:highlight w:val="none"/>
                    </w:rPr>
                    <w:t>200</w:t>
                  </w:r>
                </w:p>
              </w:tc>
              <w:tc>
                <w:tcPr>
                  <w:tcW w:w="567" w:type="pct"/>
                  <w:vMerge w:val="continue"/>
                  <w:noWrap w:val="0"/>
                  <w:vAlign w:val="center"/>
                </w:tcPr>
                <w:p w14:paraId="4B545555">
                  <w:pPr>
                    <w:spacing w:line="240" w:lineRule="auto"/>
                    <w:ind w:firstLine="0" w:firstLineChars="0"/>
                    <w:jc w:val="center"/>
                    <w:rPr>
                      <w:color w:val="auto"/>
                      <w:kern w:val="0"/>
                      <w:sz w:val="21"/>
                      <w:szCs w:val="21"/>
                      <w:highlight w:val="none"/>
                    </w:rPr>
                  </w:pPr>
                </w:p>
              </w:tc>
            </w:tr>
            <w:tr w14:paraId="6F3A14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5FE6857D">
                  <w:pPr>
                    <w:spacing w:line="240" w:lineRule="auto"/>
                    <w:ind w:firstLine="0" w:firstLineChars="0"/>
                    <w:jc w:val="center"/>
                    <w:rPr>
                      <w:color w:val="auto"/>
                      <w:kern w:val="0"/>
                      <w:sz w:val="21"/>
                      <w:szCs w:val="21"/>
                      <w:highlight w:val="none"/>
                    </w:rPr>
                  </w:pPr>
                  <w:r>
                    <w:rPr>
                      <w:color w:val="auto"/>
                      <w:kern w:val="0"/>
                      <w:sz w:val="21"/>
                      <w:szCs w:val="21"/>
                      <w:highlight w:val="none"/>
                    </w:rPr>
                    <w:t>臭氧（O</w:t>
                  </w:r>
                  <w:r>
                    <w:rPr>
                      <w:color w:val="auto"/>
                      <w:kern w:val="0"/>
                      <w:sz w:val="21"/>
                      <w:szCs w:val="21"/>
                      <w:highlight w:val="none"/>
                      <w:vertAlign w:val="subscript"/>
                    </w:rPr>
                    <w:t>3</w:t>
                  </w:r>
                  <w:r>
                    <w:rPr>
                      <w:color w:val="auto"/>
                      <w:kern w:val="0"/>
                      <w:sz w:val="21"/>
                      <w:szCs w:val="21"/>
                      <w:highlight w:val="none"/>
                    </w:rPr>
                    <w:t>）</w:t>
                  </w:r>
                </w:p>
              </w:tc>
              <w:tc>
                <w:tcPr>
                  <w:tcW w:w="1402" w:type="pct"/>
                  <w:noWrap w:val="0"/>
                  <w:vAlign w:val="center"/>
                </w:tcPr>
                <w:p w14:paraId="2D58E412">
                  <w:pPr>
                    <w:spacing w:line="240" w:lineRule="auto"/>
                    <w:ind w:firstLine="0" w:firstLineChars="0"/>
                    <w:jc w:val="center"/>
                    <w:rPr>
                      <w:color w:val="auto"/>
                      <w:kern w:val="0"/>
                      <w:sz w:val="21"/>
                      <w:szCs w:val="21"/>
                      <w:highlight w:val="none"/>
                    </w:rPr>
                  </w:pPr>
                  <w:r>
                    <w:rPr>
                      <w:color w:val="auto"/>
                      <w:kern w:val="0"/>
                      <w:sz w:val="21"/>
                      <w:szCs w:val="21"/>
                      <w:highlight w:val="none"/>
                    </w:rPr>
                    <w:t>日最大8小时平均</w:t>
                  </w:r>
                </w:p>
              </w:tc>
              <w:tc>
                <w:tcPr>
                  <w:tcW w:w="1054" w:type="pct"/>
                  <w:noWrap w:val="0"/>
                  <w:vAlign w:val="center"/>
                </w:tcPr>
                <w:p w14:paraId="67B91064">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100</w:t>
                  </w:r>
                </w:p>
              </w:tc>
              <w:tc>
                <w:tcPr>
                  <w:tcW w:w="1054" w:type="pct"/>
                  <w:noWrap w:val="0"/>
                  <w:vAlign w:val="center"/>
                </w:tcPr>
                <w:p w14:paraId="0D1A894B">
                  <w:pPr>
                    <w:spacing w:line="240" w:lineRule="auto"/>
                    <w:ind w:firstLine="0" w:firstLineChars="0"/>
                    <w:jc w:val="center"/>
                    <w:rPr>
                      <w:color w:val="auto"/>
                      <w:kern w:val="0"/>
                      <w:sz w:val="21"/>
                      <w:szCs w:val="21"/>
                      <w:highlight w:val="none"/>
                    </w:rPr>
                  </w:pPr>
                  <w:r>
                    <w:rPr>
                      <w:color w:val="auto"/>
                      <w:kern w:val="0"/>
                      <w:sz w:val="21"/>
                      <w:szCs w:val="21"/>
                      <w:highlight w:val="none"/>
                    </w:rPr>
                    <w:t>160</w:t>
                  </w:r>
                </w:p>
              </w:tc>
              <w:tc>
                <w:tcPr>
                  <w:tcW w:w="567" w:type="pct"/>
                  <w:vMerge w:val="continue"/>
                  <w:noWrap w:val="0"/>
                  <w:vAlign w:val="center"/>
                </w:tcPr>
                <w:p w14:paraId="5842516D">
                  <w:pPr>
                    <w:spacing w:line="240" w:lineRule="auto"/>
                    <w:ind w:firstLine="0" w:firstLineChars="0"/>
                    <w:jc w:val="center"/>
                    <w:rPr>
                      <w:color w:val="auto"/>
                      <w:kern w:val="0"/>
                      <w:sz w:val="21"/>
                      <w:szCs w:val="21"/>
                      <w:highlight w:val="none"/>
                    </w:rPr>
                  </w:pPr>
                </w:p>
              </w:tc>
            </w:tr>
            <w:tr w14:paraId="4058E8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79449D57">
                  <w:pPr>
                    <w:spacing w:line="240" w:lineRule="auto"/>
                    <w:ind w:firstLine="0" w:firstLineChars="0"/>
                    <w:jc w:val="center"/>
                    <w:rPr>
                      <w:color w:val="auto"/>
                      <w:kern w:val="0"/>
                      <w:sz w:val="21"/>
                      <w:szCs w:val="21"/>
                      <w:highlight w:val="none"/>
                    </w:rPr>
                  </w:pPr>
                </w:p>
              </w:tc>
              <w:tc>
                <w:tcPr>
                  <w:tcW w:w="1402" w:type="pct"/>
                  <w:noWrap w:val="0"/>
                  <w:vAlign w:val="center"/>
                </w:tcPr>
                <w:p w14:paraId="33616DA2">
                  <w:pPr>
                    <w:spacing w:line="240" w:lineRule="auto"/>
                    <w:ind w:firstLine="0" w:firstLineChars="0"/>
                    <w:jc w:val="center"/>
                    <w:rPr>
                      <w:color w:val="auto"/>
                      <w:kern w:val="0"/>
                      <w:sz w:val="21"/>
                      <w:szCs w:val="21"/>
                      <w:highlight w:val="none"/>
                    </w:rPr>
                  </w:pPr>
                  <w:r>
                    <w:rPr>
                      <w:color w:val="auto"/>
                      <w:kern w:val="0"/>
                      <w:sz w:val="21"/>
                      <w:szCs w:val="21"/>
                      <w:highlight w:val="none"/>
                    </w:rPr>
                    <w:t>1小时平均</w:t>
                  </w:r>
                </w:p>
              </w:tc>
              <w:tc>
                <w:tcPr>
                  <w:tcW w:w="1054" w:type="pct"/>
                  <w:noWrap w:val="0"/>
                  <w:vAlign w:val="center"/>
                </w:tcPr>
                <w:p w14:paraId="1BA63146">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160</w:t>
                  </w:r>
                </w:p>
              </w:tc>
              <w:tc>
                <w:tcPr>
                  <w:tcW w:w="1054" w:type="pct"/>
                  <w:noWrap w:val="0"/>
                  <w:vAlign w:val="center"/>
                </w:tcPr>
                <w:p w14:paraId="2CE7DED5">
                  <w:pPr>
                    <w:spacing w:line="240" w:lineRule="auto"/>
                    <w:ind w:firstLine="0" w:firstLineChars="0"/>
                    <w:jc w:val="center"/>
                    <w:rPr>
                      <w:color w:val="auto"/>
                      <w:kern w:val="0"/>
                      <w:sz w:val="21"/>
                      <w:szCs w:val="21"/>
                      <w:highlight w:val="none"/>
                    </w:rPr>
                  </w:pPr>
                  <w:r>
                    <w:rPr>
                      <w:color w:val="auto"/>
                      <w:kern w:val="0"/>
                      <w:sz w:val="21"/>
                      <w:szCs w:val="21"/>
                      <w:highlight w:val="none"/>
                    </w:rPr>
                    <w:t>200</w:t>
                  </w:r>
                </w:p>
              </w:tc>
              <w:tc>
                <w:tcPr>
                  <w:tcW w:w="567" w:type="pct"/>
                  <w:vMerge w:val="continue"/>
                  <w:noWrap w:val="0"/>
                  <w:vAlign w:val="center"/>
                </w:tcPr>
                <w:p w14:paraId="7DEF94FB">
                  <w:pPr>
                    <w:spacing w:line="240" w:lineRule="auto"/>
                    <w:ind w:firstLine="0" w:firstLineChars="0"/>
                    <w:jc w:val="center"/>
                    <w:rPr>
                      <w:color w:val="auto"/>
                      <w:kern w:val="0"/>
                      <w:sz w:val="21"/>
                      <w:szCs w:val="21"/>
                      <w:highlight w:val="none"/>
                    </w:rPr>
                  </w:pPr>
                </w:p>
              </w:tc>
            </w:tr>
            <w:tr w14:paraId="581AAE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331D35AF">
                  <w:pPr>
                    <w:spacing w:line="240" w:lineRule="auto"/>
                    <w:ind w:firstLine="0" w:firstLineChars="0"/>
                    <w:jc w:val="center"/>
                    <w:rPr>
                      <w:color w:val="auto"/>
                      <w:kern w:val="0"/>
                      <w:sz w:val="21"/>
                      <w:szCs w:val="21"/>
                      <w:highlight w:val="none"/>
                    </w:rPr>
                  </w:pPr>
                  <w:r>
                    <w:rPr>
                      <w:color w:val="auto"/>
                      <w:kern w:val="0"/>
                      <w:sz w:val="21"/>
                      <w:szCs w:val="21"/>
                      <w:highlight w:val="none"/>
                    </w:rPr>
                    <w:t>PM</w:t>
                  </w:r>
                  <w:r>
                    <w:rPr>
                      <w:color w:val="auto"/>
                      <w:kern w:val="0"/>
                      <w:sz w:val="21"/>
                      <w:szCs w:val="21"/>
                      <w:highlight w:val="none"/>
                      <w:vertAlign w:val="subscript"/>
                    </w:rPr>
                    <w:t>10</w:t>
                  </w:r>
                </w:p>
              </w:tc>
              <w:tc>
                <w:tcPr>
                  <w:tcW w:w="1402" w:type="pct"/>
                  <w:noWrap w:val="0"/>
                  <w:vAlign w:val="center"/>
                </w:tcPr>
                <w:p w14:paraId="3AA0000E">
                  <w:pPr>
                    <w:spacing w:line="240" w:lineRule="auto"/>
                    <w:ind w:firstLine="0" w:firstLineChars="0"/>
                    <w:jc w:val="center"/>
                    <w:rPr>
                      <w:color w:val="auto"/>
                      <w:kern w:val="0"/>
                      <w:sz w:val="21"/>
                      <w:szCs w:val="21"/>
                      <w:highlight w:val="none"/>
                    </w:rPr>
                  </w:pPr>
                  <w:r>
                    <w:rPr>
                      <w:color w:val="auto"/>
                      <w:kern w:val="0"/>
                      <w:sz w:val="21"/>
                      <w:szCs w:val="21"/>
                      <w:highlight w:val="none"/>
                    </w:rPr>
                    <w:t>年平均</w:t>
                  </w:r>
                </w:p>
              </w:tc>
              <w:tc>
                <w:tcPr>
                  <w:tcW w:w="1054" w:type="pct"/>
                  <w:noWrap w:val="0"/>
                  <w:vAlign w:val="center"/>
                </w:tcPr>
                <w:p w14:paraId="2FF2B180">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40</w:t>
                  </w:r>
                </w:p>
              </w:tc>
              <w:tc>
                <w:tcPr>
                  <w:tcW w:w="1054" w:type="pct"/>
                  <w:noWrap w:val="0"/>
                  <w:vAlign w:val="center"/>
                </w:tcPr>
                <w:p w14:paraId="35567583">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60</w:t>
                  </w:r>
                </w:p>
              </w:tc>
              <w:tc>
                <w:tcPr>
                  <w:tcW w:w="567" w:type="pct"/>
                  <w:vMerge w:val="continue"/>
                  <w:noWrap w:val="0"/>
                  <w:vAlign w:val="center"/>
                </w:tcPr>
                <w:p w14:paraId="1C5331DC">
                  <w:pPr>
                    <w:spacing w:line="240" w:lineRule="auto"/>
                    <w:ind w:firstLine="0" w:firstLineChars="0"/>
                    <w:jc w:val="center"/>
                    <w:rPr>
                      <w:color w:val="auto"/>
                      <w:kern w:val="0"/>
                      <w:sz w:val="21"/>
                      <w:szCs w:val="21"/>
                      <w:highlight w:val="none"/>
                    </w:rPr>
                  </w:pPr>
                </w:p>
              </w:tc>
            </w:tr>
            <w:tr w14:paraId="67826D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1D5EAEB9">
                  <w:pPr>
                    <w:spacing w:line="240" w:lineRule="auto"/>
                    <w:ind w:firstLine="0" w:firstLineChars="0"/>
                    <w:jc w:val="center"/>
                    <w:rPr>
                      <w:color w:val="auto"/>
                      <w:kern w:val="0"/>
                      <w:sz w:val="21"/>
                      <w:szCs w:val="21"/>
                      <w:highlight w:val="none"/>
                    </w:rPr>
                  </w:pPr>
                </w:p>
              </w:tc>
              <w:tc>
                <w:tcPr>
                  <w:tcW w:w="1402" w:type="pct"/>
                  <w:noWrap w:val="0"/>
                  <w:vAlign w:val="center"/>
                </w:tcPr>
                <w:p w14:paraId="6E6A7BA0">
                  <w:pPr>
                    <w:spacing w:line="240" w:lineRule="auto"/>
                    <w:ind w:firstLine="0" w:firstLineChars="0"/>
                    <w:jc w:val="center"/>
                    <w:rPr>
                      <w:color w:val="auto"/>
                      <w:kern w:val="0"/>
                      <w:sz w:val="21"/>
                      <w:szCs w:val="21"/>
                      <w:highlight w:val="none"/>
                    </w:rPr>
                  </w:pPr>
                  <w:r>
                    <w:rPr>
                      <w:color w:val="auto"/>
                      <w:kern w:val="0"/>
                      <w:sz w:val="21"/>
                      <w:szCs w:val="21"/>
                      <w:highlight w:val="none"/>
                    </w:rPr>
                    <w:t>24小时平均</w:t>
                  </w:r>
                </w:p>
              </w:tc>
              <w:tc>
                <w:tcPr>
                  <w:tcW w:w="1054" w:type="pct"/>
                  <w:noWrap w:val="0"/>
                  <w:vAlign w:val="center"/>
                </w:tcPr>
                <w:p w14:paraId="6B044E8F">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50</w:t>
                  </w:r>
                </w:p>
              </w:tc>
              <w:tc>
                <w:tcPr>
                  <w:tcW w:w="1054" w:type="pct"/>
                  <w:noWrap w:val="0"/>
                  <w:vAlign w:val="center"/>
                </w:tcPr>
                <w:p w14:paraId="1682A2FD">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120</w:t>
                  </w:r>
                </w:p>
              </w:tc>
              <w:tc>
                <w:tcPr>
                  <w:tcW w:w="567" w:type="pct"/>
                  <w:vMerge w:val="continue"/>
                  <w:noWrap w:val="0"/>
                  <w:vAlign w:val="center"/>
                </w:tcPr>
                <w:p w14:paraId="2FFB824B">
                  <w:pPr>
                    <w:spacing w:line="240" w:lineRule="auto"/>
                    <w:ind w:firstLine="0" w:firstLineChars="0"/>
                    <w:jc w:val="center"/>
                    <w:rPr>
                      <w:color w:val="auto"/>
                      <w:kern w:val="0"/>
                      <w:sz w:val="21"/>
                      <w:szCs w:val="21"/>
                      <w:highlight w:val="none"/>
                    </w:rPr>
                  </w:pPr>
                </w:p>
              </w:tc>
            </w:tr>
            <w:tr w14:paraId="3EF0CB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7C976D48">
                  <w:pPr>
                    <w:spacing w:line="240" w:lineRule="auto"/>
                    <w:ind w:firstLine="0" w:firstLineChars="0"/>
                    <w:jc w:val="center"/>
                    <w:rPr>
                      <w:color w:val="auto"/>
                      <w:kern w:val="0"/>
                      <w:sz w:val="21"/>
                      <w:szCs w:val="21"/>
                      <w:highlight w:val="none"/>
                    </w:rPr>
                  </w:pPr>
                  <w:r>
                    <w:rPr>
                      <w:color w:val="auto"/>
                      <w:kern w:val="0"/>
                      <w:sz w:val="21"/>
                      <w:szCs w:val="21"/>
                      <w:highlight w:val="none"/>
                    </w:rPr>
                    <w:t>PM</w:t>
                  </w:r>
                  <w:r>
                    <w:rPr>
                      <w:color w:val="auto"/>
                      <w:kern w:val="0"/>
                      <w:sz w:val="21"/>
                      <w:szCs w:val="21"/>
                      <w:highlight w:val="none"/>
                      <w:vertAlign w:val="subscript"/>
                    </w:rPr>
                    <w:t>2.5</w:t>
                  </w:r>
                </w:p>
              </w:tc>
              <w:tc>
                <w:tcPr>
                  <w:tcW w:w="1402" w:type="pct"/>
                  <w:noWrap w:val="0"/>
                  <w:vAlign w:val="center"/>
                </w:tcPr>
                <w:p w14:paraId="0FFE2B9A">
                  <w:pPr>
                    <w:spacing w:line="240" w:lineRule="auto"/>
                    <w:ind w:firstLine="0" w:firstLineChars="0"/>
                    <w:jc w:val="center"/>
                    <w:rPr>
                      <w:color w:val="auto"/>
                      <w:kern w:val="0"/>
                      <w:sz w:val="21"/>
                      <w:szCs w:val="21"/>
                      <w:highlight w:val="none"/>
                    </w:rPr>
                  </w:pPr>
                  <w:r>
                    <w:rPr>
                      <w:color w:val="auto"/>
                      <w:kern w:val="0"/>
                      <w:sz w:val="21"/>
                      <w:szCs w:val="21"/>
                      <w:highlight w:val="none"/>
                    </w:rPr>
                    <w:t>年平均</w:t>
                  </w:r>
                </w:p>
              </w:tc>
              <w:tc>
                <w:tcPr>
                  <w:tcW w:w="1054" w:type="pct"/>
                  <w:noWrap w:val="0"/>
                  <w:vAlign w:val="center"/>
                </w:tcPr>
                <w:p w14:paraId="2A2F2841">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15</w:t>
                  </w:r>
                </w:p>
              </w:tc>
              <w:tc>
                <w:tcPr>
                  <w:tcW w:w="1054" w:type="pct"/>
                  <w:noWrap w:val="0"/>
                  <w:vAlign w:val="center"/>
                </w:tcPr>
                <w:p w14:paraId="481D1652">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30</w:t>
                  </w:r>
                </w:p>
              </w:tc>
              <w:tc>
                <w:tcPr>
                  <w:tcW w:w="567" w:type="pct"/>
                  <w:vMerge w:val="continue"/>
                  <w:noWrap w:val="0"/>
                  <w:vAlign w:val="center"/>
                </w:tcPr>
                <w:p w14:paraId="2C36B6D5">
                  <w:pPr>
                    <w:spacing w:line="240" w:lineRule="auto"/>
                    <w:ind w:firstLine="0" w:firstLineChars="0"/>
                    <w:jc w:val="center"/>
                    <w:rPr>
                      <w:color w:val="auto"/>
                      <w:kern w:val="0"/>
                      <w:sz w:val="21"/>
                      <w:szCs w:val="21"/>
                      <w:highlight w:val="none"/>
                    </w:rPr>
                  </w:pPr>
                </w:p>
              </w:tc>
            </w:tr>
            <w:tr w14:paraId="1F583C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34DE7BC3">
                  <w:pPr>
                    <w:spacing w:line="240" w:lineRule="auto"/>
                    <w:ind w:firstLine="0" w:firstLineChars="0"/>
                    <w:jc w:val="center"/>
                    <w:rPr>
                      <w:color w:val="auto"/>
                      <w:kern w:val="0"/>
                      <w:sz w:val="21"/>
                      <w:szCs w:val="21"/>
                      <w:highlight w:val="none"/>
                    </w:rPr>
                  </w:pPr>
                </w:p>
              </w:tc>
              <w:tc>
                <w:tcPr>
                  <w:tcW w:w="1402" w:type="pct"/>
                  <w:noWrap w:val="0"/>
                  <w:vAlign w:val="center"/>
                </w:tcPr>
                <w:p w14:paraId="5EC8C53C">
                  <w:pPr>
                    <w:spacing w:line="240" w:lineRule="auto"/>
                    <w:ind w:firstLine="0" w:firstLineChars="0"/>
                    <w:jc w:val="center"/>
                    <w:rPr>
                      <w:color w:val="auto"/>
                      <w:kern w:val="0"/>
                      <w:sz w:val="21"/>
                      <w:szCs w:val="21"/>
                      <w:highlight w:val="none"/>
                    </w:rPr>
                  </w:pPr>
                  <w:r>
                    <w:rPr>
                      <w:color w:val="auto"/>
                      <w:kern w:val="0"/>
                      <w:sz w:val="21"/>
                      <w:szCs w:val="21"/>
                      <w:highlight w:val="none"/>
                    </w:rPr>
                    <w:t>24小时平均</w:t>
                  </w:r>
                </w:p>
              </w:tc>
              <w:tc>
                <w:tcPr>
                  <w:tcW w:w="1054" w:type="pct"/>
                  <w:noWrap w:val="0"/>
                  <w:vAlign w:val="center"/>
                </w:tcPr>
                <w:p w14:paraId="6B7F7E5F">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35</w:t>
                  </w:r>
                </w:p>
              </w:tc>
              <w:tc>
                <w:tcPr>
                  <w:tcW w:w="1054" w:type="pct"/>
                  <w:noWrap w:val="0"/>
                  <w:vAlign w:val="center"/>
                </w:tcPr>
                <w:p w14:paraId="1D64849F">
                  <w:pPr>
                    <w:spacing w:line="240" w:lineRule="auto"/>
                    <w:ind w:firstLine="0" w:firstLineChars="0"/>
                    <w:jc w:val="center"/>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60</w:t>
                  </w:r>
                </w:p>
              </w:tc>
              <w:tc>
                <w:tcPr>
                  <w:tcW w:w="567" w:type="pct"/>
                  <w:vMerge w:val="continue"/>
                  <w:noWrap w:val="0"/>
                  <w:vAlign w:val="center"/>
                </w:tcPr>
                <w:p w14:paraId="026653B7">
                  <w:pPr>
                    <w:spacing w:line="240" w:lineRule="auto"/>
                    <w:ind w:firstLine="0" w:firstLineChars="0"/>
                    <w:jc w:val="center"/>
                    <w:rPr>
                      <w:color w:val="auto"/>
                      <w:kern w:val="0"/>
                      <w:sz w:val="21"/>
                      <w:szCs w:val="21"/>
                      <w:highlight w:val="none"/>
                    </w:rPr>
                  </w:pPr>
                </w:p>
              </w:tc>
            </w:tr>
            <w:tr w14:paraId="28B31E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73A978DD">
                  <w:pPr>
                    <w:spacing w:line="240" w:lineRule="auto"/>
                    <w:ind w:firstLine="0" w:firstLineChars="0"/>
                    <w:jc w:val="center"/>
                    <w:rPr>
                      <w:color w:val="auto"/>
                      <w:kern w:val="0"/>
                      <w:sz w:val="21"/>
                      <w:szCs w:val="21"/>
                      <w:highlight w:val="none"/>
                    </w:rPr>
                  </w:pPr>
                  <w:r>
                    <w:rPr>
                      <w:color w:val="auto"/>
                      <w:kern w:val="0"/>
                      <w:sz w:val="21"/>
                      <w:szCs w:val="21"/>
                      <w:highlight w:val="none"/>
                    </w:rPr>
                    <w:t>CO</w:t>
                  </w:r>
                </w:p>
              </w:tc>
              <w:tc>
                <w:tcPr>
                  <w:tcW w:w="1402" w:type="pct"/>
                  <w:noWrap w:val="0"/>
                  <w:vAlign w:val="center"/>
                </w:tcPr>
                <w:p w14:paraId="431A1EB2">
                  <w:pPr>
                    <w:spacing w:line="240" w:lineRule="auto"/>
                    <w:ind w:firstLine="0" w:firstLineChars="0"/>
                    <w:jc w:val="center"/>
                    <w:rPr>
                      <w:color w:val="auto"/>
                      <w:kern w:val="0"/>
                      <w:sz w:val="21"/>
                      <w:szCs w:val="21"/>
                      <w:highlight w:val="none"/>
                    </w:rPr>
                  </w:pPr>
                  <w:r>
                    <w:rPr>
                      <w:color w:val="auto"/>
                      <w:kern w:val="0"/>
                      <w:sz w:val="21"/>
                      <w:szCs w:val="21"/>
                      <w:highlight w:val="none"/>
                    </w:rPr>
                    <w:t>24小时平均</w:t>
                  </w:r>
                </w:p>
              </w:tc>
              <w:tc>
                <w:tcPr>
                  <w:tcW w:w="1054" w:type="pct"/>
                  <w:noWrap w:val="0"/>
                  <w:vAlign w:val="center"/>
                </w:tcPr>
                <w:p w14:paraId="77DDFE2D">
                  <w:pPr>
                    <w:spacing w:line="240" w:lineRule="auto"/>
                    <w:ind w:firstLine="0" w:firstLineChars="0"/>
                    <w:jc w:val="center"/>
                    <w:rPr>
                      <w:rFonts w:hint="eastAsia"/>
                      <w:color w:val="auto"/>
                      <w:kern w:val="0"/>
                      <w:sz w:val="21"/>
                      <w:szCs w:val="21"/>
                      <w:highlight w:val="none"/>
                    </w:rPr>
                  </w:pPr>
                  <w:r>
                    <w:rPr>
                      <w:rFonts w:hint="eastAsia"/>
                      <w:color w:val="auto"/>
                      <w:kern w:val="0"/>
                      <w:sz w:val="21"/>
                      <w:szCs w:val="21"/>
                      <w:highlight w:val="none"/>
                    </w:rPr>
                    <w:t>4</w:t>
                  </w:r>
                </w:p>
              </w:tc>
              <w:tc>
                <w:tcPr>
                  <w:tcW w:w="1054" w:type="pct"/>
                  <w:noWrap w:val="0"/>
                  <w:vAlign w:val="center"/>
                </w:tcPr>
                <w:p w14:paraId="68C5DD1C">
                  <w:pPr>
                    <w:spacing w:line="240" w:lineRule="auto"/>
                    <w:ind w:firstLine="0" w:firstLineChars="0"/>
                    <w:jc w:val="center"/>
                    <w:rPr>
                      <w:color w:val="auto"/>
                      <w:kern w:val="0"/>
                      <w:sz w:val="21"/>
                      <w:szCs w:val="21"/>
                      <w:highlight w:val="none"/>
                    </w:rPr>
                  </w:pPr>
                  <w:r>
                    <w:rPr>
                      <w:color w:val="auto"/>
                      <w:kern w:val="0"/>
                      <w:sz w:val="21"/>
                      <w:szCs w:val="21"/>
                      <w:highlight w:val="none"/>
                    </w:rPr>
                    <w:t>4</w:t>
                  </w:r>
                </w:p>
              </w:tc>
              <w:tc>
                <w:tcPr>
                  <w:tcW w:w="567" w:type="pct"/>
                  <w:vMerge w:val="restart"/>
                  <w:noWrap w:val="0"/>
                  <w:vAlign w:val="center"/>
                </w:tcPr>
                <w:p w14:paraId="73EDD2E5">
                  <w:pPr>
                    <w:spacing w:line="240" w:lineRule="auto"/>
                    <w:ind w:firstLine="0" w:firstLineChars="0"/>
                    <w:jc w:val="center"/>
                    <w:rPr>
                      <w:color w:val="auto"/>
                      <w:kern w:val="0"/>
                      <w:sz w:val="21"/>
                      <w:szCs w:val="21"/>
                      <w:highlight w:val="none"/>
                    </w:rPr>
                  </w:pPr>
                  <w:r>
                    <w:rPr>
                      <w:color w:val="auto"/>
                      <w:kern w:val="0"/>
                      <w:sz w:val="21"/>
                      <w:szCs w:val="21"/>
                      <w:highlight w:val="none"/>
                    </w:rPr>
                    <w:t>mg/m</w:t>
                  </w:r>
                  <w:r>
                    <w:rPr>
                      <w:color w:val="auto"/>
                      <w:kern w:val="0"/>
                      <w:sz w:val="21"/>
                      <w:szCs w:val="21"/>
                      <w:highlight w:val="none"/>
                      <w:vertAlign w:val="superscript"/>
                    </w:rPr>
                    <w:t>3</w:t>
                  </w:r>
                </w:p>
              </w:tc>
            </w:tr>
            <w:tr w14:paraId="7554D5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46890F1C">
                  <w:pPr>
                    <w:spacing w:line="240" w:lineRule="auto"/>
                    <w:ind w:firstLine="0" w:firstLineChars="0"/>
                    <w:jc w:val="center"/>
                    <w:rPr>
                      <w:color w:val="auto"/>
                      <w:kern w:val="0"/>
                      <w:sz w:val="21"/>
                      <w:szCs w:val="21"/>
                      <w:highlight w:val="none"/>
                    </w:rPr>
                  </w:pPr>
                </w:p>
              </w:tc>
              <w:tc>
                <w:tcPr>
                  <w:tcW w:w="1402" w:type="pct"/>
                  <w:noWrap w:val="0"/>
                  <w:vAlign w:val="center"/>
                </w:tcPr>
                <w:p w14:paraId="7E500147">
                  <w:pPr>
                    <w:spacing w:line="240" w:lineRule="auto"/>
                    <w:ind w:firstLine="0" w:firstLineChars="0"/>
                    <w:jc w:val="center"/>
                    <w:rPr>
                      <w:color w:val="auto"/>
                      <w:kern w:val="0"/>
                      <w:sz w:val="21"/>
                      <w:szCs w:val="21"/>
                      <w:highlight w:val="none"/>
                    </w:rPr>
                  </w:pPr>
                  <w:r>
                    <w:rPr>
                      <w:color w:val="auto"/>
                      <w:kern w:val="0"/>
                      <w:sz w:val="21"/>
                      <w:szCs w:val="21"/>
                      <w:highlight w:val="none"/>
                    </w:rPr>
                    <w:t>1小时平均</w:t>
                  </w:r>
                </w:p>
              </w:tc>
              <w:tc>
                <w:tcPr>
                  <w:tcW w:w="1054" w:type="pct"/>
                  <w:noWrap w:val="0"/>
                  <w:vAlign w:val="center"/>
                </w:tcPr>
                <w:p w14:paraId="7BE7137B">
                  <w:pPr>
                    <w:spacing w:line="240" w:lineRule="auto"/>
                    <w:ind w:firstLine="0" w:firstLineChars="0"/>
                    <w:jc w:val="center"/>
                    <w:rPr>
                      <w:rFonts w:hint="eastAsia"/>
                      <w:color w:val="auto"/>
                      <w:kern w:val="0"/>
                      <w:sz w:val="21"/>
                      <w:szCs w:val="21"/>
                      <w:highlight w:val="none"/>
                    </w:rPr>
                  </w:pPr>
                  <w:r>
                    <w:rPr>
                      <w:rFonts w:hint="eastAsia"/>
                      <w:color w:val="auto"/>
                      <w:kern w:val="0"/>
                      <w:sz w:val="21"/>
                      <w:szCs w:val="21"/>
                      <w:highlight w:val="none"/>
                    </w:rPr>
                    <w:t>10</w:t>
                  </w:r>
                </w:p>
              </w:tc>
              <w:tc>
                <w:tcPr>
                  <w:tcW w:w="1054" w:type="pct"/>
                  <w:noWrap w:val="0"/>
                  <w:vAlign w:val="center"/>
                </w:tcPr>
                <w:p w14:paraId="3EA0FF20">
                  <w:pPr>
                    <w:spacing w:line="240" w:lineRule="auto"/>
                    <w:ind w:firstLine="0" w:firstLineChars="0"/>
                    <w:jc w:val="center"/>
                    <w:rPr>
                      <w:color w:val="auto"/>
                      <w:kern w:val="0"/>
                      <w:sz w:val="21"/>
                      <w:szCs w:val="21"/>
                      <w:highlight w:val="none"/>
                    </w:rPr>
                  </w:pPr>
                  <w:r>
                    <w:rPr>
                      <w:color w:val="auto"/>
                      <w:kern w:val="0"/>
                      <w:sz w:val="21"/>
                      <w:szCs w:val="21"/>
                      <w:highlight w:val="none"/>
                    </w:rPr>
                    <w:t>10</w:t>
                  </w:r>
                </w:p>
              </w:tc>
              <w:tc>
                <w:tcPr>
                  <w:tcW w:w="567" w:type="pct"/>
                  <w:vMerge w:val="continue"/>
                  <w:noWrap w:val="0"/>
                  <w:vAlign w:val="center"/>
                </w:tcPr>
                <w:p w14:paraId="4842062A">
                  <w:pPr>
                    <w:spacing w:line="240" w:lineRule="auto"/>
                    <w:ind w:firstLine="0" w:firstLineChars="0"/>
                    <w:jc w:val="center"/>
                    <w:rPr>
                      <w:color w:val="auto"/>
                      <w:kern w:val="0"/>
                      <w:sz w:val="21"/>
                      <w:szCs w:val="21"/>
                      <w:highlight w:val="none"/>
                    </w:rPr>
                  </w:pPr>
                </w:p>
              </w:tc>
            </w:tr>
            <w:tr w14:paraId="4CE040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restart"/>
                  <w:noWrap w:val="0"/>
                  <w:vAlign w:val="center"/>
                </w:tcPr>
                <w:p w14:paraId="713F8448">
                  <w:pPr>
                    <w:spacing w:line="240" w:lineRule="auto"/>
                    <w:ind w:firstLine="0" w:firstLineChars="0"/>
                    <w:jc w:val="center"/>
                    <w:rPr>
                      <w:color w:val="auto"/>
                      <w:kern w:val="0"/>
                      <w:sz w:val="21"/>
                      <w:szCs w:val="21"/>
                      <w:highlight w:val="none"/>
                    </w:rPr>
                  </w:pPr>
                  <w:r>
                    <w:rPr>
                      <w:color w:val="auto"/>
                      <w:kern w:val="0"/>
                      <w:sz w:val="21"/>
                      <w:szCs w:val="21"/>
                      <w:highlight w:val="none"/>
                    </w:rPr>
                    <w:t>总悬浮颗粒物（TSP）</w:t>
                  </w:r>
                </w:p>
              </w:tc>
              <w:tc>
                <w:tcPr>
                  <w:tcW w:w="1402" w:type="pct"/>
                  <w:noWrap w:val="0"/>
                  <w:vAlign w:val="center"/>
                </w:tcPr>
                <w:p w14:paraId="451ED35F">
                  <w:pPr>
                    <w:spacing w:line="240" w:lineRule="auto"/>
                    <w:ind w:firstLine="0" w:firstLineChars="0"/>
                    <w:jc w:val="center"/>
                    <w:rPr>
                      <w:color w:val="auto"/>
                      <w:kern w:val="0"/>
                      <w:sz w:val="21"/>
                      <w:szCs w:val="21"/>
                      <w:highlight w:val="none"/>
                    </w:rPr>
                  </w:pPr>
                  <w:r>
                    <w:rPr>
                      <w:color w:val="auto"/>
                      <w:kern w:val="0"/>
                      <w:sz w:val="21"/>
                      <w:szCs w:val="21"/>
                      <w:highlight w:val="none"/>
                    </w:rPr>
                    <w:t>年平均</w:t>
                  </w:r>
                </w:p>
              </w:tc>
              <w:tc>
                <w:tcPr>
                  <w:tcW w:w="1054" w:type="pct"/>
                  <w:noWrap w:val="0"/>
                  <w:vAlign w:val="center"/>
                </w:tcPr>
                <w:p w14:paraId="476753E6">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80</w:t>
                  </w:r>
                </w:p>
              </w:tc>
              <w:tc>
                <w:tcPr>
                  <w:tcW w:w="1054" w:type="pct"/>
                  <w:noWrap w:val="0"/>
                  <w:vAlign w:val="center"/>
                </w:tcPr>
                <w:p w14:paraId="67756367">
                  <w:pPr>
                    <w:spacing w:line="240" w:lineRule="auto"/>
                    <w:ind w:firstLine="0" w:firstLineChars="0"/>
                    <w:jc w:val="center"/>
                    <w:rPr>
                      <w:color w:val="auto"/>
                      <w:kern w:val="0"/>
                      <w:sz w:val="21"/>
                      <w:szCs w:val="21"/>
                      <w:highlight w:val="none"/>
                    </w:rPr>
                  </w:pPr>
                  <w:r>
                    <w:rPr>
                      <w:color w:val="auto"/>
                      <w:kern w:val="0"/>
                      <w:sz w:val="21"/>
                      <w:szCs w:val="21"/>
                      <w:highlight w:val="none"/>
                    </w:rPr>
                    <w:t>200</w:t>
                  </w:r>
                </w:p>
              </w:tc>
              <w:tc>
                <w:tcPr>
                  <w:tcW w:w="567" w:type="pct"/>
                  <w:vMerge w:val="restart"/>
                  <w:noWrap w:val="0"/>
                  <w:vAlign w:val="center"/>
                </w:tcPr>
                <w:p w14:paraId="06AB8EC1">
                  <w:pPr>
                    <w:spacing w:line="240" w:lineRule="auto"/>
                    <w:ind w:firstLine="0" w:firstLineChars="0"/>
                    <w:jc w:val="center"/>
                    <w:rPr>
                      <w:color w:val="auto"/>
                      <w:kern w:val="0"/>
                      <w:sz w:val="21"/>
                      <w:szCs w:val="21"/>
                      <w:highlight w:val="none"/>
                    </w:rPr>
                  </w:pPr>
                  <w:r>
                    <w:rPr>
                      <w:color w:val="auto"/>
                      <w:kern w:val="0"/>
                      <w:sz w:val="21"/>
                      <w:szCs w:val="21"/>
                      <w:highlight w:val="none"/>
                    </w:rPr>
                    <w:t>μg/m</w:t>
                  </w:r>
                  <w:r>
                    <w:rPr>
                      <w:color w:val="auto"/>
                      <w:kern w:val="0"/>
                      <w:sz w:val="21"/>
                      <w:szCs w:val="21"/>
                      <w:highlight w:val="none"/>
                      <w:vertAlign w:val="superscript"/>
                    </w:rPr>
                    <w:t>3</w:t>
                  </w:r>
                </w:p>
              </w:tc>
            </w:tr>
            <w:tr w14:paraId="6B9E8C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1" w:type="pct"/>
                  <w:vMerge w:val="continue"/>
                  <w:noWrap w:val="0"/>
                  <w:vAlign w:val="center"/>
                </w:tcPr>
                <w:p w14:paraId="38B71177">
                  <w:pPr>
                    <w:spacing w:line="240" w:lineRule="auto"/>
                    <w:ind w:firstLine="0" w:firstLineChars="0"/>
                    <w:jc w:val="center"/>
                    <w:rPr>
                      <w:color w:val="auto"/>
                      <w:kern w:val="0"/>
                      <w:sz w:val="21"/>
                      <w:szCs w:val="21"/>
                      <w:highlight w:val="none"/>
                    </w:rPr>
                  </w:pPr>
                </w:p>
              </w:tc>
              <w:tc>
                <w:tcPr>
                  <w:tcW w:w="1402" w:type="pct"/>
                  <w:noWrap w:val="0"/>
                  <w:vAlign w:val="center"/>
                </w:tcPr>
                <w:p w14:paraId="1D9E5860">
                  <w:pPr>
                    <w:spacing w:line="240" w:lineRule="auto"/>
                    <w:ind w:firstLine="0" w:firstLineChars="0"/>
                    <w:jc w:val="center"/>
                    <w:rPr>
                      <w:color w:val="auto"/>
                      <w:kern w:val="0"/>
                      <w:sz w:val="21"/>
                      <w:szCs w:val="21"/>
                      <w:highlight w:val="none"/>
                    </w:rPr>
                  </w:pPr>
                  <w:r>
                    <w:rPr>
                      <w:color w:val="auto"/>
                      <w:kern w:val="0"/>
                      <w:sz w:val="21"/>
                      <w:szCs w:val="21"/>
                      <w:highlight w:val="none"/>
                    </w:rPr>
                    <w:t>24小时平均</w:t>
                  </w:r>
                </w:p>
              </w:tc>
              <w:tc>
                <w:tcPr>
                  <w:tcW w:w="1054" w:type="pct"/>
                  <w:noWrap w:val="0"/>
                  <w:vAlign w:val="center"/>
                </w:tcPr>
                <w:p w14:paraId="1653993F">
                  <w:pPr>
                    <w:spacing w:line="240" w:lineRule="auto"/>
                    <w:ind w:firstLine="0" w:firstLineChars="0"/>
                    <w:jc w:val="center"/>
                    <w:rPr>
                      <w:color w:val="auto"/>
                      <w:kern w:val="0"/>
                      <w:sz w:val="21"/>
                      <w:szCs w:val="21"/>
                      <w:highlight w:val="none"/>
                    </w:rPr>
                  </w:pPr>
                  <w:r>
                    <w:rPr>
                      <w:rFonts w:hint="eastAsia"/>
                      <w:color w:val="auto"/>
                      <w:kern w:val="0"/>
                      <w:sz w:val="21"/>
                      <w:szCs w:val="21"/>
                      <w:highlight w:val="none"/>
                    </w:rPr>
                    <w:t>120</w:t>
                  </w:r>
                </w:p>
              </w:tc>
              <w:tc>
                <w:tcPr>
                  <w:tcW w:w="1054" w:type="pct"/>
                  <w:noWrap w:val="0"/>
                  <w:vAlign w:val="center"/>
                </w:tcPr>
                <w:p w14:paraId="7DED3217">
                  <w:pPr>
                    <w:spacing w:line="240" w:lineRule="auto"/>
                    <w:ind w:firstLine="0" w:firstLineChars="0"/>
                    <w:jc w:val="center"/>
                    <w:rPr>
                      <w:color w:val="auto"/>
                      <w:kern w:val="0"/>
                      <w:sz w:val="21"/>
                      <w:szCs w:val="21"/>
                      <w:highlight w:val="none"/>
                    </w:rPr>
                  </w:pPr>
                  <w:r>
                    <w:rPr>
                      <w:color w:val="auto"/>
                      <w:kern w:val="0"/>
                      <w:sz w:val="21"/>
                      <w:szCs w:val="21"/>
                      <w:highlight w:val="none"/>
                    </w:rPr>
                    <w:t>300</w:t>
                  </w:r>
                </w:p>
              </w:tc>
              <w:tc>
                <w:tcPr>
                  <w:tcW w:w="567" w:type="pct"/>
                  <w:vMerge w:val="continue"/>
                  <w:noWrap w:val="0"/>
                  <w:vAlign w:val="center"/>
                </w:tcPr>
                <w:p w14:paraId="019CFDE6">
                  <w:pPr>
                    <w:spacing w:line="240" w:lineRule="auto"/>
                    <w:ind w:firstLine="0" w:firstLineChars="0"/>
                    <w:jc w:val="center"/>
                    <w:rPr>
                      <w:color w:val="auto"/>
                      <w:kern w:val="0"/>
                      <w:sz w:val="21"/>
                      <w:szCs w:val="21"/>
                      <w:highlight w:val="none"/>
                    </w:rPr>
                  </w:pPr>
                </w:p>
              </w:tc>
            </w:tr>
          </w:tbl>
          <w:p w14:paraId="3876F581">
            <w:pPr>
              <w:adjustRightInd w:val="0"/>
              <w:snapToGrid w:val="0"/>
              <w:ind w:firstLine="480"/>
              <w:rPr>
                <w:color w:val="auto"/>
                <w:kern w:val="0"/>
                <w:highlight w:val="none"/>
              </w:rPr>
            </w:pPr>
            <w:r>
              <w:rPr>
                <w:rFonts w:hint="eastAsia"/>
                <w:color w:val="auto"/>
                <w:kern w:val="0"/>
                <w:highlight w:val="none"/>
                <w:lang w:eastAsia="zh-CN"/>
              </w:rPr>
              <w:t>（</w:t>
            </w:r>
            <w:r>
              <w:rPr>
                <w:rFonts w:hint="eastAsia"/>
                <w:color w:val="auto"/>
                <w:kern w:val="0"/>
                <w:highlight w:val="none"/>
                <w:lang w:val="en-US" w:eastAsia="zh-CN"/>
              </w:rPr>
              <w:t>2</w:t>
            </w:r>
            <w:r>
              <w:rPr>
                <w:rFonts w:hint="eastAsia"/>
                <w:color w:val="auto"/>
                <w:kern w:val="0"/>
                <w:highlight w:val="none"/>
                <w:lang w:eastAsia="zh-CN"/>
              </w:rPr>
              <w:t>）</w:t>
            </w:r>
            <w:r>
              <w:rPr>
                <w:color w:val="auto"/>
                <w:kern w:val="0"/>
                <w:highlight w:val="none"/>
              </w:rPr>
              <w:t>地表水环境</w:t>
            </w:r>
          </w:p>
          <w:p w14:paraId="088F05B7">
            <w:pPr>
              <w:adjustRightInd w:val="0"/>
              <w:snapToGrid w:val="0"/>
              <w:ind w:firstLine="480"/>
              <w:rPr>
                <w:rFonts w:hint="eastAsia"/>
                <w:color w:val="auto"/>
                <w:kern w:val="0"/>
                <w:highlight w:val="none"/>
                <w:lang w:val="en-US" w:eastAsia="zh-CN"/>
              </w:rPr>
            </w:pPr>
            <w:r>
              <w:rPr>
                <w:rFonts w:hint="eastAsia" w:ascii="宋体" w:hAnsi="宋体" w:eastAsia="宋体" w:cs="宋体"/>
                <w:color w:val="auto"/>
                <w:kern w:val="0"/>
                <w:sz w:val="24"/>
                <w:szCs w:val="24"/>
                <w:highlight w:val="none"/>
                <w:lang w:eastAsia="zh-CN"/>
              </w:rPr>
              <w:t>本项目利用桥梁跨越挠力河、蛤蟆通河支流。</w:t>
            </w:r>
            <w:r>
              <w:rPr>
                <w:color w:val="auto"/>
                <w:kern w:val="0"/>
                <w:highlight w:val="none"/>
              </w:rPr>
              <w:t>执行《地表水环境质量标准》（GB3838</w:t>
            </w:r>
            <w:r>
              <w:rPr>
                <w:rFonts w:hint="eastAsia" w:eastAsia="黑体" w:cs="Times New Roman"/>
                <w:color w:val="auto"/>
                <w:sz w:val="24"/>
                <w:szCs w:val="24"/>
                <w:highlight w:val="none"/>
                <w:lang w:val="en-US" w:eastAsia="zh-CN"/>
              </w:rPr>
              <w:t>—</w:t>
            </w:r>
            <w:r>
              <w:rPr>
                <w:color w:val="auto"/>
                <w:kern w:val="0"/>
                <w:highlight w:val="none"/>
              </w:rPr>
              <w:t>2002）中</w:t>
            </w:r>
            <w:r>
              <w:rPr>
                <w:color w:val="auto"/>
                <w:highlight w:val="none"/>
              </w:rPr>
              <w:t>Ⅲ类</w:t>
            </w:r>
            <w:r>
              <w:rPr>
                <w:rFonts w:hint="eastAsia"/>
                <w:color w:val="auto"/>
                <w:highlight w:val="none"/>
                <w:lang w:eastAsia="zh-CN"/>
              </w:rPr>
              <w:t>、</w:t>
            </w:r>
            <w:r>
              <w:rPr>
                <w:rFonts w:hint="eastAsia" w:ascii="宋体" w:hAnsi="宋体" w:eastAsia="宋体" w:cs="宋体"/>
                <w:color w:val="auto"/>
                <w:kern w:val="0"/>
                <w:sz w:val="24"/>
                <w:szCs w:val="24"/>
                <w:highlight w:val="none"/>
                <w:lang w:eastAsia="zh-CN"/>
              </w:rPr>
              <w:fldChar w:fldCharType="begin"/>
            </w:r>
            <w:r>
              <w:rPr>
                <w:rFonts w:hint="eastAsia" w:ascii="宋体" w:hAnsi="宋体" w:eastAsia="宋体" w:cs="宋体"/>
                <w:color w:val="auto"/>
                <w:kern w:val="0"/>
                <w:sz w:val="24"/>
                <w:szCs w:val="24"/>
                <w:highlight w:val="none"/>
                <w:lang w:eastAsia="zh-CN"/>
              </w:rPr>
              <w:instrText xml:space="preserve"> = 4 \* ROMAN \* MERGEFORMAT </w:instrText>
            </w:r>
            <w:r>
              <w:rPr>
                <w:rFonts w:hint="eastAsia" w:ascii="宋体" w:hAnsi="宋体" w:eastAsia="宋体" w:cs="宋体"/>
                <w:color w:val="auto"/>
                <w:kern w:val="0"/>
                <w:sz w:val="24"/>
                <w:szCs w:val="24"/>
                <w:highlight w:val="none"/>
                <w:lang w:eastAsia="zh-CN"/>
              </w:rPr>
              <w:fldChar w:fldCharType="separate"/>
            </w:r>
            <w:r>
              <w:rPr>
                <w:rFonts w:hint="eastAsia" w:ascii="宋体" w:hAnsi="宋体" w:eastAsia="宋体" w:cs="宋体"/>
                <w:color w:val="auto"/>
                <w:kern w:val="0"/>
                <w:sz w:val="24"/>
                <w:szCs w:val="24"/>
                <w:highlight w:val="none"/>
                <w:lang w:eastAsia="zh-CN"/>
              </w:rPr>
              <w:t>IV</w:t>
            </w:r>
            <w:r>
              <w:rPr>
                <w:rFonts w:hint="eastAsia" w:ascii="宋体" w:hAnsi="宋体" w:eastAsia="宋体" w:cs="宋体"/>
                <w:color w:val="auto"/>
                <w:kern w:val="0"/>
                <w:sz w:val="24"/>
                <w:szCs w:val="24"/>
                <w:highlight w:val="none"/>
                <w:lang w:eastAsia="zh-CN"/>
              </w:rPr>
              <w:fldChar w:fldCharType="end"/>
            </w:r>
            <w:r>
              <w:rPr>
                <w:rFonts w:hint="eastAsia" w:ascii="宋体" w:hAnsi="宋体" w:eastAsia="宋体" w:cs="宋体"/>
                <w:color w:val="auto"/>
                <w:kern w:val="0"/>
                <w:sz w:val="24"/>
                <w:szCs w:val="24"/>
                <w:highlight w:val="none"/>
                <w:lang w:eastAsia="zh-CN"/>
              </w:rPr>
              <w:t>类</w:t>
            </w:r>
            <w:r>
              <w:rPr>
                <w:color w:val="auto"/>
                <w:highlight w:val="none"/>
              </w:rPr>
              <w:t>标准</w:t>
            </w:r>
            <w:r>
              <w:rPr>
                <w:color w:val="auto"/>
                <w:kern w:val="0"/>
                <w:highlight w:val="none"/>
              </w:rPr>
              <w:t>，详见表</w:t>
            </w:r>
            <w:r>
              <w:rPr>
                <w:rFonts w:hint="eastAsia"/>
                <w:color w:val="auto"/>
                <w:kern w:val="0"/>
                <w:highlight w:val="none"/>
                <w:lang w:val="en-US" w:eastAsia="zh-CN"/>
              </w:rPr>
              <w:t>3-12。</w:t>
            </w:r>
          </w:p>
          <w:p w14:paraId="7E3D5C56">
            <w:pPr>
              <w:pStyle w:val="28"/>
              <w:rPr>
                <w:rFonts w:hint="default" w:eastAsia="黑体"/>
                <w:color w:val="auto"/>
                <w:highlight w:val="none"/>
                <w:lang w:val="en-US" w:eastAsia="zh-CN"/>
              </w:rPr>
            </w:pPr>
            <w:r>
              <w:rPr>
                <w:color w:val="auto"/>
                <w:highlight w:val="none"/>
              </w:rPr>
              <w:t>表3-</w:t>
            </w:r>
            <w:r>
              <w:rPr>
                <w:rFonts w:hint="eastAsia"/>
                <w:color w:val="auto"/>
                <w:highlight w:val="none"/>
                <w:lang w:val="en-US" w:eastAsia="zh-CN"/>
              </w:rPr>
              <w:t xml:space="preserve">12 </w:t>
            </w:r>
            <w:r>
              <w:rPr>
                <w:color w:val="auto"/>
                <w:highlight w:val="none"/>
              </w:rPr>
              <w:t xml:space="preserve"> 地表水环境质量标准</w:t>
            </w:r>
            <w:r>
              <w:rPr>
                <w:rFonts w:hint="eastAsia"/>
                <w:color w:val="auto"/>
                <w:highlight w:val="none"/>
                <w:lang w:val="en-US" w:eastAsia="zh-CN"/>
              </w:rPr>
              <w:t xml:space="preserve">  </w:t>
            </w:r>
            <w:r>
              <w:rPr>
                <w:rFonts w:hint="eastAsia"/>
                <w:color w:val="auto"/>
                <w:highlight w:val="none"/>
              </w:rPr>
              <w:t>单位：m</w:t>
            </w:r>
            <w:r>
              <w:rPr>
                <w:color w:val="auto"/>
                <w:highlight w:val="none"/>
              </w:rPr>
              <w:t>g/L</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1"/>
              <w:gridCol w:w="1372"/>
              <w:gridCol w:w="771"/>
              <w:gridCol w:w="1070"/>
              <w:gridCol w:w="738"/>
              <w:gridCol w:w="912"/>
              <w:gridCol w:w="942"/>
              <w:gridCol w:w="672"/>
            </w:tblGrid>
            <w:tr w14:paraId="2B7806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732" w:type="pct"/>
                  <w:noWrap w:val="0"/>
                  <w:vAlign w:val="center"/>
                </w:tcPr>
                <w:p w14:paraId="0A8C4013">
                  <w:pPr>
                    <w:spacing w:line="240" w:lineRule="auto"/>
                    <w:ind w:firstLine="0" w:firstLineChars="0"/>
                    <w:jc w:val="center"/>
                    <w:rPr>
                      <w:color w:val="auto"/>
                      <w:sz w:val="21"/>
                      <w:szCs w:val="21"/>
                      <w:highlight w:val="none"/>
                    </w:rPr>
                  </w:pPr>
                  <w:r>
                    <w:rPr>
                      <w:rFonts w:hint="eastAsia"/>
                      <w:color w:val="auto"/>
                      <w:sz w:val="21"/>
                      <w:szCs w:val="21"/>
                      <w:highlight w:val="none"/>
                    </w:rPr>
                    <w:t>评价标准</w:t>
                  </w:r>
                </w:p>
              </w:tc>
              <w:tc>
                <w:tcPr>
                  <w:tcW w:w="904" w:type="pct"/>
                  <w:noWrap w:val="0"/>
                  <w:vAlign w:val="center"/>
                </w:tcPr>
                <w:p w14:paraId="24788A2F">
                  <w:pPr>
                    <w:spacing w:line="240" w:lineRule="auto"/>
                    <w:ind w:firstLine="0" w:firstLineChars="0"/>
                    <w:jc w:val="center"/>
                    <w:rPr>
                      <w:color w:val="auto"/>
                      <w:sz w:val="21"/>
                      <w:szCs w:val="21"/>
                      <w:highlight w:val="none"/>
                    </w:rPr>
                  </w:pPr>
                  <w:r>
                    <w:rPr>
                      <w:color w:val="auto"/>
                      <w:sz w:val="21"/>
                      <w:szCs w:val="21"/>
                      <w:highlight w:val="none"/>
                    </w:rPr>
                    <w:t>pH</w:t>
                  </w:r>
                  <w:r>
                    <w:rPr>
                      <w:rFonts w:hint="eastAsia"/>
                      <w:color w:val="auto"/>
                      <w:sz w:val="21"/>
                      <w:szCs w:val="21"/>
                      <w:highlight w:val="none"/>
                    </w:rPr>
                    <w:t>（无量纲）</w:t>
                  </w:r>
                </w:p>
              </w:tc>
              <w:tc>
                <w:tcPr>
                  <w:tcW w:w="508" w:type="pct"/>
                  <w:noWrap w:val="0"/>
                  <w:vAlign w:val="center"/>
                </w:tcPr>
                <w:p w14:paraId="381C7C12">
                  <w:pPr>
                    <w:spacing w:line="240" w:lineRule="auto"/>
                    <w:ind w:firstLine="0" w:firstLineChars="0"/>
                    <w:jc w:val="center"/>
                    <w:rPr>
                      <w:color w:val="auto"/>
                      <w:sz w:val="21"/>
                      <w:szCs w:val="21"/>
                      <w:highlight w:val="none"/>
                    </w:rPr>
                  </w:pPr>
                  <w:r>
                    <w:rPr>
                      <w:rFonts w:hint="eastAsia"/>
                      <w:color w:val="auto"/>
                      <w:sz w:val="21"/>
                      <w:szCs w:val="21"/>
                      <w:highlight w:val="none"/>
                    </w:rPr>
                    <w:t>C</w:t>
                  </w:r>
                  <w:r>
                    <w:rPr>
                      <w:color w:val="auto"/>
                      <w:sz w:val="21"/>
                      <w:szCs w:val="21"/>
                      <w:highlight w:val="none"/>
                    </w:rPr>
                    <w:t>OD</w:t>
                  </w:r>
                </w:p>
              </w:tc>
              <w:tc>
                <w:tcPr>
                  <w:tcW w:w="705" w:type="pct"/>
                  <w:noWrap w:val="0"/>
                  <w:vAlign w:val="center"/>
                </w:tcPr>
                <w:p w14:paraId="3888AF33">
                  <w:pPr>
                    <w:spacing w:line="240" w:lineRule="auto"/>
                    <w:ind w:firstLine="0" w:firstLineChars="0"/>
                    <w:jc w:val="center"/>
                    <w:rPr>
                      <w:color w:val="auto"/>
                      <w:sz w:val="21"/>
                      <w:szCs w:val="21"/>
                      <w:highlight w:val="none"/>
                    </w:rPr>
                  </w:pPr>
                  <w:r>
                    <w:rPr>
                      <w:rFonts w:hint="eastAsia"/>
                      <w:color w:val="auto"/>
                      <w:sz w:val="21"/>
                      <w:szCs w:val="21"/>
                      <w:highlight w:val="none"/>
                    </w:rPr>
                    <w:t>高锰酸盐指数</w:t>
                  </w:r>
                </w:p>
              </w:tc>
              <w:tc>
                <w:tcPr>
                  <w:tcW w:w="486" w:type="pct"/>
                  <w:noWrap w:val="0"/>
                  <w:vAlign w:val="center"/>
                </w:tcPr>
                <w:p w14:paraId="655AD7F4">
                  <w:pPr>
                    <w:spacing w:line="240" w:lineRule="auto"/>
                    <w:ind w:firstLine="0" w:firstLineChars="0"/>
                    <w:jc w:val="center"/>
                    <w:rPr>
                      <w:color w:val="auto"/>
                      <w:sz w:val="21"/>
                      <w:szCs w:val="21"/>
                      <w:highlight w:val="none"/>
                    </w:rPr>
                  </w:pPr>
                  <w:r>
                    <w:rPr>
                      <w:rFonts w:hint="eastAsia"/>
                      <w:color w:val="auto"/>
                      <w:sz w:val="21"/>
                      <w:szCs w:val="21"/>
                      <w:highlight w:val="none"/>
                    </w:rPr>
                    <w:t>B</w:t>
                  </w:r>
                  <w:r>
                    <w:rPr>
                      <w:color w:val="auto"/>
                      <w:sz w:val="21"/>
                      <w:szCs w:val="21"/>
                      <w:highlight w:val="none"/>
                    </w:rPr>
                    <w:t>OD</w:t>
                  </w:r>
                  <w:r>
                    <w:rPr>
                      <w:color w:val="auto"/>
                      <w:sz w:val="21"/>
                      <w:szCs w:val="21"/>
                      <w:highlight w:val="none"/>
                      <w:vertAlign w:val="subscript"/>
                    </w:rPr>
                    <w:t>5</w:t>
                  </w:r>
                </w:p>
              </w:tc>
              <w:tc>
                <w:tcPr>
                  <w:tcW w:w="601" w:type="pct"/>
                  <w:noWrap w:val="0"/>
                  <w:vAlign w:val="center"/>
                </w:tcPr>
                <w:p w14:paraId="3EEA3E50">
                  <w:pPr>
                    <w:spacing w:line="240" w:lineRule="auto"/>
                    <w:ind w:firstLine="0" w:firstLineChars="0"/>
                    <w:jc w:val="center"/>
                    <w:rPr>
                      <w:color w:val="auto"/>
                      <w:sz w:val="21"/>
                      <w:szCs w:val="21"/>
                      <w:highlight w:val="none"/>
                    </w:rPr>
                  </w:pPr>
                  <w:r>
                    <w:rPr>
                      <w:rFonts w:hint="eastAsia"/>
                      <w:color w:val="auto"/>
                      <w:sz w:val="21"/>
                      <w:szCs w:val="21"/>
                      <w:highlight w:val="none"/>
                    </w:rPr>
                    <w:t>氨氮</w:t>
                  </w:r>
                </w:p>
              </w:tc>
              <w:tc>
                <w:tcPr>
                  <w:tcW w:w="620" w:type="pct"/>
                  <w:noWrap w:val="0"/>
                  <w:vAlign w:val="center"/>
                </w:tcPr>
                <w:p w14:paraId="0720057C">
                  <w:pPr>
                    <w:spacing w:line="240" w:lineRule="auto"/>
                    <w:ind w:firstLine="0" w:firstLineChars="0"/>
                    <w:jc w:val="center"/>
                    <w:rPr>
                      <w:color w:val="auto"/>
                      <w:sz w:val="21"/>
                      <w:szCs w:val="21"/>
                      <w:highlight w:val="none"/>
                    </w:rPr>
                  </w:pPr>
                  <w:r>
                    <w:rPr>
                      <w:rFonts w:hint="eastAsia"/>
                      <w:color w:val="auto"/>
                      <w:sz w:val="21"/>
                      <w:szCs w:val="21"/>
                      <w:highlight w:val="none"/>
                    </w:rPr>
                    <w:t>石油类</w:t>
                  </w:r>
                </w:p>
              </w:tc>
              <w:tc>
                <w:tcPr>
                  <w:tcW w:w="442" w:type="pct"/>
                  <w:noWrap w:val="0"/>
                  <w:vAlign w:val="center"/>
                </w:tcPr>
                <w:p w14:paraId="402FA9AF">
                  <w:pPr>
                    <w:spacing w:line="240" w:lineRule="auto"/>
                    <w:ind w:firstLine="0" w:firstLineChars="0"/>
                    <w:jc w:val="center"/>
                    <w:rPr>
                      <w:color w:val="auto"/>
                      <w:sz w:val="21"/>
                      <w:szCs w:val="21"/>
                      <w:highlight w:val="none"/>
                    </w:rPr>
                  </w:pPr>
                  <w:r>
                    <w:rPr>
                      <w:rFonts w:hint="eastAsia"/>
                      <w:color w:val="auto"/>
                      <w:sz w:val="21"/>
                      <w:szCs w:val="21"/>
                      <w:highlight w:val="none"/>
                    </w:rPr>
                    <w:t>总磷</w:t>
                  </w:r>
                </w:p>
              </w:tc>
            </w:tr>
            <w:tr w14:paraId="6C773F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32" w:type="pct"/>
                  <w:noWrap w:val="0"/>
                  <w:vAlign w:val="center"/>
                </w:tcPr>
                <w:p w14:paraId="58AFD4CE">
                  <w:pPr>
                    <w:spacing w:line="240" w:lineRule="auto"/>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Ⅲ类</w:t>
                  </w:r>
                </w:p>
              </w:tc>
              <w:tc>
                <w:tcPr>
                  <w:tcW w:w="904" w:type="pct"/>
                  <w:noWrap w:val="0"/>
                  <w:vAlign w:val="center"/>
                </w:tcPr>
                <w:p w14:paraId="48637428">
                  <w:pPr>
                    <w:spacing w:line="240" w:lineRule="auto"/>
                    <w:ind w:firstLine="0" w:firstLineChars="0"/>
                    <w:jc w:val="center"/>
                    <w:rPr>
                      <w:color w:val="auto"/>
                      <w:sz w:val="21"/>
                      <w:szCs w:val="21"/>
                      <w:highlight w:val="none"/>
                    </w:rPr>
                  </w:pPr>
                  <w:r>
                    <w:rPr>
                      <w:rFonts w:hint="eastAsia"/>
                      <w:color w:val="auto"/>
                      <w:sz w:val="21"/>
                      <w:szCs w:val="21"/>
                      <w:highlight w:val="none"/>
                    </w:rPr>
                    <w:t>6</w:t>
                  </w:r>
                  <w:r>
                    <w:rPr>
                      <w:color w:val="auto"/>
                      <w:sz w:val="21"/>
                      <w:szCs w:val="21"/>
                      <w:highlight w:val="none"/>
                    </w:rPr>
                    <w:t>~9</w:t>
                  </w:r>
                </w:p>
              </w:tc>
              <w:tc>
                <w:tcPr>
                  <w:tcW w:w="508" w:type="pct"/>
                  <w:noWrap w:val="0"/>
                  <w:vAlign w:val="center"/>
                </w:tcPr>
                <w:p w14:paraId="412A4EA6">
                  <w:pPr>
                    <w:spacing w:line="240" w:lineRule="auto"/>
                    <w:ind w:firstLine="0" w:firstLineChars="0"/>
                    <w:jc w:val="center"/>
                    <w:rPr>
                      <w:rFonts w:hint="eastAsia"/>
                      <w:color w:val="auto"/>
                      <w:sz w:val="21"/>
                      <w:szCs w:val="21"/>
                      <w:highlight w:val="none"/>
                    </w:rPr>
                  </w:pPr>
                  <w:r>
                    <w:rPr>
                      <w:color w:val="auto"/>
                      <w:sz w:val="21"/>
                      <w:szCs w:val="21"/>
                      <w:highlight w:val="none"/>
                    </w:rPr>
                    <w:t>20</w:t>
                  </w:r>
                </w:p>
              </w:tc>
              <w:tc>
                <w:tcPr>
                  <w:tcW w:w="705" w:type="pct"/>
                  <w:noWrap w:val="0"/>
                  <w:vAlign w:val="center"/>
                </w:tcPr>
                <w:p w14:paraId="32A399CF">
                  <w:pPr>
                    <w:spacing w:line="240" w:lineRule="auto"/>
                    <w:ind w:firstLine="0" w:firstLineChars="0"/>
                    <w:jc w:val="center"/>
                    <w:rPr>
                      <w:rFonts w:hint="eastAsia"/>
                      <w:color w:val="auto"/>
                      <w:sz w:val="21"/>
                      <w:szCs w:val="21"/>
                      <w:highlight w:val="none"/>
                    </w:rPr>
                  </w:pPr>
                  <w:r>
                    <w:rPr>
                      <w:color w:val="auto"/>
                      <w:sz w:val="21"/>
                      <w:szCs w:val="21"/>
                      <w:highlight w:val="none"/>
                    </w:rPr>
                    <w:t>6</w:t>
                  </w:r>
                </w:p>
              </w:tc>
              <w:tc>
                <w:tcPr>
                  <w:tcW w:w="486" w:type="pct"/>
                  <w:noWrap w:val="0"/>
                  <w:vAlign w:val="center"/>
                </w:tcPr>
                <w:p w14:paraId="162737D0">
                  <w:pPr>
                    <w:spacing w:line="240" w:lineRule="auto"/>
                    <w:ind w:firstLine="0" w:firstLineChars="0"/>
                    <w:jc w:val="center"/>
                    <w:rPr>
                      <w:rFonts w:hint="eastAsia"/>
                      <w:color w:val="auto"/>
                      <w:sz w:val="21"/>
                      <w:szCs w:val="21"/>
                      <w:highlight w:val="none"/>
                    </w:rPr>
                  </w:pPr>
                  <w:r>
                    <w:rPr>
                      <w:color w:val="auto"/>
                      <w:sz w:val="21"/>
                      <w:szCs w:val="21"/>
                      <w:highlight w:val="none"/>
                    </w:rPr>
                    <w:t>4</w:t>
                  </w:r>
                </w:p>
              </w:tc>
              <w:tc>
                <w:tcPr>
                  <w:tcW w:w="601" w:type="pct"/>
                  <w:noWrap w:val="0"/>
                  <w:vAlign w:val="center"/>
                </w:tcPr>
                <w:p w14:paraId="0DF8D42F">
                  <w:pPr>
                    <w:spacing w:line="240" w:lineRule="auto"/>
                    <w:ind w:firstLine="0" w:firstLineChars="0"/>
                    <w:jc w:val="center"/>
                    <w:rPr>
                      <w:rFonts w:hint="eastAsia"/>
                      <w:color w:val="auto"/>
                      <w:sz w:val="21"/>
                      <w:szCs w:val="21"/>
                      <w:highlight w:val="none"/>
                    </w:rPr>
                  </w:pPr>
                  <w:r>
                    <w:rPr>
                      <w:color w:val="auto"/>
                      <w:sz w:val="21"/>
                      <w:szCs w:val="21"/>
                      <w:highlight w:val="none"/>
                    </w:rPr>
                    <w:t>1.0</w:t>
                  </w:r>
                </w:p>
              </w:tc>
              <w:tc>
                <w:tcPr>
                  <w:tcW w:w="620" w:type="pct"/>
                  <w:noWrap w:val="0"/>
                  <w:vAlign w:val="center"/>
                </w:tcPr>
                <w:p w14:paraId="255E7E7D">
                  <w:pPr>
                    <w:spacing w:line="240" w:lineRule="auto"/>
                    <w:ind w:firstLine="0" w:firstLineChars="0"/>
                    <w:jc w:val="center"/>
                    <w:rPr>
                      <w:rFonts w:hint="eastAsia"/>
                      <w:color w:val="auto"/>
                      <w:sz w:val="21"/>
                      <w:szCs w:val="21"/>
                      <w:highlight w:val="none"/>
                    </w:rPr>
                  </w:pPr>
                  <w:r>
                    <w:rPr>
                      <w:color w:val="auto"/>
                      <w:sz w:val="21"/>
                      <w:szCs w:val="21"/>
                      <w:highlight w:val="none"/>
                    </w:rPr>
                    <w:t>0.05</w:t>
                  </w:r>
                </w:p>
              </w:tc>
              <w:tc>
                <w:tcPr>
                  <w:tcW w:w="442" w:type="pct"/>
                  <w:noWrap w:val="0"/>
                  <w:vAlign w:val="center"/>
                </w:tcPr>
                <w:p w14:paraId="14C17179">
                  <w:pPr>
                    <w:spacing w:line="240" w:lineRule="auto"/>
                    <w:ind w:firstLine="0" w:firstLineChars="0"/>
                    <w:jc w:val="center"/>
                    <w:rPr>
                      <w:rFonts w:hint="eastAsia"/>
                      <w:color w:val="auto"/>
                      <w:sz w:val="21"/>
                      <w:szCs w:val="21"/>
                      <w:highlight w:val="none"/>
                    </w:rPr>
                  </w:pPr>
                  <w:r>
                    <w:rPr>
                      <w:rFonts w:hint="eastAsia"/>
                      <w:color w:val="auto"/>
                      <w:sz w:val="21"/>
                      <w:szCs w:val="21"/>
                      <w:highlight w:val="none"/>
                    </w:rPr>
                    <w:t>0</w:t>
                  </w:r>
                  <w:r>
                    <w:rPr>
                      <w:color w:val="auto"/>
                      <w:sz w:val="21"/>
                      <w:szCs w:val="21"/>
                      <w:highlight w:val="none"/>
                    </w:rPr>
                    <w:t>.2</w:t>
                  </w:r>
                </w:p>
              </w:tc>
            </w:tr>
            <w:tr w14:paraId="4FF9C3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32" w:type="pct"/>
                  <w:noWrap w:val="0"/>
                  <w:vAlign w:val="center"/>
                </w:tcPr>
                <w:p w14:paraId="752F50B7">
                  <w:pPr>
                    <w:spacing w:line="240" w:lineRule="auto"/>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4"/>
                      <w:szCs w:val="24"/>
                      <w:highlight w:val="none"/>
                      <w:lang w:eastAsia="zh-CN"/>
                    </w:rPr>
                    <w:fldChar w:fldCharType="begin"/>
                  </w:r>
                  <w:r>
                    <w:rPr>
                      <w:rFonts w:hint="eastAsia" w:ascii="宋体" w:hAnsi="宋体" w:eastAsia="宋体" w:cs="宋体"/>
                      <w:color w:val="auto"/>
                      <w:kern w:val="0"/>
                      <w:sz w:val="24"/>
                      <w:szCs w:val="24"/>
                      <w:highlight w:val="none"/>
                      <w:lang w:eastAsia="zh-CN"/>
                    </w:rPr>
                    <w:instrText xml:space="preserve"> = 4 \* ROMAN \* MERGEFORMAT </w:instrText>
                  </w:r>
                  <w:r>
                    <w:rPr>
                      <w:rFonts w:hint="eastAsia" w:ascii="宋体" w:hAnsi="宋体" w:eastAsia="宋体" w:cs="宋体"/>
                      <w:color w:val="auto"/>
                      <w:kern w:val="0"/>
                      <w:sz w:val="24"/>
                      <w:szCs w:val="24"/>
                      <w:highlight w:val="none"/>
                      <w:lang w:eastAsia="zh-CN"/>
                    </w:rPr>
                    <w:fldChar w:fldCharType="separate"/>
                  </w:r>
                  <w:r>
                    <w:rPr>
                      <w:rFonts w:hint="eastAsia" w:ascii="宋体" w:hAnsi="宋体" w:eastAsia="宋体" w:cs="宋体"/>
                      <w:color w:val="auto"/>
                      <w:kern w:val="0"/>
                      <w:sz w:val="24"/>
                      <w:szCs w:val="24"/>
                      <w:highlight w:val="none"/>
                      <w:lang w:eastAsia="zh-CN"/>
                    </w:rPr>
                    <w:t>IV</w:t>
                  </w:r>
                  <w:r>
                    <w:rPr>
                      <w:rFonts w:hint="eastAsia" w:ascii="宋体" w:hAnsi="宋体" w:eastAsia="宋体" w:cs="宋体"/>
                      <w:color w:val="auto"/>
                      <w:kern w:val="0"/>
                      <w:sz w:val="24"/>
                      <w:szCs w:val="24"/>
                      <w:highlight w:val="none"/>
                      <w:lang w:eastAsia="zh-CN"/>
                    </w:rPr>
                    <w:fldChar w:fldCharType="end"/>
                  </w:r>
                  <w:r>
                    <w:rPr>
                      <w:rFonts w:hint="eastAsia" w:ascii="宋体" w:hAnsi="宋体" w:eastAsia="宋体" w:cs="宋体"/>
                      <w:color w:val="auto"/>
                      <w:sz w:val="21"/>
                      <w:szCs w:val="21"/>
                      <w:highlight w:val="none"/>
                    </w:rPr>
                    <w:t>类</w:t>
                  </w:r>
                </w:p>
              </w:tc>
              <w:tc>
                <w:tcPr>
                  <w:tcW w:w="904" w:type="pct"/>
                  <w:noWrap w:val="0"/>
                  <w:vAlign w:val="center"/>
                </w:tcPr>
                <w:p w14:paraId="74EFE1EF">
                  <w:pPr>
                    <w:spacing w:line="240" w:lineRule="auto"/>
                    <w:ind w:firstLine="0" w:firstLineChars="0"/>
                    <w:jc w:val="center"/>
                    <w:rPr>
                      <w:rFonts w:hint="eastAsia"/>
                      <w:color w:val="auto"/>
                      <w:sz w:val="21"/>
                      <w:szCs w:val="21"/>
                      <w:highlight w:val="none"/>
                    </w:rPr>
                  </w:pPr>
                  <w:r>
                    <w:rPr>
                      <w:rFonts w:hint="eastAsia"/>
                      <w:color w:val="auto"/>
                      <w:sz w:val="21"/>
                      <w:szCs w:val="21"/>
                      <w:highlight w:val="none"/>
                    </w:rPr>
                    <w:t>6</w:t>
                  </w:r>
                  <w:r>
                    <w:rPr>
                      <w:color w:val="auto"/>
                      <w:sz w:val="21"/>
                      <w:szCs w:val="21"/>
                      <w:highlight w:val="none"/>
                    </w:rPr>
                    <w:t>~9</w:t>
                  </w:r>
                </w:p>
              </w:tc>
              <w:tc>
                <w:tcPr>
                  <w:tcW w:w="508" w:type="pct"/>
                  <w:noWrap w:val="0"/>
                  <w:vAlign w:val="center"/>
                </w:tcPr>
                <w:p w14:paraId="0629AFA6">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30</w:t>
                  </w:r>
                </w:p>
              </w:tc>
              <w:tc>
                <w:tcPr>
                  <w:tcW w:w="705" w:type="pct"/>
                  <w:noWrap w:val="0"/>
                  <w:vAlign w:val="center"/>
                </w:tcPr>
                <w:p w14:paraId="6890A21A">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10</w:t>
                  </w:r>
                </w:p>
              </w:tc>
              <w:tc>
                <w:tcPr>
                  <w:tcW w:w="486" w:type="pct"/>
                  <w:noWrap w:val="0"/>
                  <w:vAlign w:val="center"/>
                </w:tcPr>
                <w:p w14:paraId="56DC4CA0">
                  <w:pPr>
                    <w:spacing w:line="240" w:lineRule="auto"/>
                    <w:ind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6</w:t>
                  </w:r>
                </w:p>
              </w:tc>
              <w:tc>
                <w:tcPr>
                  <w:tcW w:w="601" w:type="pct"/>
                  <w:noWrap w:val="0"/>
                  <w:vAlign w:val="center"/>
                </w:tcPr>
                <w:p w14:paraId="02E39F62">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1.5</w:t>
                  </w:r>
                </w:p>
              </w:tc>
              <w:tc>
                <w:tcPr>
                  <w:tcW w:w="620" w:type="pct"/>
                  <w:noWrap w:val="0"/>
                  <w:vAlign w:val="center"/>
                </w:tcPr>
                <w:p w14:paraId="56F6A954">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0.5</w:t>
                  </w:r>
                </w:p>
              </w:tc>
              <w:tc>
                <w:tcPr>
                  <w:tcW w:w="442" w:type="pct"/>
                  <w:noWrap w:val="0"/>
                  <w:vAlign w:val="center"/>
                </w:tcPr>
                <w:p w14:paraId="00B717CD">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0.3</w:t>
                  </w:r>
                </w:p>
              </w:tc>
            </w:tr>
          </w:tbl>
          <w:p w14:paraId="153F2F3A">
            <w:pPr>
              <w:pStyle w:val="34"/>
              <w:ind w:firstLine="480"/>
              <w:rPr>
                <w:rFonts w:hint="default"/>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color w:val="auto"/>
                <w:highlight w:val="none"/>
              </w:rPr>
              <w:t>声环境</w:t>
            </w:r>
          </w:p>
          <w:p w14:paraId="575BF0E5">
            <w:pPr>
              <w:ind w:firstLine="48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本项目所在区域声环境执行《声环境质量标准》</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GB3096</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2008</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中</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rPr>
              <w:t>类标准，</w:t>
            </w:r>
            <w:r>
              <w:rPr>
                <w:rFonts w:hint="eastAsia" w:cs="Times New Roman"/>
                <w:color w:val="auto"/>
                <w:highlight w:val="none"/>
                <w:lang w:val="en-US" w:eastAsia="zh-CN"/>
              </w:rPr>
              <w:t>东升卫生院</w:t>
            </w:r>
            <w:r>
              <w:rPr>
                <w:rFonts w:hint="eastAsia" w:ascii="Times New Roman" w:hAnsi="Times New Roman" w:eastAsia="宋体" w:cs="Times New Roman"/>
                <w:color w:val="auto"/>
                <w:highlight w:val="none"/>
                <w:lang w:eastAsia="zh-CN"/>
              </w:rPr>
              <w:t>执行《</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ascii="Times New Roman" w:hAnsi="Times New Roman" w:eastAsia="宋体" w:cs="Times New Roman"/>
                <w:color w:val="auto"/>
                <w:highlight w:val="none"/>
              </w:rPr>
              <w:t>详见表</w:t>
            </w:r>
            <w:r>
              <w:rPr>
                <w:rFonts w:hint="eastAsia" w:ascii="Times New Roman" w:hAnsi="Times New Roman" w:eastAsia="宋体" w:cs="Times New Roman"/>
                <w:color w:val="auto"/>
                <w:highlight w:val="none"/>
                <w:lang w:val="en-US" w:eastAsia="zh-CN"/>
              </w:rPr>
              <w:t>3-1</w:t>
            </w:r>
            <w:r>
              <w:rPr>
                <w:rFonts w:hint="eastAsia" w:cs="Times New Roman"/>
                <w:color w:val="auto"/>
                <w:highlight w:val="none"/>
                <w:lang w:val="en-US" w:eastAsia="zh-CN"/>
              </w:rPr>
              <w:t>3</w:t>
            </w:r>
            <w:r>
              <w:rPr>
                <w:rFonts w:hint="eastAsia" w:ascii="Times New Roman" w:hAnsi="Times New Roman" w:eastAsia="宋体" w:cs="Times New Roman"/>
                <w:color w:val="auto"/>
                <w:highlight w:val="none"/>
              </w:rPr>
              <w:t>。</w:t>
            </w:r>
          </w:p>
          <w:p w14:paraId="6D7AF80A">
            <w:pPr>
              <w:pStyle w:val="40"/>
              <w:rPr>
                <w:color w:val="auto"/>
                <w:highlight w:val="none"/>
              </w:rPr>
            </w:pPr>
            <w:r>
              <w:rPr>
                <w:color w:val="auto"/>
                <w:highlight w:val="none"/>
              </w:rPr>
              <w:t>表</w:t>
            </w:r>
            <w:r>
              <w:rPr>
                <w:rFonts w:hint="eastAsia"/>
                <w:color w:val="auto"/>
                <w:highlight w:val="none"/>
                <w:lang w:val="en-US" w:eastAsia="zh-CN"/>
              </w:rPr>
              <w:t>3-13</w:t>
            </w:r>
            <w:r>
              <w:rPr>
                <w:color w:val="auto"/>
                <w:highlight w:val="none"/>
              </w:rPr>
              <w:t xml:space="preserve">  声环境质量标准    单位：dB(A)</w:t>
            </w:r>
          </w:p>
          <w:tbl>
            <w:tblPr>
              <w:tblStyle w:val="18"/>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936"/>
              <w:gridCol w:w="894"/>
              <w:gridCol w:w="894"/>
              <w:gridCol w:w="4861"/>
            </w:tblGrid>
            <w:tr w14:paraId="55E450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17" w:type="pct"/>
                  <w:noWrap w:val="0"/>
                  <w:vAlign w:val="center"/>
                </w:tcPr>
                <w:p w14:paraId="303600B5">
                  <w:pPr>
                    <w:spacing w:line="240" w:lineRule="auto"/>
                    <w:ind w:firstLine="0" w:firstLineChars="0"/>
                    <w:jc w:val="center"/>
                    <w:rPr>
                      <w:color w:val="auto"/>
                      <w:sz w:val="21"/>
                      <w:szCs w:val="21"/>
                      <w:highlight w:val="none"/>
                    </w:rPr>
                  </w:pPr>
                  <w:r>
                    <w:rPr>
                      <w:color w:val="auto"/>
                      <w:sz w:val="21"/>
                      <w:szCs w:val="21"/>
                      <w:highlight w:val="none"/>
                    </w:rPr>
                    <w:t>类别</w:t>
                  </w:r>
                </w:p>
              </w:tc>
              <w:tc>
                <w:tcPr>
                  <w:tcW w:w="589" w:type="pct"/>
                  <w:tcBorders>
                    <w:right w:val="single" w:color="auto" w:sz="4" w:space="0"/>
                  </w:tcBorders>
                  <w:noWrap w:val="0"/>
                  <w:vAlign w:val="center"/>
                </w:tcPr>
                <w:p w14:paraId="70DF9088">
                  <w:pPr>
                    <w:spacing w:line="240" w:lineRule="auto"/>
                    <w:ind w:firstLine="0" w:firstLineChars="0"/>
                    <w:jc w:val="center"/>
                    <w:rPr>
                      <w:color w:val="auto"/>
                      <w:sz w:val="21"/>
                      <w:szCs w:val="21"/>
                      <w:highlight w:val="none"/>
                    </w:rPr>
                  </w:pPr>
                  <w:r>
                    <w:rPr>
                      <w:color w:val="auto"/>
                      <w:sz w:val="21"/>
                      <w:szCs w:val="21"/>
                      <w:highlight w:val="none"/>
                    </w:rPr>
                    <w:t>昼间</w:t>
                  </w:r>
                </w:p>
              </w:tc>
              <w:tc>
                <w:tcPr>
                  <w:tcW w:w="589" w:type="pct"/>
                  <w:tcBorders>
                    <w:left w:val="single" w:color="auto" w:sz="4" w:space="0"/>
                  </w:tcBorders>
                  <w:noWrap w:val="0"/>
                  <w:vAlign w:val="center"/>
                </w:tcPr>
                <w:p w14:paraId="15C28418">
                  <w:pPr>
                    <w:spacing w:line="240" w:lineRule="auto"/>
                    <w:ind w:firstLine="0" w:firstLineChars="0"/>
                    <w:jc w:val="center"/>
                    <w:rPr>
                      <w:color w:val="auto"/>
                      <w:sz w:val="21"/>
                      <w:szCs w:val="21"/>
                      <w:highlight w:val="none"/>
                    </w:rPr>
                  </w:pPr>
                  <w:r>
                    <w:rPr>
                      <w:color w:val="auto"/>
                      <w:sz w:val="21"/>
                      <w:szCs w:val="21"/>
                      <w:highlight w:val="none"/>
                    </w:rPr>
                    <w:t>夜间</w:t>
                  </w:r>
                </w:p>
              </w:tc>
              <w:tc>
                <w:tcPr>
                  <w:tcW w:w="3203" w:type="pct"/>
                  <w:noWrap w:val="0"/>
                  <w:vAlign w:val="center"/>
                </w:tcPr>
                <w:p w14:paraId="1F3BCCE6">
                  <w:pPr>
                    <w:spacing w:line="240" w:lineRule="auto"/>
                    <w:ind w:firstLine="0" w:firstLineChars="0"/>
                    <w:jc w:val="center"/>
                    <w:rPr>
                      <w:color w:val="auto"/>
                      <w:sz w:val="21"/>
                      <w:szCs w:val="21"/>
                      <w:highlight w:val="none"/>
                    </w:rPr>
                  </w:pPr>
                  <w:r>
                    <w:rPr>
                      <w:color w:val="auto"/>
                      <w:sz w:val="21"/>
                      <w:szCs w:val="21"/>
                      <w:highlight w:val="none"/>
                    </w:rPr>
                    <w:t>标准来源</w:t>
                  </w:r>
                </w:p>
              </w:tc>
            </w:tr>
            <w:tr w14:paraId="1B9550A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17" w:type="pct"/>
                  <w:noWrap w:val="0"/>
                  <w:vAlign w:val="center"/>
                </w:tcPr>
                <w:p w14:paraId="2FB1567A">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1类</w:t>
                  </w:r>
                </w:p>
              </w:tc>
              <w:tc>
                <w:tcPr>
                  <w:tcW w:w="589" w:type="pct"/>
                  <w:noWrap w:val="0"/>
                  <w:vAlign w:val="center"/>
                </w:tcPr>
                <w:p w14:paraId="576B1B4C">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val="en-US" w:eastAsia="zh-CN"/>
                    </w:rPr>
                    <w:t>55</w:t>
                  </w:r>
                </w:p>
              </w:tc>
              <w:tc>
                <w:tcPr>
                  <w:tcW w:w="589" w:type="pct"/>
                  <w:noWrap w:val="0"/>
                  <w:vAlign w:val="center"/>
                </w:tcPr>
                <w:p w14:paraId="2950AE1B">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val="en-US" w:eastAsia="zh-CN"/>
                    </w:rPr>
                    <w:t>45</w:t>
                  </w:r>
                </w:p>
              </w:tc>
              <w:tc>
                <w:tcPr>
                  <w:tcW w:w="3203" w:type="pct"/>
                  <w:noWrap w:val="0"/>
                  <w:vAlign w:val="center"/>
                </w:tcPr>
                <w:p w14:paraId="7E2272E2">
                  <w:pPr>
                    <w:spacing w:line="240" w:lineRule="auto"/>
                    <w:ind w:firstLine="0" w:firstLineChars="0"/>
                    <w:jc w:val="center"/>
                    <w:rPr>
                      <w:color w:val="auto"/>
                      <w:sz w:val="21"/>
                      <w:szCs w:val="21"/>
                      <w:highlight w:val="none"/>
                    </w:rPr>
                  </w:pPr>
                  <w:r>
                    <w:rPr>
                      <w:color w:val="auto"/>
                      <w:sz w:val="21"/>
                      <w:szCs w:val="21"/>
                      <w:highlight w:val="none"/>
                    </w:rPr>
                    <w:t>《声环境质量标准》</w:t>
                  </w:r>
                  <w:r>
                    <w:rPr>
                      <w:rFonts w:hint="eastAsia" w:eastAsia="宋体"/>
                      <w:color w:val="auto"/>
                      <w:sz w:val="21"/>
                      <w:szCs w:val="21"/>
                      <w:highlight w:val="none"/>
                      <w:lang w:eastAsia="zh-CN"/>
                    </w:rPr>
                    <w:t>（</w:t>
                  </w:r>
                  <w:r>
                    <w:rPr>
                      <w:color w:val="auto"/>
                      <w:sz w:val="21"/>
                      <w:szCs w:val="21"/>
                      <w:highlight w:val="none"/>
                    </w:rPr>
                    <w:t>GB3096</w:t>
                  </w:r>
                  <w:r>
                    <w:rPr>
                      <w:rFonts w:hint="eastAsia" w:eastAsia="黑体" w:cs="Times New Roman"/>
                      <w:color w:val="auto"/>
                      <w:sz w:val="24"/>
                      <w:szCs w:val="24"/>
                      <w:highlight w:val="none"/>
                      <w:lang w:val="en-US" w:eastAsia="zh-CN"/>
                    </w:rPr>
                    <w:t>—</w:t>
                  </w:r>
                  <w:r>
                    <w:rPr>
                      <w:color w:val="auto"/>
                      <w:sz w:val="21"/>
                      <w:szCs w:val="21"/>
                      <w:highlight w:val="none"/>
                    </w:rPr>
                    <w:t>2008</w:t>
                  </w:r>
                  <w:r>
                    <w:rPr>
                      <w:rFonts w:hint="eastAsia" w:eastAsia="宋体"/>
                      <w:color w:val="auto"/>
                      <w:sz w:val="21"/>
                      <w:szCs w:val="21"/>
                      <w:highlight w:val="none"/>
                      <w:lang w:eastAsia="zh-CN"/>
                    </w:rPr>
                    <w:t>）</w:t>
                  </w:r>
                </w:p>
              </w:tc>
            </w:tr>
            <w:tr w14:paraId="0E7646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17" w:type="pct"/>
                  <w:noWrap w:val="0"/>
                  <w:vAlign w:val="center"/>
                </w:tcPr>
                <w:p w14:paraId="146FDF76">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589" w:type="pct"/>
                  <w:noWrap w:val="0"/>
                  <w:vAlign w:val="center"/>
                </w:tcPr>
                <w:p w14:paraId="581630C9">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60</w:t>
                  </w:r>
                </w:p>
              </w:tc>
              <w:tc>
                <w:tcPr>
                  <w:tcW w:w="589" w:type="pct"/>
                  <w:noWrap w:val="0"/>
                  <w:vAlign w:val="center"/>
                </w:tcPr>
                <w:p w14:paraId="06C87243">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50</w:t>
                  </w:r>
                </w:p>
              </w:tc>
              <w:tc>
                <w:tcPr>
                  <w:tcW w:w="3203" w:type="pct"/>
                  <w:noWrap w:val="0"/>
                  <w:vAlign w:val="center"/>
                </w:tcPr>
                <w:p w14:paraId="2AEDB574">
                  <w:pPr>
                    <w:spacing w:line="240" w:lineRule="auto"/>
                    <w:ind w:firstLine="0" w:firstLineChars="0"/>
                    <w:jc w:val="center"/>
                    <w:rPr>
                      <w:color w:val="auto"/>
                      <w:sz w:val="21"/>
                      <w:szCs w:val="21"/>
                      <w:highlight w:val="none"/>
                    </w:rPr>
                  </w:pP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国家环境保护总局文件</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环发</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2003</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94号</w:t>
                  </w:r>
                  <w:r>
                    <w:rPr>
                      <w:rFonts w:hint="eastAsia" w:ascii="Times New Roman" w:hAnsi="Times New Roman" w:eastAsia="宋体" w:cs="Times New Roman"/>
                      <w:color w:val="auto"/>
                      <w:sz w:val="21"/>
                      <w:szCs w:val="21"/>
                      <w:highlight w:val="none"/>
                      <w:lang w:eastAsia="zh-CN"/>
                    </w:rPr>
                    <w:t>）</w:t>
                  </w:r>
                </w:p>
              </w:tc>
            </w:tr>
          </w:tbl>
          <w:p w14:paraId="06C520DF">
            <w:pPr>
              <w:pStyle w:val="34"/>
              <w:ind w:firstLine="480"/>
              <w:rPr>
                <w:rFonts w:hint="default"/>
                <w:color w:val="auto"/>
                <w:highlight w:val="none"/>
              </w:rPr>
            </w:pPr>
            <w:r>
              <w:rPr>
                <w:rFonts w:hint="eastAsia"/>
                <w:color w:val="auto"/>
                <w:highlight w:val="none"/>
                <w:lang w:val="en-US" w:eastAsia="zh-CN"/>
              </w:rPr>
              <w:t>2、</w:t>
            </w:r>
            <w:r>
              <w:rPr>
                <w:rFonts w:hint="default"/>
                <w:color w:val="auto"/>
                <w:highlight w:val="none"/>
              </w:rPr>
              <w:t>污染物排放标准</w:t>
            </w:r>
          </w:p>
          <w:p w14:paraId="2B709143">
            <w:pPr>
              <w:ind w:firstLine="48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废气</w:t>
            </w:r>
          </w:p>
          <w:p w14:paraId="65DAD598">
            <w:pPr>
              <w:ind w:firstLine="480"/>
              <w:rPr>
                <w:color w:val="auto"/>
                <w:highlight w:val="none"/>
              </w:rPr>
            </w:pPr>
            <w:r>
              <w:rPr>
                <w:rFonts w:hint="eastAsia"/>
                <w:color w:val="auto"/>
                <w:highlight w:val="none"/>
              </w:rPr>
              <w:t>本项目施工期扬尘等污染物无组织排放</w:t>
            </w:r>
            <w:r>
              <w:rPr>
                <w:color w:val="auto"/>
                <w:highlight w:val="none"/>
              </w:rPr>
              <w:t>标准值见表</w:t>
            </w:r>
            <w:r>
              <w:rPr>
                <w:rFonts w:hint="eastAsia"/>
                <w:color w:val="auto"/>
                <w:highlight w:val="none"/>
              </w:rPr>
              <w:t>3-</w:t>
            </w:r>
            <w:r>
              <w:rPr>
                <w:rFonts w:hint="eastAsia"/>
                <w:color w:val="auto"/>
                <w:highlight w:val="none"/>
                <w:lang w:val="en-US" w:eastAsia="zh-CN"/>
              </w:rPr>
              <w:t>14</w:t>
            </w:r>
            <w:r>
              <w:rPr>
                <w:color w:val="auto"/>
                <w:highlight w:val="none"/>
              </w:rPr>
              <w:t>。</w:t>
            </w:r>
          </w:p>
          <w:p w14:paraId="4C424A46">
            <w:pPr>
              <w:pStyle w:val="28"/>
              <w:rPr>
                <w:color w:val="auto"/>
                <w:highlight w:val="none"/>
              </w:rPr>
            </w:pPr>
            <w:r>
              <w:rPr>
                <w:color w:val="auto"/>
                <w:highlight w:val="none"/>
              </w:rPr>
              <w:t>表3-</w:t>
            </w:r>
            <w:r>
              <w:rPr>
                <w:rFonts w:hint="eastAsia"/>
                <w:color w:val="auto"/>
                <w:highlight w:val="none"/>
                <w:lang w:val="en-US" w:eastAsia="zh-CN"/>
              </w:rPr>
              <w:t xml:space="preserve">14 </w:t>
            </w:r>
            <w:r>
              <w:rPr>
                <w:color w:val="auto"/>
                <w:highlight w:val="none"/>
              </w:rPr>
              <w:t xml:space="preserve"> 大气污染物综合排放标准（GB16297</w:t>
            </w:r>
            <w:r>
              <w:rPr>
                <w:rFonts w:hint="eastAsia" w:eastAsia="黑体" w:cs="Times New Roman"/>
                <w:color w:val="auto"/>
                <w:sz w:val="24"/>
                <w:szCs w:val="24"/>
                <w:highlight w:val="none"/>
                <w:lang w:val="en-US" w:eastAsia="zh-CN"/>
              </w:rPr>
              <w:t>—</w:t>
            </w:r>
            <w:r>
              <w:rPr>
                <w:color w:val="auto"/>
                <w:highlight w:val="none"/>
              </w:rPr>
              <w:t>1996）</w:t>
            </w:r>
          </w:p>
          <w:tbl>
            <w:tblPr>
              <w:tblStyle w:val="18"/>
              <w:tblW w:w="7559"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57" w:type="dxa"/>
                <w:bottom w:w="0" w:type="dxa"/>
                <w:right w:w="57" w:type="dxa"/>
              </w:tblCellMar>
            </w:tblPr>
            <w:tblGrid>
              <w:gridCol w:w="1196"/>
              <w:gridCol w:w="1420"/>
              <w:gridCol w:w="2295"/>
              <w:gridCol w:w="2648"/>
            </w:tblGrid>
            <w:tr w14:paraId="02F18C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97" w:hRule="atLeast"/>
                <w:jc w:val="center"/>
              </w:trPr>
              <w:tc>
                <w:tcPr>
                  <w:tcW w:w="1196" w:type="dxa"/>
                  <w:noWrap w:val="0"/>
                  <w:vAlign w:val="center"/>
                </w:tcPr>
                <w:p w14:paraId="0574832E">
                  <w:pPr>
                    <w:pStyle w:val="33"/>
                    <w:rPr>
                      <w:rFonts w:hint="default"/>
                      <w:color w:val="auto"/>
                      <w:highlight w:val="none"/>
                    </w:rPr>
                  </w:pPr>
                  <w:r>
                    <w:rPr>
                      <w:rFonts w:hint="default"/>
                      <w:color w:val="auto"/>
                      <w:highlight w:val="none"/>
                    </w:rPr>
                    <w:t>污染物名称</w:t>
                  </w:r>
                </w:p>
              </w:tc>
              <w:tc>
                <w:tcPr>
                  <w:tcW w:w="1420" w:type="dxa"/>
                  <w:noWrap w:val="0"/>
                  <w:vAlign w:val="center"/>
                </w:tcPr>
                <w:p w14:paraId="3DE4C2E1">
                  <w:pPr>
                    <w:pStyle w:val="33"/>
                    <w:rPr>
                      <w:rFonts w:hint="default"/>
                      <w:color w:val="auto"/>
                      <w:highlight w:val="none"/>
                    </w:rPr>
                  </w:pPr>
                  <w:r>
                    <w:rPr>
                      <w:rFonts w:hint="default"/>
                      <w:color w:val="auto"/>
                      <w:highlight w:val="none"/>
                    </w:rPr>
                    <w:t>最高允许排放浓度（mg/m</w:t>
                  </w:r>
                  <w:r>
                    <w:rPr>
                      <w:rFonts w:hint="default"/>
                      <w:color w:val="auto"/>
                      <w:highlight w:val="none"/>
                      <w:vertAlign w:val="superscript"/>
                    </w:rPr>
                    <w:t>3</w:t>
                  </w:r>
                  <w:r>
                    <w:rPr>
                      <w:rFonts w:hint="default"/>
                      <w:color w:val="auto"/>
                      <w:highlight w:val="none"/>
                    </w:rPr>
                    <w:t>）</w:t>
                  </w:r>
                </w:p>
              </w:tc>
              <w:tc>
                <w:tcPr>
                  <w:tcW w:w="2295" w:type="dxa"/>
                  <w:noWrap w:val="0"/>
                  <w:vAlign w:val="center"/>
                </w:tcPr>
                <w:p w14:paraId="4B5374BA">
                  <w:pPr>
                    <w:pStyle w:val="33"/>
                    <w:rPr>
                      <w:rFonts w:hint="default"/>
                      <w:color w:val="auto"/>
                      <w:highlight w:val="none"/>
                    </w:rPr>
                  </w:pPr>
                  <w:r>
                    <w:rPr>
                      <w:rFonts w:hint="default"/>
                      <w:color w:val="auto"/>
                      <w:highlight w:val="none"/>
                    </w:rPr>
                    <w:t>无组织排放监控浓度点（mg/m</w:t>
                  </w:r>
                  <w:r>
                    <w:rPr>
                      <w:rFonts w:hint="default"/>
                      <w:color w:val="auto"/>
                      <w:highlight w:val="none"/>
                      <w:vertAlign w:val="superscript"/>
                    </w:rPr>
                    <w:t>3</w:t>
                  </w:r>
                  <w:r>
                    <w:rPr>
                      <w:rFonts w:hint="default"/>
                      <w:color w:val="auto"/>
                      <w:highlight w:val="none"/>
                    </w:rPr>
                    <w:t>）</w:t>
                  </w:r>
                </w:p>
              </w:tc>
              <w:tc>
                <w:tcPr>
                  <w:tcW w:w="2648" w:type="dxa"/>
                  <w:noWrap w:val="0"/>
                  <w:vAlign w:val="center"/>
                </w:tcPr>
                <w:p w14:paraId="79878E15">
                  <w:pPr>
                    <w:pStyle w:val="33"/>
                    <w:rPr>
                      <w:rFonts w:hint="default"/>
                      <w:color w:val="auto"/>
                      <w:highlight w:val="none"/>
                    </w:rPr>
                  </w:pPr>
                  <w:r>
                    <w:rPr>
                      <w:rFonts w:hint="default"/>
                      <w:color w:val="auto"/>
                      <w:highlight w:val="none"/>
                    </w:rPr>
                    <w:t>标准来源</w:t>
                  </w:r>
                </w:p>
              </w:tc>
            </w:tr>
            <w:tr w14:paraId="7988F6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97" w:hRule="atLeast"/>
                <w:jc w:val="center"/>
              </w:trPr>
              <w:tc>
                <w:tcPr>
                  <w:tcW w:w="1196" w:type="dxa"/>
                  <w:noWrap w:val="0"/>
                  <w:vAlign w:val="center"/>
                </w:tcPr>
                <w:p w14:paraId="16D1BE86">
                  <w:pPr>
                    <w:pStyle w:val="33"/>
                    <w:rPr>
                      <w:rFonts w:hint="default"/>
                      <w:color w:val="auto"/>
                      <w:highlight w:val="none"/>
                    </w:rPr>
                  </w:pPr>
                  <w:r>
                    <w:rPr>
                      <w:rFonts w:hint="default"/>
                      <w:color w:val="auto"/>
                      <w:highlight w:val="none"/>
                    </w:rPr>
                    <w:t>颗粒物</w:t>
                  </w:r>
                </w:p>
              </w:tc>
              <w:tc>
                <w:tcPr>
                  <w:tcW w:w="1420" w:type="dxa"/>
                  <w:noWrap w:val="0"/>
                  <w:vAlign w:val="center"/>
                </w:tcPr>
                <w:p w14:paraId="531C457C">
                  <w:pPr>
                    <w:pStyle w:val="33"/>
                    <w:rPr>
                      <w:rFonts w:hint="default"/>
                      <w:color w:val="auto"/>
                      <w:highlight w:val="none"/>
                    </w:rPr>
                  </w:pPr>
                  <w:r>
                    <w:rPr>
                      <w:rFonts w:hint="default"/>
                      <w:color w:val="auto"/>
                      <w:highlight w:val="none"/>
                    </w:rPr>
                    <w:t>120</w:t>
                  </w:r>
                </w:p>
              </w:tc>
              <w:tc>
                <w:tcPr>
                  <w:tcW w:w="2295" w:type="dxa"/>
                  <w:noWrap w:val="0"/>
                  <w:vAlign w:val="center"/>
                </w:tcPr>
                <w:p w14:paraId="6F590A40">
                  <w:pPr>
                    <w:pStyle w:val="33"/>
                    <w:rPr>
                      <w:rFonts w:hint="default"/>
                      <w:color w:val="auto"/>
                      <w:highlight w:val="none"/>
                    </w:rPr>
                  </w:pPr>
                  <w:r>
                    <w:rPr>
                      <w:rFonts w:hint="default"/>
                      <w:color w:val="auto"/>
                      <w:highlight w:val="none"/>
                    </w:rPr>
                    <w:t>周界外浓度最高点1.0</w:t>
                  </w:r>
                </w:p>
              </w:tc>
              <w:tc>
                <w:tcPr>
                  <w:tcW w:w="2648" w:type="dxa"/>
                  <w:noWrap w:val="0"/>
                  <w:vAlign w:val="center"/>
                </w:tcPr>
                <w:p w14:paraId="740F80F7">
                  <w:pPr>
                    <w:pStyle w:val="33"/>
                    <w:rPr>
                      <w:rFonts w:hint="default"/>
                      <w:color w:val="auto"/>
                      <w:highlight w:val="none"/>
                    </w:rPr>
                  </w:pPr>
                  <w:r>
                    <w:rPr>
                      <w:rFonts w:hint="default"/>
                      <w:color w:val="auto"/>
                      <w:highlight w:val="none"/>
                    </w:rPr>
                    <w:t>《大气污染物综合排放标准》（GB16297</w:t>
                  </w:r>
                  <w:r>
                    <w:rPr>
                      <w:rFonts w:hint="eastAsia" w:eastAsia="黑体" w:cs="Times New Roman"/>
                      <w:color w:val="auto"/>
                      <w:sz w:val="24"/>
                      <w:szCs w:val="24"/>
                      <w:highlight w:val="none"/>
                      <w:lang w:val="en-US" w:eastAsia="zh-CN"/>
                    </w:rPr>
                    <w:t>—</w:t>
                  </w:r>
                  <w:r>
                    <w:rPr>
                      <w:rFonts w:hint="default"/>
                      <w:color w:val="auto"/>
                      <w:highlight w:val="none"/>
                    </w:rPr>
                    <w:t>1996）</w:t>
                  </w:r>
                </w:p>
              </w:tc>
            </w:tr>
          </w:tbl>
          <w:p w14:paraId="0C1B6E5C">
            <w:pPr>
              <w:ind w:firstLine="48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rPr>
              <w:t>噪声</w:t>
            </w:r>
          </w:p>
          <w:p w14:paraId="43BF4C20">
            <w:pPr>
              <w:ind w:firstLine="480"/>
              <w:rPr>
                <w:rFonts w:hint="eastAsia"/>
                <w:color w:val="auto"/>
                <w:highlight w:val="none"/>
              </w:rPr>
            </w:pPr>
            <w:r>
              <w:rPr>
                <w:color w:val="auto"/>
                <w:highlight w:val="none"/>
              </w:rPr>
              <w:t>施工期噪声执行</w:t>
            </w:r>
            <w:r>
              <w:rPr>
                <w:rFonts w:hint="eastAsia"/>
                <w:color w:val="auto"/>
                <w:highlight w:val="none"/>
                <w:lang w:eastAsia="zh-CN"/>
              </w:rPr>
              <w:t>《建筑施工噪声排放标准》（GB 12523</w:t>
            </w:r>
            <w:r>
              <w:rPr>
                <w:rFonts w:hint="eastAsia" w:eastAsia="黑体" w:cs="Times New Roman"/>
                <w:color w:val="auto"/>
                <w:sz w:val="24"/>
                <w:szCs w:val="24"/>
                <w:highlight w:val="none"/>
                <w:lang w:val="en-US" w:eastAsia="zh-CN"/>
              </w:rPr>
              <w:t>—</w:t>
            </w:r>
            <w:r>
              <w:rPr>
                <w:rFonts w:hint="eastAsia"/>
                <w:color w:val="auto"/>
                <w:highlight w:val="none"/>
                <w:lang w:eastAsia="zh-CN"/>
              </w:rPr>
              <w:t>2025）</w:t>
            </w:r>
            <w:r>
              <w:rPr>
                <w:color w:val="auto"/>
                <w:highlight w:val="none"/>
              </w:rPr>
              <w:t>，见表</w:t>
            </w:r>
            <w:r>
              <w:rPr>
                <w:rFonts w:hint="eastAsia"/>
                <w:color w:val="auto"/>
                <w:highlight w:val="none"/>
              </w:rPr>
              <w:t>3-</w:t>
            </w:r>
            <w:r>
              <w:rPr>
                <w:rFonts w:hint="eastAsia"/>
                <w:color w:val="auto"/>
                <w:highlight w:val="none"/>
                <w:lang w:val="en-US" w:eastAsia="zh-CN"/>
              </w:rPr>
              <w:t>15</w:t>
            </w:r>
            <w:r>
              <w:rPr>
                <w:rFonts w:hint="eastAsia"/>
                <w:color w:val="auto"/>
                <w:highlight w:val="none"/>
              </w:rPr>
              <w:t>。</w:t>
            </w:r>
          </w:p>
          <w:p w14:paraId="62199FA3">
            <w:pPr>
              <w:pStyle w:val="28"/>
              <w:jc w:val="center"/>
              <w:rPr>
                <w:color w:val="auto"/>
                <w:highlight w:val="none"/>
              </w:rPr>
            </w:pPr>
            <w:r>
              <w:rPr>
                <w:rFonts w:hint="default"/>
                <w:color w:val="auto"/>
                <w:highlight w:val="none"/>
              </w:rPr>
              <w:t>表</w:t>
            </w:r>
            <w:r>
              <w:rPr>
                <w:color w:val="auto"/>
                <w:highlight w:val="none"/>
              </w:rPr>
              <w:t>3-</w:t>
            </w:r>
            <w:r>
              <w:rPr>
                <w:rFonts w:hint="eastAsia"/>
                <w:color w:val="auto"/>
                <w:highlight w:val="none"/>
                <w:lang w:val="en-US" w:eastAsia="zh-CN"/>
              </w:rPr>
              <w:t xml:space="preserve">15 </w:t>
            </w:r>
            <w:r>
              <w:rPr>
                <w:rFonts w:hint="default"/>
                <w:color w:val="auto"/>
                <w:highlight w:val="none"/>
              </w:rPr>
              <w:t xml:space="preserve"> 建筑施工噪声排放标准</w:t>
            </w:r>
            <w:r>
              <w:rPr>
                <w:color w:val="auto"/>
                <w:highlight w:val="none"/>
              </w:rPr>
              <w:t>（</w:t>
            </w:r>
            <w:r>
              <w:rPr>
                <w:rFonts w:hint="default"/>
                <w:color w:val="auto"/>
                <w:highlight w:val="none"/>
              </w:rPr>
              <w:t>单位：dB</w:t>
            </w:r>
            <w:r>
              <w:rPr>
                <w:color w:val="auto"/>
                <w:highlight w:val="none"/>
              </w:rPr>
              <w:t>（</w:t>
            </w:r>
            <w:r>
              <w:rPr>
                <w:rFonts w:hint="default"/>
                <w:color w:val="auto"/>
                <w:highlight w:val="none"/>
              </w:rPr>
              <w:t>A</w:t>
            </w:r>
            <w:r>
              <w:rPr>
                <w:color w:val="auto"/>
                <w:highlight w:val="none"/>
              </w:rPr>
              <w:t>））</w:t>
            </w:r>
          </w:p>
          <w:tbl>
            <w:tblPr>
              <w:tblStyle w:val="18"/>
              <w:tblW w:w="755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81"/>
              <w:gridCol w:w="1173"/>
              <w:gridCol w:w="5204"/>
            </w:tblGrid>
            <w:tr w14:paraId="6398A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181" w:type="dxa"/>
                  <w:tcBorders>
                    <w:left w:val="nil"/>
                  </w:tcBorders>
                  <w:noWrap w:val="0"/>
                  <w:vAlign w:val="center"/>
                </w:tcPr>
                <w:p w14:paraId="20327ACB">
                  <w:pPr>
                    <w:autoSpaceDE w:val="0"/>
                    <w:autoSpaceDN w:val="0"/>
                    <w:adjustRightInd w:val="0"/>
                    <w:spacing w:line="240" w:lineRule="auto"/>
                    <w:ind w:firstLine="0" w:firstLineChars="0"/>
                    <w:jc w:val="center"/>
                    <w:rPr>
                      <w:color w:val="auto"/>
                      <w:sz w:val="21"/>
                      <w:szCs w:val="21"/>
                      <w:highlight w:val="none"/>
                    </w:rPr>
                  </w:pPr>
                  <w:r>
                    <w:rPr>
                      <w:color w:val="auto"/>
                      <w:sz w:val="21"/>
                      <w:szCs w:val="21"/>
                      <w:highlight w:val="none"/>
                    </w:rPr>
                    <w:t>昼间</w:t>
                  </w:r>
                </w:p>
              </w:tc>
              <w:tc>
                <w:tcPr>
                  <w:tcW w:w="1173" w:type="dxa"/>
                  <w:noWrap w:val="0"/>
                  <w:vAlign w:val="center"/>
                </w:tcPr>
                <w:p w14:paraId="763B9C08">
                  <w:pPr>
                    <w:autoSpaceDE w:val="0"/>
                    <w:autoSpaceDN w:val="0"/>
                    <w:adjustRightInd w:val="0"/>
                    <w:spacing w:line="240" w:lineRule="auto"/>
                    <w:ind w:firstLine="0" w:firstLineChars="0"/>
                    <w:jc w:val="center"/>
                    <w:rPr>
                      <w:color w:val="auto"/>
                      <w:sz w:val="21"/>
                      <w:szCs w:val="21"/>
                      <w:highlight w:val="none"/>
                    </w:rPr>
                  </w:pPr>
                  <w:r>
                    <w:rPr>
                      <w:color w:val="auto"/>
                      <w:sz w:val="21"/>
                      <w:szCs w:val="21"/>
                      <w:highlight w:val="none"/>
                    </w:rPr>
                    <w:t>夜间</w:t>
                  </w:r>
                </w:p>
              </w:tc>
              <w:tc>
                <w:tcPr>
                  <w:tcW w:w="5204" w:type="dxa"/>
                  <w:tcBorders>
                    <w:right w:val="nil"/>
                  </w:tcBorders>
                  <w:noWrap w:val="0"/>
                  <w:vAlign w:val="center"/>
                </w:tcPr>
                <w:p w14:paraId="3B77E7AE">
                  <w:pPr>
                    <w:autoSpaceDE w:val="0"/>
                    <w:autoSpaceDN w:val="0"/>
                    <w:adjustRightInd w:val="0"/>
                    <w:spacing w:line="240" w:lineRule="auto"/>
                    <w:ind w:firstLine="0" w:firstLineChars="0"/>
                    <w:jc w:val="center"/>
                    <w:rPr>
                      <w:color w:val="auto"/>
                      <w:sz w:val="21"/>
                      <w:szCs w:val="21"/>
                      <w:highlight w:val="none"/>
                    </w:rPr>
                  </w:pPr>
                  <w:r>
                    <w:rPr>
                      <w:color w:val="auto"/>
                      <w:sz w:val="21"/>
                      <w:szCs w:val="21"/>
                      <w:highlight w:val="none"/>
                    </w:rPr>
                    <w:t>标准</w:t>
                  </w:r>
                </w:p>
              </w:tc>
            </w:tr>
            <w:tr w14:paraId="1522EF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181" w:type="dxa"/>
                  <w:tcBorders>
                    <w:left w:val="nil"/>
                  </w:tcBorders>
                  <w:noWrap w:val="0"/>
                  <w:vAlign w:val="center"/>
                </w:tcPr>
                <w:p w14:paraId="75E01694">
                  <w:pPr>
                    <w:autoSpaceDE w:val="0"/>
                    <w:autoSpaceDN w:val="0"/>
                    <w:adjustRightInd w:val="0"/>
                    <w:spacing w:line="240" w:lineRule="auto"/>
                    <w:ind w:firstLine="0" w:firstLineChars="0"/>
                    <w:jc w:val="center"/>
                    <w:rPr>
                      <w:color w:val="auto"/>
                      <w:sz w:val="21"/>
                      <w:szCs w:val="21"/>
                      <w:highlight w:val="none"/>
                    </w:rPr>
                  </w:pPr>
                  <w:r>
                    <w:rPr>
                      <w:color w:val="auto"/>
                      <w:sz w:val="21"/>
                      <w:szCs w:val="21"/>
                      <w:highlight w:val="none"/>
                    </w:rPr>
                    <w:t>70</w:t>
                  </w:r>
                </w:p>
              </w:tc>
              <w:tc>
                <w:tcPr>
                  <w:tcW w:w="1173" w:type="dxa"/>
                  <w:noWrap w:val="0"/>
                  <w:vAlign w:val="center"/>
                </w:tcPr>
                <w:p w14:paraId="4343A7CA">
                  <w:pPr>
                    <w:autoSpaceDE w:val="0"/>
                    <w:autoSpaceDN w:val="0"/>
                    <w:adjustRightInd w:val="0"/>
                    <w:spacing w:line="240" w:lineRule="auto"/>
                    <w:ind w:firstLine="0" w:firstLineChars="0"/>
                    <w:jc w:val="center"/>
                    <w:rPr>
                      <w:color w:val="auto"/>
                      <w:sz w:val="21"/>
                      <w:szCs w:val="21"/>
                      <w:highlight w:val="none"/>
                    </w:rPr>
                  </w:pPr>
                  <w:r>
                    <w:rPr>
                      <w:color w:val="auto"/>
                      <w:sz w:val="21"/>
                      <w:szCs w:val="21"/>
                      <w:highlight w:val="none"/>
                    </w:rPr>
                    <w:t>55</w:t>
                  </w:r>
                </w:p>
              </w:tc>
              <w:tc>
                <w:tcPr>
                  <w:tcW w:w="5204" w:type="dxa"/>
                  <w:tcBorders>
                    <w:right w:val="nil"/>
                  </w:tcBorders>
                  <w:noWrap w:val="0"/>
                  <w:vAlign w:val="center"/>
                </w:tcPr>
                <w:p w14:paraId="494CA542">
                  <w:pPr>
                    <w:autoSpaceDE w:val="0"/>
                    <w:autoSpaceDN w:val="0"/>
                    <w:adjustRightInd w:val="0"/>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lang w:eastAsia="zh-CN"/>
                    </w:rPr>
                    <w:t>《建筑施工噪声排放标准》（GB 12523</w:t>
                  </w:r>
                  <w:r>
                    <w:rPr>
                      <w:rFonts w:hint="eastAsia" w:eastAsia="黑体" w:cs="Times New Roman"/>
                      <w:color w:val="auto"/>
                      <w:sz w:val="24"/>
                      <w:szCs w:val="24"/>
                      <w:highlight w:val="none"/>
                      <w:lang w:val="en-US" w:eastAsia="zh-CN"/>
                    </w:rPr>
                    <w:t>—</w:t>
                  </w:r>
                  <w:r>
                    <w:rPr>
                      <w:rFonts w:hint="eastAsia"/>
                      <w:color w:val="auto"/>
                      <w:sz w:val="21"/>
                      <w:szCs w:val="21"/>
                      <w:highlight w:val="none"/>
                      <w:lang w:eastAsia="zh-CN"/>
                    </w:rPr>
                    <w:t>2025）</w:t>
                  </w:r>
                </w:p>
              </w:tc>
            </w:tr>
          </w:tbl>
          <w:p w14:paraId="22C97836">
            <w:pPr>
              <w:spacing w:line="360" w:lineRule="auto"/>
              <w:ind w:firstLine="480" w:firstLineChars="200"/>
              <w:rPr>
                <w:rFonts w:cs="宋体"/>
                <w:color w:val="auto"/>
                <w:kern w:val="0"/>
                <w:szCs w:val="21"/>
              </w:rPr>
            </w:pPr>
            <w:r>
              <w:rPr>
                <w:rFonts w:hint="eastAsia" w:cs="宋体"/>
                <w:color w:val="auto"/>
                <w:kern w:val="0"/>
                <w:szCs w:val="21"/>
              </w:rPr>
              <w:t>（</w:t>
            </w:r>
            <w:r>
              <w:rPr>
                <w:rFonts w:hint="eastAsia" w:cs="宋体"/>
                <w:color w:val="auto"/>
                <w:kern w:val="0"/>
                <w:szCs w:val="21"/>
                <w:lang w:val="en-US" w:eastAsia="zh-CN"/>
              </w:rPr>
              <w:t>3</w:t>
            </w:r>
            <w:r>
              <w:rPr>
                <w:rFonts w:hint="eastAsia" w:cs="宋体"/>
                <w:color w:val="auto"/>
                <w:kern w:val="0"/>
                <w:szCs w:val="21"/>
              </w:rPr>
              <w:t>）固体废物</w:t>
            </w:r>
          </w:p>
          <w:p w14:paraId="7D6BDE62">
            <w:pPr>
              <w:pStyle w:val="34"/>
              <w:ind w:firstLine="480"/>
              <w:rPr>
                <w:rFonts w:hint="default"/>
                <w:color w:val="auto"/>
                <w:highlight w:val="none"/>
              </w:rPr>
            </w:pPr>
            <w:r>
              <w:rPr>
                <w:rFonts w:hint="eastAsia" w:cs="宋体"/>
                <w:color w:val="auto"/>
                <w:kern w:val="0"/>
                <w:szCs w:val="21"/>
              </w:rPr>
              <w:t>本项目</w:t>
            </w:r>
            <w:r>
              <w:rPr>
                <w:rFonts w:hint="eastAsia" w:cs="宋体"/>
                <w:color w:val="auto"/>
                <w:kern w:val="0"/>
                <w:szCs w:val="21"/>
                <w:lang w:eastAsia="zh-CN"/>
              </w:rPr>
              <w:t>建筑垃圾</w:t>
            </w:r>
            <w:r>
              <w:rPr>
                <w:rFonts w:hint="eastAsia" w:cs="宋体"/>
                <w:color w:val="auto"/>
                <w:kern w:val="0"/>
                <w:szCs w:val="21"/>
              </w:rPr>
              <w:t>贮存、处置执行</w:t>
            </w:r>
            <w:r>
              <w:rPr>
                <w:rFonts w:hint="eastAsia"/>
                <w:color w:val="auto"/>
              </w:rPr>
              <w:t>《建筑垃圾处理技术标准》</w:t>
            </w:r>
            <w:r>
              <w:rPr>
                <w:rFonts w:hint="eastAsia" w:cs="宋体"/>
                <w:color w:val="auto"/>
                <w:kern w:val="0"/>
                <w:szCs w:val="21"/>
              </w:rPr>
              <w:t>（</w:t>
            </w:r>
            <w:r>
              <w:rPr>
                <w:rFonts w:hint="eastAsia" w:cs="宋体"/>
                <w:color w:val="auto"/>
                <w:kern w:val="0"/>
                <w:szCs w:val="21"/>
                <w:lang w:val="en-US" w:eastAsia="zh-CN"/>
              </w:rPr>
              <w:t>CJJ/T</w:t>
            </w:r>
            <w:r>
              <w:rPr>
                <w:rFonts w:hint="eastAsia" w:cs="宋体"/>
                <w:color w:val="auto"/>
                <w:kern w:val="0"/>
                <w:szCs w:val="21"/>
              </w:rPr>
              <w:t xml:space="preserve"> </w:t>
            </w:r>
            <w:r>
              <w:rPr>
                <w:rFonts w:hint="eastAsia" w:cs="宋体"/>
                <w:color w:val="auto"/>
                <w:kern w:val="0"/>
                <w:szCs w:val="21"/>
                <w:lang w:val="en-US" w:eastAsia="zh-CN"/>
              </w:rPr>
              <w:t>134</w:t>
            </w:r>
            <w:r>
              <w:rPr>
                <w:rFonts w:hint="eastAsia" w:eastAsia="黑体" w:cs="Times New Roman"/>
                <w:color w:val="auto"/>
                <w:sz w:val="24"/>
                <w:szCs w:val="24"/>
                <w:highlight w:val="none"/>
                <w:lang w:val="en-US" w:eastAsia="zh-CN"/>
              </w:rPr>
              <w:t>—</w:t>
            </w:r>
            <w:r>
              <w:rPr>
                <w:rFonts w:hint="eastAsia" w:cs="宋体"/>
                <w:color w:val="auto"/>
                <w:kern w:val="0"/>
                <w:szCs w:val="21"/>
                <w:lang w:val="en-US" w:eastAsia="zh-CN"/>
              </w:rPr>
              <w:t>2019</w:t>
            </w:r>
            <w:r>
              <w:rPr>
                <w:rFonts w:hint="eastAsia" w:cs="宋体"/>
                <w:color w:val="auto"/>
                <w:kern w:val="0"/>
                <w:szCs w:val="21"/>
              </w:rPr>
              <w:t>）。</w:t>
            </w:r>
          </w:p>
        </w:tc>
      </w:tr>
      <w:tr w14:paraId="61EDDC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91" w:hRule="atLeast"/>
          <w:jc w:val="center"/>
        </w:trPr>
        <w:tc>
          <w:tcPr>
            <w:tcW w:w="491" w:type="pct"/>
            <w:noWrap w:val="0"/>
            <w:vAlign w:val="center"/>
          </w:tcPr>
          <w:p w14:paraId="44E7E675">
            <w:pPr>
              <w:pStyle w:val="38"/>
              <w:jc w:val="both"/>
              <w:rPr>
                <w:color w:val="auto"/>
                <w:highlight w:val="none"/>
              </w:rPr>
            </w:pPr>
            <w:r>
              <w:rPr>
                <w:color w:val="auto"/>
                <w:highlight w:val="none"/>
              </w:rPr>
              <w:t>其他</w:t>
            </w:r>
          </w:p>
        </w:tc>
        <w:tc>
          <w:tcPr>
            <w:tcW w:w="4508" w:type="pct"/>
            <w:noWrap w:val="0"/>
            <w:vAlign w:val="center"/>
          </w:tcPr>
          <w:p w14:paraId="6C13FB14">
            <w:pPr>
              <w:pStyle w:val="34"/>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eastAsia" w:eastAsia="宋体"/>
                <w:color w:val="auto"/>
                <w:highlight w:val="none"/>
                <w:lang w:eastAsia="zh-CN"/>
              </w:rPr>
            </w:pPr>
            <w:r>
              <w:rPr>
                <w:color w:val="auto"/>
                <w:highlight w:val="none"/>
              </w:rPr>
              <w:t>无</w:t>
            </w:r>
          </w:p>
        </w:tc>
      </w:tr>
    </w:tbl>
    <w:p w14:paraId="3D0494BE">
      <w:pPr>
        <w:ind w:firstLine="0" w:firstLineChars="0"/>
        <w:outlineLvl w:val="0"/>
        <w:rPr>
          <w:rFonts w:hint="eastAsia" w:ascii="黑体" w:hAnsi="黑体" w:eastAsia="黑体"/>
          <w:snapToGrid w:val="0"/>
          <w:color w:val="auto"/>
          <w:sz w:val="30"/>
          <w:szCs w:val="30"/>
          <w:highlight w:val="none"/>
        </w:rPr>
        <w:sectPr>
          <w:pgSz w:w="11906" w:h="16838"/>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33B29A87">
      <w:pPr>
        <w:pStyle w:val="31"/>
        <w:rPr>
          <w:color w:val="auto"/>
          <w:highlight w:val="none"/>
        </w:rPr>
      </w:pPr>
      <w:bookmarkStart w:id="8" w:name="_Toc10426"/>
      <w:bookmarkStart w:id="9" w:name="_Toc13685"/>
      <w:r>
        <w:rPr>
          <w:color w:val="auto"/>
          <w:highlight w:val="none"/>
        </w:rPr>
        <w:t>四、生态环境影响分析</w:t>
      </w:r>
      <w:bookmarkEnd w:id="8"/>
      <w:bookmarkEnd w:id="9"/>
    </w:p>
    <w:tbl>
      <w:tblPr>
        <w:tblStyle w:val="18"/>
        <w:tblW w:w="529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58"/>
        <w:gridCol w:w="7874"/>
      </w:tblGrid>
      <w:tr w14:paraId="168269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2" w:type="pct"/>
            <w:noWrap w:val="0"/>
            <w:tcMar>
              <w:left w:w="28" w:type="dxa"/>
              <w:right w:w="28" w:type="dxa"/>
            </w:tcMar>
            <w:vAlign w:val="center"/>
          </w:tcPr>
          <w:p w14:paraId="62AED44C">
            <w:pPr>
              <w:pStyle w:val="38"/>
              <w:rPr>
                <w:color w:val="auto"/>
                <w:highlight w:val="none"/>
              </w:rPr>
            </w:pPr>
            <w:bookmarkStart w:id="10" w:name="_Hlk49796138"/>
            <w:r>
              <w:rPr>
                <w:color w:val="auto"/>
                <w:highlight w:val="none"/>
              </w:rPr>
              <w:t>施工期生态环境影响分析</w:t>
            </w:r>
            <w:bookmarkEnd w:id="10"/>
          </w:p>
        </w:tc>
        <w:tc>
          <w:tcPr>
            <w:tcW w:w="4407" w:type="pct"/>
            <w:noWrap w:val="0"/>
            <w:vAlign w:val="top"/>
          </w:tcPr>
          <w:p w14:paraId="0F304EDB">
            <w:pPr>
              <w:pStyle w:val="34"/>
              <w:ind w:firstLine="480"/>
              <w:rPr>
                <w:color w:val="auto"/>
                <w:highlight w:val="none"/>
              </w:rPr>
            </w:pPr>
            <w:r>
              <w:rPr>
                <w:rFonts w:hint="eastAsia"/>
                <w:color w:val="auto"/>
                <w:highlight w:val="none"/>
                <w:lang w:val="en-US" w:eastAsia="zh-CN"/>
              </w:rPr>
              <w:t>1、</w:t>
            </w:r>
            <w:r>
              <w:rPr>
                <w:color w:val="auto"/>
                <w:highlight w:val="none"/>
              </w:rPr>
              <w:t>生态影响分析</w:t>
            </w:r>
          </w:p>
          <w:p w14:paraId="0B7A4D27">
            <w:pPr>
              <w:rPr>
                <w:rFonts w:hint="eastAsia" w:eastAsia="宋体"/>
                <w:color w:val="auto"/>
                <w:highlight w:val="none"/>
                <w:lang w:val="en-US" w:eastAsia="zh-CN"/>
              </w:rPr>
            </w:pPr>
            <w:r>
              <w:rPr>
                <w:color w:val="auto"/>
                <w:sz w:val="24"/>
                <w:szCs w:val="24"/>
                <w:highlight w:val="none"/>
              </w:rPr>
              <w:t>本项目</w:t>
            </w:r>
            <w:r>
              <w:rPr>
                <w:rFonts w:hint="eastAsia"/>
                <w:color w:val="auto"/>
                <w:highlight w:val="none"/>
                <w:lang w:val="en-US" w:eastAsia="zh-CN"/>
              </w:rPr>
              <w:t>线路桩号K18+920</w:t>
            </w:r>
            <w:r>
              <w:rPr>
                <w:rFonts w:hint="eastAsia" w:ascii="Times New Roman" w:hAnsi="Times New Roman" w:eastAsia="宋体" w:cs="Times New Roman"/>
                <w:color w:val="auto"/>
                <w:highlight w:val="none"/>
                <w:lang w:val="en-US" w:eastAsia="zh-CN"/>
              </w:rPr>
              <w:t>～</w:t>
            </w:r>
            <w:r>
              <w:rPr>
                <w:rFonts w:hint="eastAsia"/>
                <w:color w:val="auto"/>
                <w:highlight w:val="none"/>
                <w:lang w:val="en-US" w:eastAsia="zh-CN"/>
              </w:rPr>
              <w:t>K20+680</w:t>
            </w:r>
            <w:r>
              <w:rPr>
                <w:rFonts w:hint="eastAsia"/>
                <w:color w:val="auto"/>
                <w:sz w:val="24"/>
                <w:szCs w:val="24"/>
                <w:highlight w:val="none"/>
                <w:lang w:val="en-US" w:eastAsia="zh-CN"/>
              </w:rPr>
              <w:t>段约1.76km</w:t>
            </w:r>
            <w:r>
              <w:rPr>
                <w:color w:val="auto"/>
                <w:sz w:val="24"/>
                <w:szCs w:val="24"/>
                <w:highlight w:val="none"/>
              </w:rPr>
              <w:t>穿越生态保护</w:t>
            </w:r>
            <w:r>
              <w:rPr>
                <w:rFonts w:hint="eastAsia" w:ascii="Times New Roman" w:hAnsi="Times New Roman" w:eastAsia="宋体" w:cs="Times New Roman"/>
                <w:color w:val="auto"/>
                <w:highlight w:val="none"/>
                <w:lang w:val="en-US" w:eastAsia="zh-CN"/>
              </w:rPr>
              <w:t>红线；本项目线路桩号</w:t>
            </w:r>
            <w:r>
              <w:rPr>
                <w:rFonts w:hint="eastAsia"/>
                <w:color w:val="auto"/>
                <w:sz w:val="24"/>
                <w:szCs w:val="24"/>
                <w:highlight w:val="none"/>
                <w:lang w:val="en-US" w:eastAsia="zh-CN"/>
              </w:rPr>
              <w:t>K19+150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w:t>
            </w:r>
            <w:r>
              <w:rPr>
                <w:rFonts w:hint="eastAsia" w:ascii="Times New Roman" w:hAnsi="Times New Roman" w:eastAsia="宋体" w:cs="Times New Roman"/>
                <w:color w:val="auto"/>
                <w:highlight w:val="none"/>
                <w:lang w:val="en-US" w:eastAsia="zh-CN"/>
              </w:rPr>
              <w:t>段约1.53km穿越黑龙江东升省级自然</w:t>
            </w:r>
            <w:r>
              <w:rPr>
                <w:rFonts w:hint="eastAsia"/>
                <w:color w:val="auto"/>
                <w:kern w:val="0"/>
                <w:szCs w:val="21"/>
                <w:highlight w:val="none"/>
              </w:rPr>
              <w:t>保护区</w:t>
            </w:r>
            <w:r>
              <w:rPr>
                <w:rFonts w:hint="eastAsia"/>
                <w:color w:val="auto"/>
                <w:kern w:val="0"/>
                <w:szCs w:val="21"/>
                <w:highlight w:val="none"/>
                <w:lang w:eastAsia="zh-CN"/>
              </w:rPr>
              <w:t>；</w:t>
            </w:r>
            <w:r>
              <w:rPr>
                <w:rFonts w:hint="eastAsia"/>
                <w:color w:val="auto"/>
                <w:highlight w:val="none"/>
                <w:lang w:val="en-US" w:eastAsia="zh-CN"/>
              </w:rPr>
              <w:t>线路桩号K40+900～K51+600段约10.7km穿越黑龙江完达山国家级森林公园</w:t>
            </w:r>
            <w:r>
              <w:rPr>
                <w:rFonts w:hint="eastAsia"/>
                <w:color w:val="auto"/>
                <w:sz w:val="24"/>
                <w:szCs w:val="24"/>
                <w:highlight w:val="none"/>
                <w:lang w:val="en-US" w:eastAsia="zh-CN"/>
              </w:rPr>
              <w:t>。</w:t>
            </w:r>
            <w:r>
              <w:rPr>
                <w:rFonts w:hint="eastAsia"/>
                <w:color w:val="auto"/>
                <w:highlight w:val="none"/>
                <w:lang w:val="en-US" w:eastAsia="zh-CN"/>
              </w:rPr>
              <w:t>本项目评价范围内分布有重要野生动植物，但多分布在远离公路区域，在工程占地范围内未发现重要野生植物及重要野生动物栖息地分布。工程虽然占用生态敏感区，但本项目为改扩建项目，不新增永久占地，均沿原有路线建设，不进行路基帮宽，穿越生态敏感区</w:t>
            </w:r>
            <w:r>
              <w:rPr>
                <w:rFonts w:hint="eastAsia"/>
                <w:color w:val="auto"/>
                <w:kern w:val="0"/>
                <w:sz w:val="24"/>
                <w:szCs w:val="24"/>
                <w:highlight w:val="none"/>
                <w:lang w:eastAsia="zh-CN"/>
              </w:rPr>
              <w:t>路段</w:t>
            </w:r>
            <w:r>
              <w:rPr>
                <w:rFonts w:ascii="宋体" w:hAnsi="宋体" w:eastAsia="宋体" w:cs="宋体"/>
                <w:color w:val="auto"/>
                <w:sz w:val="24"/>
                <w:szCs w:val="24"/>
              </w:rPr>
              <w:t>对现状既有路面</w:t>
            </w:r>
            <w:r>
              <w:rPr>
                <w:rFonts w:hint="eastAsia" w:ascii="宋体" w:hAnsi="宋体" w:cs="宋体"/>
                <w:color w:val="auto"/>
                <w:sz w:val="24"/>
                <w:szCs w:val="24"/>
                <w:lang w:eastAsia="zh-CN"/>
              </w:rPr>
              <w:t>实施养护维修作业</w:t>
            </w:r>
            <w:r>
              <w:rPr>
                <w:rFonts w:ascii="宋体" w:hAnsi="宋体" w:eastAsia="宋体" w:cs="宋体"/>
                <w:color w:val="auto"/>
                <w:sz w:val="24"/>
                <w:szCs w:val="24"/>
              </w:rPr>
              <w:t>，不新增道路占地、不拓宽路面及路基</w:t>
            </w:r>
            <w:r>
              <w:rPr>
                <w:rFonts w:hint="eastAsia" w:ascii="Times New Roman" w:hAnsi="Times New Roman"/>
                <w:color w:val="auto"/>
                <w:sz w:val="24"/>
                <w:szCs w:val="24"/>
                <w:highlight w:val="none"/>
                <w:lang w:eastAsia="zh-CN"/>
              </w:rPr>
              <w:t>；其他路段</w:t>
            </w:r>
            <w:r>
              <w:rPr>
                <w:rFonts w:hint="eastAsia" w:ascii="Times New Roman" w:hAnsi="Times New Roman" w:eastAsia="宋体" w:cs="Times New Roman"/>
                <w:color w:val="auto"/>
                <w:sz w:val="24"/>
                <w:szCs w:val="24"/>
              </w:rPr>
              <w:t>对局部存在翻浆、沉陷、破损病害的不达标路基，开展旧路基底清理、病害处置、路基回填压实等翻浆整改作业</w:t>
            </w:r>
            <w:r>
              <w:rPr>
                <w:rFonts w:hint="eastAsia" w:cs="Times New Roman"/>
                <w:color w:val="auto"/>
                <w:sz w:val="24"/>
                <w:szCs w:val="24"/>
                <w:lang w:eastAsia="zh-CN"/>
              </w:rPr>
              <w:t>，</w:t>
            </w:r>
            <w:r>
              <w:rPr>
                <w:rFonts w:hint="eastAsia" w:ascii="Times New Roman" w:hAnsi="Times New Roman" w:eastAsia="宋体" w:cs="Times New Roman"/>
                <w:color w:val="auto"/>
                <w:sz w:val="24"/>
                <w:szCs w:val="24"/>
              </w:rPr>
              <w:t>对现状完好、结构稳定的原有路基实施</w:t>
            </w:r>
            <w:r>
              <w:rPr>
                <w:rFonts w:hint="eastAsia" w:cs="Times New Roman"/>
                <w:color w:val="auto"/>
                <w:sz w:val="24"/>
                <w:szCs w:val="24"/>
                <w:lang w:eastAsia="zh-CN"/>
              </w:rPr>
              <w:t>路面帮宽作业</w:t>
            </w:r>
            <w:r>
              <w:rPr>
                <w:rFonts w:hint="eastAsia" w:ascii="Times New Roman" w:hAnsi="Times New Roman"/>
                <w:color w:val="auto"/>
                <w:sz w:val="24"/>
                <w:szCs w:val="24"/>
                <w:highlight w:val="none"/>
                <w:lang w:eastAsia="zh-CN"/>
              </w:rPr>
              <w:t>。</w:t>
            </w:r>
            <w:r>
              <w:rPr>
                <w:rFonts w:hint="eastAsia"/>
                <w:color w:val="auto"/>
                <w:sz w:val="24"/>
                <w:szCs w:val="24"/>
                <w:highlight w:val="none"/>
                <w:lang w:val="en-US" w:eastAsia="zh-CN"/>
              </w:rPr>
              <w:t>工程占地相对评价区面积占地较小，占地范围内分布的基本为常见野生动植物，因此工程施工中对野生动植物资源、生态系统、</w:t>
            </w:r>
            <w:r>
              <w:rPr>
                <w:rFonts w:hint="eastAsia"/>
                <w:color w:val="auto"/>
                <w:highlight w:val="none"/>
                <w:lang w:val="en-US" w:eastAsia="zh-CN"/>
              </w:rPr>
              <w:t>生物多样性、生态敏感区的影响较小。</w:t>
            </w:r>
          </w:p>
          <w:p w14:paraId="37EFE897">
            <w:pPr>
              <w:spacing w:line="360" w:lineRule="auto"/>
              <w:ind w:firstLine="480" w:firstLineChars="200"/>
              <w:rPr>
                <w:color w:val="auto"/>
                <w:szCs w:val="21"/>
                <w:highlight w:val="none"/>
              </w:rPr>
            </w:pPr>
            <w:r>
              <w:rPr>
                <w:color w:val="auto"/>
                <w:highlight w:val="none"/>
              </w:rPr>
              <w:t>生态影响分析具体内容详见</w:t>
            </w:r>
            <w:r>
              <w:rPr>
                <w:rFonts w:hint="eastAsia"/>
                <w:color w:val="auto"/>
                <w:szCs w:val="21"/>
                <w:highlight w:val="none"/>
              </w:rPr>
              <w:t>生态</w:t>
            </w:r>
            <w:r>
              <w:rPr>
                <w:rFonts w:hint="eastAsia" w:cs="宋体"/>
                <w:color w:val="auto"/>
                <w:kern w:val="0"/>
                <w:szCs w:val="21"/>
                <w:highlight w:val="none"/>
              </w:rPr>
              <w:t>环境影响</w:t>
            </w:r>
            <w:r>
              <w:rPr>
                <w:rFonts w:hint="eastAsia"/>
                <w:color w:val="auto"/>
                <w:szCs w:val="21"/>
                <w:highlight w:val="none"/>
              </w:rPr>
              <w:t>专项评价</w:t>
            </w:r>
            <w:r>
              <w:rPr>
                <w:color w:val="auto"/>
                <w:szCs w:val="21"/>
                <w:highlight w:val="none"/>
              </w:rPr>
              <w:t>。</w:t>
            </w:r>
          </w:p>
          <w:p w14:paraId="78A3FABC">
            <w:pPr>
              <w:pStyle w:val="34"/>
              <w:ind w:firstLine="480"/>
              <w:rPr>
                <w:color w:val="auto"/>
                <w:highlight w:val="none"/>
              </w:rPr>
            </w:pPr>
            <w:r>
              <w:rPr>
                <w:rFonts w:hint="eastAsia"/>
                <w:color w:val="auto"/>
                <w:highlight w:val="none"/>
                <w:lang w:val="en-US" w:eastAsia="zh-CN"/>
              </w:rPr>
              <w:t>2、</w:t>
            </w:r>
            <w:r>
              <w:rPr>
                <w:color w:val="auto"/>
                <w:highlight w:val="none"/>
              </w:rPr>
              <w:t>环境空气影响分析</w:t>
            </w:r>
          </w:p>
          <w:p w14:paraId="2BB0BB12">
            <w:pPr>
              <w:pStyle w:val="34"/>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）施工扬尘</w:t>
            </w:r>
          </w:p>
          <w:p w14:paraId="1C4F5797">
            <w:pPr>
              <w:pStyle w:val="34"/>
              <w:ind w:firstLine="480"/>
              <w:rPr>
                <w:color w:val="auto"/>
                <w:highlight w:val="none"/>
              </w:rPr>
            </w:pPr>
            <w:r>
              <w:rPr>
                <w:rFonts w:hint="eastAsia"/>
                <w:color w:val="auto"/>
                <w:highlight w:val="none"/>
                <w:lang w:eastAsia="zh-CN"/>
              </w:rPr>
              <w:t>①</w:t>
            </w:r>
            <w:r>
              <w:rPr>
                <w:color w:val="auto"/>
                <w:highlight w:val="none"/>
              </w:rPr>
              <w:t>散体材料储料场扬尘</w:t>
            </w:r>
          </w:p>
          <w:p w14:paraId="4A1FDF63">
            <w:pPr>
              <w:pStyle w:val="34"/>
              <w:ind w:firstLine="480"/>
              <w:rPr>
                <w:color w:val="auto"/>
                <w:highlight w:val="none"/>
              </w:rPr>
            </w:pPr>
            <w:r>
              <w:rPr>
                <w:color w:val="auto"/>
                <w:highlight w:val="none"/>
              </w:rPr>
              <w:t>砂土等散体材料储料场在风力作用下产生的扬尘对人体和植物的有害作用，本评价要求施工单位对其存放应做好防护工作，通过洒水、</w:t>
            </w:r>
            <w:r>
              <w:rPr>
                <w:rFonts w:hint="eastAsia"/>
                <w:color w:val="auto"/>
                <w:highlight w:val="none"/>
                <w:lang w:eastAsia="zh-CN"/>
              </w:rPr>
              <w:t>篷布</w:t>
            </w:r>
            <w:r>
              <w:rPr>
                <w:color w:val="auto"/>
                <w:highlight w:val="none"/>
              </w:rPr>
              <w:t>遮挡等措施，可有效地防止扬尘的产生，降低对周围环境空气的影响。</w:t>
            </w:r>
          </w:p>
          <w:p w14:paraId="0FDE133E">
            <w:pPr>
              <w:pStyle w:val="34"/>
              <w:ind w:firstLine="480"/>
              <w:rPr>
                <w:color w:val="auto"/>
                <w:highlight w:val="none"/>
              </w:rPr>
            </w:pPr>
            <w:r>
              <w:rPr>
                <w:rFonts w:hint="eastAsia"/>
                <w:color w:val="auto"/>
                <w:highlight w:val="none"/>
                <w:lang w:eastAsia="zh-CN"/>
              </w:rPr>
              <w:t>②</w:t>
            </w:r>
            <w:r>
              <w:rPr>
                <w:color w:val="auto"/>
                <w:highlight w:val="none"/>
              </w:rPr>
              <w:t>散体材料运输</w:t>
            </w:r>
          </w:p>
          <w:p w14:paraId="68CB2713">
            <w:pPr>
              <w:pStyle w:val="34"/>
              <w:ind w:firstLine="480"/>
              <w:rPr>
                <w:color w:val="auto"/>
                <w:highlight w:val="none"/>
              </w:rPr>
            </w:pPr>
            <w:r>
              <w:rPr>
                <w:color w:val="auto"/>
                <w:highlight w:val="none"/>
              </w:rPr>
              <w:t>砂土等散体物质运输引起粉尘污染，对环境影响较严重，影响范围较大。</w:t>
            </w:r>
            <w:r>
              <w:rPr>
                <w:rFonts w:hint="eastAsia"/>
                <w:color w:val="auto"/>
              </w:rPr>
              <w:t>本项目</w:t>
            </w:r>
            <w:r>
              <w:rPr>
                <w:color w:val="auto"/>
              </w:rPr>
              <w:t>施工扬尘污染源强采用类比进行</w:t>
            </w:r>
            <w:r>
              <w:rPr>
                <w:rFonts w:hint="eastAsia"/>
                <w:color w:val="auto"/>
              </w:rPr>
              <w:t>核算，根据</w:t>
            </w:r>
            <w:r>
              <w:rPr>
                <w:color w:val="auto"/>
              </w:rPr>
              <w:t>交通部公路所对京津塘高速公路施工车辆扬尘的监测（见表</w:t>
            </w:r>
            <w:r>
              <w:rPr>
                <w:rFonts w:hint="eastAsia"/>
                <w:color w:val="auto"/>
                <w:lang w:val="en-US" w:eastAsia="zh-CN"/>
              </w:rPr>
              <w:t>4-1</w:t>
            </w:r>
            <w:r>
              <w:rPr>
                <w:color w:val="auto"/>
              </w:rPr>
              <w:t>），风速2m/s的情况下，在公路下风向50m处，TSP浓度大于10mg/m</w:t>
            </w:r>
            <w:r>
              <w:rPr>
                <w:color w:val="auto"/>
                <w:vertAlign w:val="superscript"/>
              </w:rPr>
              <w:t>3</w:t>
            </w:r>
            <w:r>
              <w:rPr>
                <w:color w:val="auto"/>
              </w:rPr>
              <w:t>，距离路边150m处TSP浓度大于5mg/m</w:t>
            </w:r>
            <w:r>
              <w:rPr>
                <w:color w:val="auto"/>
                <w:vertAlign w:val="superscript"/>
              </w:rPr>
              <w:t>3</w:t>
            </w:r>
            <w:r>
              <w:rPr>
                <w:color w:val="auto"/>
              </w:rPr>
              <w:t>。</w:t>
            </w:r>
            <w:r>
              <w:rPr>
                <w:color w:val="auto"/>
                <w:highlight w:val="none"/>
              </w:rPr>
              <w:t>本评价要求，砂土等散体物质运输车辆必须严加管理，在经过运输路线敏感点时采取用篷布盖严或加水防护措施，在采取上述措施后，对运输路线的敏感点及周围环境的影响可降至最低，施工结束后，上述影响将随之消失。</w:t>
            </w:r>
          </w:p>
          <w:p w14:paraId="12957B97">
            <w:pPr>
              <w:pStyle w:val="40"/>
              <w:rPr>
                <w:color w:val="auto"/>
                <w:sz w:val="24"/>
                <w:szCs w:val="24"/>
              </w:rPr>
            </w:pPr>
            <w:r>
              <w:rPr>
                <w:color w:val="auto"/>
                <w:sz w:val="24"/>
                <w:szCs w:val="24"/>
              </w:rPr>
              <w:t>表</w:t>
            </w:r>
            <w:r>
              <w:rPr>
                <w:rFonts w:hint="eastAsia"/>
                <w:color w:val="auto"/>
                <w:sz w:val="24"/>
                <w:szCs w:val="24"/>
                <w:lang w:val="en-US" w:eastAsia="zh-CN"/>
              </w:rPr>
              <w:t>4-1</w:t>
            </w:r>
            <w:r>
              <w:rPr>
                <w:rFonts w:hint="eastAsia"/>
                <w:color w:val="auto"/>
                <w:sz w:val="24"/>
                <w:szCs w:val="24"/>
              </w:rPr>
              <w:t xml:space="preserve">  </w:t>
            </w:r>
            <w:r>
              <w:rPr>
                <w:color w:val="auto"/>
                <w:sz w:val="24"/>
                <w:szCs w:val="24"/>
              </w:rPr>
              <w:t>京津塘高速公路施工期车辆扬尘监测结果</w:t>
            </w:r>
          </w:p>
          <w:tbl>
            <w:tblPr>
              <w:tblStyle w:val="1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13"/>
              <w:gridCol w:w="1914"/>
              <w:gridCol w:w="1914"/>
              <w:gridCol w:w="1914"/>
            </w:tblGrid>
            <w:tr w14:paraId="322135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249" w:type="pct"/>
                  <w:vAlign w:val="center"/>
                </w:tcPr>
                <w:p w14:paraId="2F042EC6">
                  <w:pPr>
                    <w:spacing w:line="240" w:lineRule="auto"/>
                    <w:ind w:right="-119" w:firstLine="0" w:firstLineChars="0"/>
                    <w:jc w:val="center"/>
                    <w:rPr>
                      <w:color w:val="auto"/>
                      <w:sz w:val="21"/>
                      <w:szCs w:val="21"/>
                    </w:rPr>
                  </w:pPr>
                  <w:r>
                    <w:rPr>
                      <w:color w:val="auto"/>
                      <w:sz w:val="21"/>
                      <w:szCs w:val="21"/>
                    </w:rPr>
                    <w:t>监测地点</w:t>
                  </w:r>
                </w:p>
              </w:tc>
              <w:tc>
                <w:tcPr>
                  <w:tcW w:w="1250" w:type="pct"/>
                  <w:vAlign w:val="center"/>
                </w:tcPr>
                <w:p w14:paraId="4B6A6345">
                  <w:pPr>
                    <w:spacing w:line="240" w:lineRule="auto"/>
                    <w:ind w:right="-119" w:firstLine="0" w:firstLineChars="0"/>
                    <w:jc w:val="center"/>
                    <w:rPr>
                      <w:color w:val="auto"/>
                      <w:sz w:val="21"/>
                      <w:szCs w:val="21"/>
                    </w:rPr>
                  </w:pPr>
                  <w:r>
                    <w:rPr>
                      <w:color w:val="auto"/>
                      <w:sz w:val="21"/>
                      <w:szCs w:val="21"/>
                    </w:rPr>
                    <w:t>扬尘污染源</w:t>
                  </w:r>
                </w:p>
              </w:tc>
              <w:tc>
                <w:tcPr>
                  <w:tcW w:w="1250" w:type="pct"/>
                  <w:vAlign w:val="center"/>
                </w:tcPr>
                <w:p w14:paraId="27CA3BA5">
                  <w:pPr>
                    <w:spacing w:line="240" w:lineRule="auto"/>
                    <w:ind w:right="-119" w:firstLine="0" w:firstLineChars="0"/>
                    <w:jc w:val="center"/>
                    <w:rPr>
                      <w:color w:val="auto"/>
                      <w:sz w:val="21"/>
                      <w:szCs w:val="21"/>
                    </w:rPr>
                  </w:pPr>
                  <w:r>
                    <w:rPr>
                      <w:color w:val="auto"/>
                      <w:sz w:val="21"/>
                      <w:szCs w:val="21"/>
                    </w:rPr>
                    <w:t>采样点距离（m）</w:t>
                  </w:r>
                </w:p>
              </w:tc>
              <w:tc>
                <w:tcPr>
                  <w:tcW w:w="1250" w:type="pct"/>
                  <w:vAlign w:val="center"/>
                </w:tcPr>
                <w:p w14:paraId="118CFCB1">
                  <w:pPr>
                    <w:spacing w:line="240" w:lineRule="auto"/>
                    <w:ind w:right="-119" w:firstLine="0" w:firstLineChars="0"/>
                    <w:jc w:val="center"/>
                    <w:rPr>
                      <w:color w:val="auto"/>
                      <w:sz w:val="21"/>
                      <w:szCs w:val="21"/>
                    </w:rPr>
                  </w:pPr>
                  <w:r>
                    <w:rPr>
                      <w:color w:val="auto"/>
                      <w:sz w:val="21"/>
                      <w:szCs w:val="21"/>
                    </w:rPr>
                    <w:t>监测结果（mg/m</w:t>
                  </w:r>
                  <w:r>
                    <w:rPr>
                      <w:color w:val="auto"/>
                      <w:sz w:val="21"/>
                      <w:szCs w:val="21"/>
                      <w:vertAlign w:val="superscript"/>
                    </w:rPr>
                    <w:t>3</w:t>
                  </w:r>
                  <w:r>
                    <w:rPr>
                      <w:color w:val="auto"/>
                      <w:sz w:val="21"/>
                      <w:szCs w:val="21"/>
                    </w:rPr>
                    <w:t>）</w:t>
                  </w:r>
                </w:p>
              </w:tc>
            </w:tr>
            <w:tr w14:paraId="754B25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vMerge w:val="restart"/>
                  <w:vAlign w:val="center"/>
                </w:tcPr>
                <w:p w14:paraId="224E543E">
                  <w:pPr>
                    <w:spacing w:line="240" w:lineRule="auto"/>
                    <w:ind w:right="-119" w:firstLine="0" w:firstLineChars="0"/>
                    <w:jc w:val="center"/>
                    <w:rPr>
                      <w:color w:val="auto"/>
                      <w:sz w:val="21"/>
                      <w:szCs w:val="21"/>
                    </w:rPr>
                  </w:pPr>
                  <w:r>
                    <w:rPr>
                      <w:color w:val="auto"/>
                      <w:sz w:val="21"/>
                      <w:szCs w:val="21"/>
                    </w:rPr>
                    <w:t>武清杨村施工路边</w:t>
                  </w:r>
                </w:p>
              </w:tc>
              <w:tc>
                <w:tcPr>
                  <w:tcW w:w="1250" w:type="pct"/>
                  <w:vMerge w:val="restart"/>
                  <w:vAlign w:val="center"/>
                </w:tcPr>
                <w:p w14:paraId="63946026">
                  <w:pPr>
                    <w:spacing w:line="240" w:lineRule="auto"/>
                    <w:ind w:right="-119" w:firstLine="0" w:firstLineChars="0"/>
                    <w:jc w:val="center"/>
                    <w:rPr>
                      <w:color w:val="auto"/>
                      <w:sz w:val="21"/>
                      <w:szCs w:val="21"/>
                    </w:rPr>
                  </w:pPr>
                  <w:r>
                    <w:rPr>
                      <w:color w:val="auto"/>
                      <w:sz w:val="21"/>
                      <w:szCs w:val="21"/>
                    </w:rPr>
                    <w:t>铺设水泥稳定类路顶基层时运输车辆扬尘</w:t>
                  </w:r>
                </w:p>
              </w:tc>
              <w:tc>
                <w:tcPr>
                  <w:tcW w:w="1250" w:type="pct"/>
                  <w:vAlign w:val="center"/>
                </w:tcPr>
                <w:p w14:paraId="2ADC9FE3">
                  <w:pPr>
                    <w:spacing w:line="240" w:lineRule="auto"/>
                    <w:ind w:right="-119" w:firstLine="0" w:firstLineChars="0"/>
                    <w:jc w:val="center"/>
                    <w:rPr>
                      <w:color w:val="auto"/>
                      <w:sz w:val="21"/>
                      <w:szCs w:val="21"/>
                    </w:rPr>
                  </w:pPr>
                  <w:r>
                    <w:rPr>
                      <w:color w:val="auto"/>
                      <w:sz w:val="21"/>
                      <w:szCs w:val="21"/>
                    </w:rPr>
                    <w:t>50</w:t>
                  </w:r>
                </w:p>
              </w:tc>
              <w:tc>
                <w:tcPr>
                  <w:tcW w:w="1250" w:type="pct"/>
                  <w:vAlign w:val="center"/>
                </w:tcPr>
                <w:p w14:paraId="6FB9B5FE">
                  <w:pPr>
                    <w:spacing w:line="240" w:lineRule="auto"/>
                    <w:ind w:right="-119" w:firstLine="0" w:firstLineChars="0"/>
                    <w:jc w:val="center"/>
                    <w:rPr>
                      <w:color w:val="auto"/>
                      <w:sz w:val="21"/>
                      <w:szCs w:val="21"/>
                    </w:rPr>
                  </w:pPr>
                  <w:r>
                    <w:rPr>
                      <w:color w:val="auto"/>
                      <w:sz w:val="21"/>
                      <w:szCs w:val="21"/>
                    </w:rPr>
                    <w:t>11.652</w:t>
                  </w:r>
                </w:p>
              </w:tc>
            </w:tr>
            <w:tr w14:paraId="28EEC8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vMerge w:val="continue"/>
                  <w:vAlign w:val="center"/>
                </w:tcPr>
                <w:p w14:paraId="38458755">
                  <w:pPr>
                    <w:spacing w:line="240" w:lineRule="auto"/>
                    <w:ind w:right="-119" w:firstLine="0" w:firstLineChars="0"/>
                    <w:jc w:val="center"/>
                    <w:rPr>
                      <w:color w:val="auto"/>
                      <w:sz w:val="21"/>
                      <w:szCs w:val="21"/>
                    </w:rPr>
                  </w:pPr>
                </w:p>
              </w:tc>
              <w:tc>
                <w:tcPr>
                  <w:tcW w:w="1250" w:type="pct"/>
                  <w:vMerge w:val="continue"/>
                  <w:vAlign w:val="center"/>
                </w:tcPr>
                <w:p w14:paraId="64846B22">
                  <w:pPr>
                    <w:spacing w:line="240" w:lineRule="auto"/>
                    <w:ind w:right="-119" w:firstLine="0" w:firstLineChars="0"/>
                    <w:jc w:val="center"/>
                    <w:rPr>
                      <w:color w:val="auto"/>
                      <w:sz w:val="21"/>
                      <w:szCs w:val="21"/>
                    </w:rPr>
                  </w:pPr>
                </w:p>
              </w:tc>
              <w:tc>
                <w:tcPr>
                  <w:tcW w:w="1250" w:type="pct"/>
                  <w:vAlign w:val="center"/>
                </w:tcPr>
                <w:p w14:paraId="29E9E440">
                  <w:pPr>
                    <w:spacing w:line="240" w:lineRule="auto"/>
                    <w:ind w:right="-119" w:firstLine="0" w:firstLineChars="0"/>
                    <w:jc w:val="center"/>
                    <w:rPr>
                      <w:color w:val="auto"/>
                      <w:sz w:val="21"/>
                      <w:szCs w:val="21"/>
                    </w:rPr>
                  </w:pPr>
                  <w:r>
                    <w:rPr>
                      <w:color w:val="auto"/>
                      <w:sz w:val="21"/>
                      <w:szCs w:val="21"/>
                    </w:rPr>
                    <w:t>100</w:t>
                  </w:r>
                </w:p>
              </w:tc>
              <w:tc>
                <w:tcPr>
                  <w:tcW w:w="1250" w:type="pct"/>
                  <w:vAlign w:val="center"/>
                </w:tcPr>
                <w:p w14:paraId="2439F69B">
                  <w:pPr>
                    <w:spacing w:line="240" w:lineRule="auto"/>
                    <w:ind w:right="-119" w:firstLine="0" w:firstLineChars="0"/>
                    <w:jc w:val="center"/>
                    <w:rPr>
                      <w:color w:val="auto"/>
                      <w:sz w:val="21"/>
                      <w:szCs w:val="21"/>
                    </w:rPr>
                  </w:pPr>
                  <w:r>
                    <w:rPr>
                      <w:color w:val="auto"/>
                      <w:sz w:val="21"/>
                      <w:szCs w:val="21"/>
                    </w:rPr>
                    <w:t>9.694</w:t>
                  </w:r>
                </w:p>
              </w:tc>
            </w:tr>
            <w:tr w14:paraId="310DD8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vMerge w:val="continue"/>
                  <w:vAlign w:val="center"/>
                </w:tcPr>
                <w:p w14:paraId="14266A87">
                  <w:pPr>
                    <w:spacing w:line="240" w:lineRule="auto"/>
                    <w:ind w:right="-119" w:firstLine="0" w:firstLineChars="0"/>
                    <w:jc w:val="center"/>
                    <w:rPr>
                      <w:color w:val="auto"/>
                      <w:sz w:val="21"/>
                      <w:szCs w:val="21"/>
                    </w:rPr>
                  </w:pPr>
                </w:p>
              </w:tc>
              <w:tc>
                <w:tcPr>
                  <w:tcW w:w="1250" w:type="pct"/>
                  <w:vMerge w:val="continue"/>
                  <w:vAlign w:val="center"/>
                </w:tcPr>
                <w:p w14:paraId="7869860E">
                  <w:pPr>
                    <w:spacing w:line="240" w:lineRule="auto"/>
                    <w:ind w:right="-119" w:firstLine="0" w:firstLineChars="0"/>
                    <w:jc w:val="center"/>
                    <w:rPr>
                      <w:color w:val="auto"/>
                      <w:sz w:val="21"/>
                      <w:szCs w:val="21"/>
                    </w:rPr>
                  </w:pPr>
                </w:p>
              </w:tc>
              <w:tc>
                <w:tcPr>
                  <w:tcW w:w="1250" w:type="pct"/>
                  <w:vAlign w:val="center"/>
                </w:tcPr>
                <w:p w14:paraId="2CDCCB08">
                  <w:pPr>
                    <w:spacing w:line="240" w:lineRule="auto"/>
                    <w:ind w:right="-119" w:firstLine="0" w:firstLineChars="0"/>
                    <w:jc w:val="center"/>
                    <w:rPr>
                      <w:color w:val="auto"/>
                      <w:sz w:val="21"/>
                      <w:szCs w:val="21"/>
                    </w:rPr>
                  </w:pPr>
                  <w:r>
                    <w:rPr>
                      <w:color w:val="auto"/>
                      <w:sz w:val="21"/>
                      <w:szCs w:val="21"/>
                    </w:rPr>
                    <w:t>150</w:t>
                  </w:r>
                </w:p>
              </w:tc>
              <w:tc>
                <w:tcPr>
                  <w:tcW w:w="1250" w:type="pct"/>
                  <w:vAlign w:val="center"/>
                </w:tcPr>
                <w:p w14:paraId="2A5FD6D7">
                  <w:pPr>
                    <w:spacing w:line="240" w:lineRule="auto"/>
                    <w:ind w:right="-119" w:firstLine="0" w:firstLineChars="0"/>
                    <w:jc w:val="center"/>
                    <w:rPr>
                      <w:color w:val="auto"/>
                      <w:sz w:val="21"/>
                      <w:szCs w:val="21"/>
                    </w:rPr>
                  </w:pPr>
                  <w:r>
                    <w:rPr>
                      <w:color w:val="auto"/>
                      <w:sz w:val="21"/>
                      <w:szCs w:val="21"/>
                    </w:rPr>
                    <w:t>5.093</w:t>
                  </w:r>
                </w:p>
              </w:tc>
            </w:tr>
          </w:tbl>
          <w:p w14:paraId="1268694B">
            <w:pPr>
              <w:pStyle w:val="34"/>
              <w:ind w:firstLine="480"/>
              <w:rPr>
                <w:color w:val="auto"/>
                <w:highlight w:val="none"/>
              </w:rPr>
            </w:pPr>
            <w:r>
              <w:rPr>
                <w:rFonts w:hint="eastAsia"/>
                <w:color w:val="auto"/>
                <w:highlight w:val="none"/>
                <w:lang w:eastAsia="zh-CN"/>
              </w:rPr>
              <w:t>③</w:t>
            </w:r>
            <w:r>
              <w:rPr>
                <w:color w:val="auto"/>
                <w:highlight w:val="none"/>
              </w:rPr>
              <w:t>拆除路面</w:t>
            </w:r>
            <w:r>
              <w:rPr>
                <w:rFonts w:hint="eastAsia"/>
                <w:color w:val="auto"/>
                <w:highlight w:val="none"/>
                <w:lang w:eastAsia="zh-CN"/>
              </w:rPr>
              <w:t>、涵洞</w:t>
            </w:r>
            <w:r>
              <w:rPr>
                <w:color w:val="auto"/>
                <w:highlight w:val="none"/>
              </w:rPr>
              <w:t>等产生的扬尘</w:t>
            </w:r>
          </w:p>
          <w:p w14:paraId="15F17F5C">
            <w:pPr>
              <w:pStyle w:val="34"/>
              <w:ind w:firstLine="480"/>
              <w:rPr>
                <w:rFonts w:hint="eastAsia"/>
                <w:color w:val="auto"/>
                <w:szCs w:val="21"/>
              </w:rPr>
            </w:pPr>
            <w:r>
              <w:rPr>
                <w:color w:val="auto"/>
                <w:highlight w:val="none"/>
              </w:rPr>
              <w:t>工程在路基开挖、土方填筑、土地平整、拆除打裂旧路路面</w:t>
            </w:r>
            <w:r>
              <w:rPr>
                <w:rFonts w:hint="eastAsia"/>
                <w:color w:val="auto"/>
                <w:highlight w:val="none"/>
                <w:lang w:eastAsia="zh-CN"/>
              </w:rPr>
              <w:t>、拆除涵洞</w:t>
            </w:r>
            <w:r>
              <w:rPr>
                <w:color w:val="auto"/>
                <w:highlight w:val="none"/>
              </w:rPr>
              <w:t>等过程会产生一定的粉尘，砂土等散体材料储料场在风力作用下也会产生一定量的扬尘。</w:t>
            </w:r>
            <w:r>
              <w:rPr>
                <w:color w:val="auto"/>
              </w:rPr>
              <w:t>施工现场地表开挖等产生的扬尘：参考贵州交通环保监测站对遵毕高速公路的扬尘实地监测数据，TSP产生系数0.05</w:t>
            </w:r>
            <w:r>
              <w:rPr>
                <w:rFonts w:hint="eastAsia"/>
                <w:color w:val="auto"/>
              </w:rPr>
              <w:t>～</w:t>
            </w:r>
            <w:r>
              <w:rPr>
                <w:color w:val="auto"/>
              </w:rPr>
              <w:t>0.10mg/m</w:t>
            </w:r>
            <w:r>
              <w:rPr>
                <w:color w:val="auto"/>
                <w:vertAlign w:val="superscript"/>
              </w:rPr>
              <w:t>3</w:t>
            </w:r>
            <w:r>
              <w:rPr>
                <w:color w:val="auto"/>
              </w:rPr>
              <w:t>，考虑本项目区域土质特点，取TSP产生系数为0.05mg/m</w:t>
            </w:r>
            <w:r>
              <w:rPr>
                <w:color w:val="auto"/>
                <w:vertAlign w:val="superscript"/>
              </w:rPr>
              <w:t>3</w:t>
            </w:r>
            <w:r>
              <w:rPr>
                <w:color w:val="auto"/>
              </w:rPr>
              <w:t>，考虑工程为线源，施工扬尘影响范围不大。</w:t>
            </w:r>
            <w:r>
              <w:rPr>
                <w:rFonts w:hint="eastAsia"/>
                <w:color w:val="auto"/>
                <w:highlight w:val="none"/>
                <w:lang w:eastAsia="zh-CN"/>
              </w:rPr>
              <w:t>本项目</w:t>
            </w:r>
            <w:r>
              <w:rPr>
                <w:color w:val="auto"/>
                <w:highlight w:val="none"/>
              </w:rPr>
              <w:t>通过洒水、</w:t>
            </w:r>
            <w:r>
              <w:rPr>
                <w:rFonts w:hint="eastAsia"/>
                <w:color w:val="auto"/>
                <w:highlight w:val="none"/>
                <w:lang w:eastAsia="zh-CN"/>
              </w:rPr>
              <w:t>篷布</w:t>
            </w:r>
            <w:r>
              <w:rPr>
                <w:color w:val="auto"/>
                <w:highlight w:val="none"/>
              </w:rPr>
              <w:t>遮挡等措施，可有效地防止扬尘的产生，降低对周围环境空气的影响。</w:t>
            </w:r>
          </w:p>
          <w:p w14:paraId="7BC16649">
            <w:pPr>
              <w:pStyle w:val="34"/>
              <w:ind w:firstLine="480"/>
              <w:rPr>
                <w:color w:val="auto"/>
                <w:highlight w:val="none"/>
              </w:rPr>
            </w:pPr>
            <w:r>
              <w:rPr>
                <w:color w:val="auto"/>
                <w:highlight w:val="none"/>
              </w:rPr>
              <w:t>在采取上述措施，施工公路的扬尘对环境空气的影响可降至最低，对周围环境的影响控制在可接受的范围内。</w:t>
            </w:r>
          </w:p>
          <w:p w14:paraId="47AC96E4">
            <w:pPr>
              <w:ind w:firstLine="480"/>
              <w:rPr>
                <w:color w:val="auto"/>
                <w:highlight w:val="none"/>
              </w:rPr>
            </w:pPr>
            <w:r>
              <w:rPr>
                <w:color w:val="auto"/>
                <w:highlight w:val="none"/>
              </w:rPr>
              <w:t>（2）</w:t>
            </w:r>
            <w:r>
              <w:rPr>
                <w:rFonts w:hint="eastAsia"/>
                <w:color w:val="auto"/>
                <w:highlight w:val="none"/>
                <w:lang w:eastAsia="zh-CN"/>
              </w:rPr>
              <w:t>拌和站</w:t>
            </w:r>
            <w:r>
              <w:rPr>
                <w:color w:val="auto"/>
                <w:highlight w:val="none"/>
              </w:rPr>
              <w:t>粉尘</w:t>
            </w:r>
          </w:p>
          <w:p w14:paraId="10282193">
            <w:pPr>
              <w:ind w:firstLine="480"/>
              <w:rPr>
                <w:color w:val="auto"/>
                <w:highlight w:val="none"/>
              </w:rPr>
            </w:pPr>
            <w:r>
              <w:rPr>
                <w:rFonts w:hint="eastAsia"/>
                <w:color w:val="auto"/>
                <w:lang w:eastAsia="zh-CN"/>
              </w:rPr>
              <w:t>拌和站</w:t>
            </w:r>
            <w:r>
              <w:rPr>
                <w:color w:val="auto"/>
              </w:rPr>
              <w:t>扬尘对环境空气的影响较为集中，便于管理，采取防尘措施后可以</w:t>
            </w:r>
            <w:r>
              <w:rPr>
                <w:rFonts w:hint="eastAsia"/>
                <w:color w:val="auto"/>
                <w:lang w:eastAsia="zh-CN"/>
              </w:rPr>
              <w:t>有效地控制</w:t>
            </w:r>
            <w:r>
              <w:rPr>
                <w:color w:val="auto"/>
              </w:rPr>
              <w:t>扬尘污染。骨料仓堆场扬尘为无组织排放，堆放时覆盖防尘网、洒水降尘等措施可以有效减少粉尘无组织排放；筒仓呼吸口和搅拌楼投料口粉尘均经布袋除尘器处理后在仓顶无组织排放。《公路工程施工环境保护技术规范》（JTG/T3602-2025）中要求：</w:t>
            </w:r>
            <w:r>
              <w:rPr>
                <w:rFonts w:eastAsiaTheme="minorEastAsia"/>
                <w:color w:val="auto"/>
              </w:rPr>
              <w:t>应避开环境空气功能区一类区。拌和站与二类区中的居民集中居住区距离不宜小于300m，应设在当地主导风向的居民区的</w:t>
            </w:r>
            <w:r>
              <w:rPr>
                <w:rFonts w:eastAsiaTheme="minorEastAsia"/>
                <w:color w:val="auto"/>
                <w:highlight w:val="none"/>
              </w:rPr>
              <w:t>下风侧，并设置污染防治设施处理并达标。</w:t>
            </w:r>
            <w:r>
              <w:rPr>
                <w:color w:val="auto"/>
                <w:highlight w:val="none"/>
              </w:rPr>
              <w:t>本工程</w:t>
            </w:r>
            <w:r>
              <w:rPr>
                <w:rFonts w:hint="eastAsia"/>
                <w:color w:val="auto"/>
                <w:highlight w:val="none"/>
                <w:lang w:eastAsia="zh-CN"/>
              </w:rPr>
              <w:t>拌和站</w:t>
            </w:r>
            <w:r>
              <w:rPr>
                <w:color w:val="auto"/>
                <w:highlight w:val="none"/>
              </w:rPr>
              <w:t>位</w:t>
            </w:r>
            <w:r>
              <w:rPr>
                <w:rFonts w:hint="eastAsia"/>
                <w:color w:val="auto"/>
                <w:highlight w:val="none"/>
                <w:lang w:eastAsia="zh-CN"/>
              </w:rPr>
              <w:t>于桩号</w:t>
            </w:r>
            <w:r>
              <w:rPr>
                <w:rFonts w:hint="eastAsia"/>
                <w:color w:val="auto"/>
                <w:highlight w:val="none"/>
                <w:lang w:val="en-US" w:eastAsia="zh-CN"/>
              </w:rPr>
              <w:t>K34+900东侧</w:t>
            </w:r>
            <w:r>
              <w:rPr>
                <w:color w:val="auto"/>
                <w:highlight w:val="none"/>
              </w:rPr>
              <w:t>，最近敏感点为</w:t>
            </w:r>
            <w:r>
              <w:rPr>
                <w:rFonts w:hint="eastAsia"/>
                <w:color w:val="auto"/>
                <w:highlight w:val="none"/>
                <w:lang w:eastAsia="zh-CN"/>
              </w:rPr>
              <w:t>西北侧</w:t>
            </w:r>
            <w:r>
              <w:rPr>
                <w:color w:val="auto"/>
                <w:highlight w:val="none"/>
              </w:rPr>
              <w:t>的</w:t>
            </w:r>
            <w:r>
              <w:rPr>
                <w:rFonts w:hint="eastAsia"/>
                <w:color w:val="auto"/>
                <w:highlight w:val="none"/>
                <w:lang w:eastAsia="zh-CN"/>
              </w:rPr>
              <w:t>二道林子村</w:t>
            </w:r>
            <w:r>
              <w:rPr>
                <w:color w:val="auto"/>
                <w:highlight w:val="none"/>
              </w:rPr>
              <w:t>，</w:t>
            </w:r>
            <w:r>
              <w:rPr>
                <w:rFonts w:hint="eastAsia"/>
                <w:color w:val="auto"/>
                <w:highlight w:val="none"/>
                <w:lang w:eastAsia="zh-CN"/>
              </w:rPr>
              <w:t>拌和站位于该敏感点的侧下风向</w:t>
            </w:r>
            <w:r>
              <w:rPr>
                <w:rFonts w:hint="eastAsia"/>
                <w:color w:val="auto"/>
                <w:highlight w:val="none"/>
                <w:lang w:val="en-US" w:eastAsia="zh-CN"/>
              </w:rPr>
              <w:t>330m处，</w:t>
            </w:r>
            <w:r>
              <w:rPr>
                <w:color w:val="auto"/>
                <w:highlight w:val="none"/>
              </w:rPr>
              <w:t>满足《公路工程施工环境保护技术规范》（JTG/T3602-2025）要求，</w:t>
            </w:r>
            <w:r>
              <w:rPr>
                <w:rFonts w:hint="eastAsia"/>
                <w:color w:val="auto"/>
                <w:highlight w:val="none"/>
                <w:lang w:eastAsia="zh-CN"/>
              </w:rPr>
              <w:t>拌和站</w:t>
            </w:r>
            <w:r>
              <w:rPr>
                <w:color w:val="auto"/>
                <w:highlight w:val="none"/>
              </w:rPr>
              <w:t>粉尘对环境敏感点的影响较小。</w:t>
            </w:r>
          </w:p>
          <w:p w14:paraId="19BE7CF0">
            <w:pPr>
              <w:spacing w:line="360" w:lineRule="auto"/>
              <w:ind w:firstLine="480" w:firstLineChars="200"/>
              <w:rPr>
                <w:color w:val="auto"/>
                <w:szCs w:val="21"/>
              </w:rPr>
            </w:pPr>
            <w:r>
              <w:rPr>
                <w:rFonts w:hint="eastAsia"/>
                <w:color w:val="auto"/>
                <w:szCs w:val="21"/>
              </w:rPr>
              <w:t>（</w:t>
            </w:r>
            <w:r>
              <w:rPr>
                <w:rFonts w:hint="eastAsia"/>
                <w:color w:val="auto"/>
                <w:szCs w:val="21"/>
                <w:lang w:val="en-US" w:eastAsia="zh-CN"/>
              </w:rPr>
              <w:t>3</w:t>
            </w:r>
            <w:r>
              <w:rPr>
                <w:rFonts w:hint="eastAsia"/>
                <w:color w:val="auto"/>
                <w:szCs w:val="21"/>
              </w:rPr>
              <w:t>）施工机械及运输车辆尾气</w:t>
            </w:r>
          </w:p>
          <w:p w14:paraId="1610701E">
            <w:pPr>
              <w:spacing w:line="360" w:lineRule="auto"/>
              <w:ind w:firstLine="480" w:firstLineChars="200"/>
              <w:rPr>
                <w:color w:val="auto"/>
                <w:szCs w:val="21"/>
              </w:rPr>
            </w:pPr>
            <w:r>
              <w:rPr>
                <w:color w:val="auto"/>
                <w:szCs w:val="21"/>
              </w:rPr>
              <w:t>在</w:t>
            </w:r>
            <w:r>
              <w:rPr>
                <w:rFonts w:hint="eastAsia"/>
                <w:color w:val="auto"/>
                <w:szCs w:val="21"/>
              </w:rPr>
              <w:t>路面</w:t>
            </w:r>
            <w:r>
              <w:rPr>
                <w:rFonts w:hint="eastAsia"/>
                <w:color w:val="auto"/>
                <w:szCs w:val="21"/>
                <w:lang w:eastAsia="zh-CN"/>
              </w:rPr>
              <w:t>拆除</w:t>
            </w:r>
            <w:r>
              <w:rPr>
                <w:rFonts w:hint="eastAsia"/>
                <w:color w:val="auto"/>
                <w:szCs w:val="21"/>
              </w:rPr>
              <w:t>、地基</w:t>
            </w:r>
            <w:r>
              <w:rPr>
                <w:color w:val="auto"/>
                <w:szCs w:val="21"/>
              </w:rPr>
              <w:t>开挖、路堤填筑等施工中，由于使用柴油机等设备，将有少量的燃油废气产生，主要污染物是SO</w:t>
            </w:r>
            <w:r>
              <w:rPr>
                <w:color w:val="auto"/>
                <w:szCs w:val="21"/>
                <w:vertAlign w:val="subscript"/>
              </w:rPr>
              <w:t>2</w:t>
            </w:r>
            <w:r>
              <w:rPr>
                <w:color w:val="auto"/>
                <w:szCs w:val="21"/>
              </w:rPr>
              <w:t>、NO</w:t>
            </w:r>
            <w:r>
              <w:rPr>
                <w:color w:val="auto"/>
                <w:szCs w:val="21"/>
                <w:vertAlign w:val="subscript"/>
              </w:rPr>
              <w:t>2</w:t>
            </w:r>
            <w:r>
              <w:rPr>
                <w:color w:val="auto"/>
                <w:szCs w:val="21"/>
              </w:rPr>
              <w:t>、CO等。由于废气量较小，同时废气污染源具有间歇性和流动性，且施工现场均较开敞，有利于空气扩散，对局部地区的环境空气影响较小。</w:t>
            </w:r>
          </w:p>
          <w:p w14:paraId="2B1AFD1A">
            <w:pPr>
              <w:spacing w:line="360" w:lineRule="auto"/>
              <w:ind w:firstLine="480" w:firstLineChars="200"/>
              <w:rPr>
                <w:color w:val="auto"/>
              </w:rPr>
            </w:pPr>
            <w:r>
              <w:rPr>
                <w:color w:val="auto"/>
              </w:rPr>
              <w:t>综上所述，</w:t>
            </w:r>
            <w:r>
              <w:rPr>
                <w:rFonts w:hint="eastAsia"/>
                <w:color w:val="auto"/>
              </w:rPr>
              <w:t>本项目施工期主要污染物是TSP，施工期结束影响随之消失。建议易扬尘作业阶段、环节采用洒水、遮盖等方法减轻扬尘污染。此外，应强调文明施工，加强环保管理要求，制订工作责任制，并服从环保部门的监督管理。</w:t>
            </w:r>
            <w:r>
              <w:rPr>
                <w:color w:val="auto"/>
              </w:rPr>
              <w:t>同时，本项目设置的</w:t>
            </w:r>
            <w:r>
              <w:rPr>
                <w:rFonts w:hint="eastAsia"/>
                <w:color w:val="auto"/>
                <w:lang w:eastAsia="zh-CN"/>
              </w:rPr>
              <w:t>拌和站</w:t>
            </w:r>
            <w:r>
              <w:rPr>
                <w:color w:val="auto"/>
              </w:rPr>
              <w:t>周边300m范围内均无居民分布。在采取以上措施后本项目施工期大气环境的影响较小。</w:t>
            </w:r>
          </w:p>
          <w:p w14:paraId="049FE808">
            <w:pPr>
              <w:spacing w:line="360" w:lineRule="auto"/>
              <w:ind w:firstLine="480" w:firstLineChars="200"/>
              <w:rPr>
                <w:color w:val="auto"/>
                <w:highlight w:val="none"/>
              </w:rPr>
            </w:pPr>
            <w:r>
              <w:rPr>
                <w:rFonts w:hint="eastAsia"/>
                <w:color w:val="auto"/>
                <w:highlight w:val="none"/>
                <w:lang w:val="en-US" w:eastAsia="zh-CN"/>
              </w:rPr>
              <w:t>3、</w:t>
            </w:r>
            <w:r>
              <w:rPr>
                <w:color w:val="auto"/>
                <w:highlight w:val="none"/>
              </w:rPr>
              <w:t>水环境影响分析</w:t>
            </w:r>
          </w:p>
          <w:p w14:paraId="329B9323">
            <w:pPr>
              <w:pStyle w:val="34"/>
              <w:ind w:firstLine="48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rPr>
              <w:t>生活污水</w:t>
            </w:r>
          </w:p>
          <w:p w14:paraId="42D8E562">
            <w:pPr>
              <w:pStyle w:val="35"/>
              <w:spacing w:line="360" w:lineRule="auto"/>
              <w:ind w:firstLine="480" w:firstLineChars="200"/>
              <w:jc w:val="both"/>
              <w:rPr>
                <w:rFonts w:ascii="Times New Roman" w:hAnsi="Times New Roman" w:cs="Times New Roman"/>
                <w:color w:val="auto"/>
                <w:sz w:val="24"/>
                <w:szCs w:val="24"/>
              </w:rPr>
            </w:pPr>
            <w:r>
              <w:rPr>
                <w:rFonts w:hint="eastAsia" w:ascii="Times New Roman" w:hAnsi="Times New Roman" w:cs="Times New Roman"/>
                <w:color w:val="auto"/>
                <w:sz w:val="24"/>
                <w:szCs w:val="24"/>
              </w:rPr>
              <w:t>本项目施工期可能产生的污水主要为施工人员的生活污水</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总施工人数为</w:t>
            </w:r>
            <w:r>
              <w:rPr>
                <w:rFonts w:hint="eastAsia" w:ascii="Times New Roman" w:hAnsi="Times New Roman" w:cs="Times New Roman"/>
                <w:color w:val="auto"/>
                <w:sz w:val="24"/>
                <w:szCs w:val="24"/>
                <w:lang w:val="en-US" w:eastAsia="zh-CN"/>
              </w:rPr>
              <w:t>100</w:t>
            </w:r>
            <w:r>
              <w:rPr>
                <w:rFonts w:hint="eastAsia" w:ascii="Times New Roman" w:hAnsi="Times New Roman" w:cs="Times New Roman"/>
                <w:color w:val="auto"/>
                <w:sz w:val="24"/>
                <w:szCs w:val="24"/>
              </w:rPr>
              <w:t>人。</w:t>
            </w:r>
            <w:r>
              <w:rPr>
                <w:rFonts w:hint="eastAsia"/>
                <w:color w:val="auto"/>
                <w:highlight w:val="none"/>
                <w:lang w:eastAsia="zh-CN"/>
              </w:rPr>
              <w:t>本项目不设置施工营地，</w:t>
            </w:r>
            <w:r>
              <w:rPr>
                <w:rFonts w:hint="eastAsia" w:ascii="宋体" w:hAnsi="宋体" w:eastAsia="宋体" w:cs="宋体"/>
                <w:color w:val="auto"/>
                <w:highlight w:val="none"/>
                <w:lang w:eastAsia="zh-CN"/>
              </w:rPr>
              <w:t>施工人员食宿租赁附近民宅，</w:t>
            </w:r>
            <w:r>
              <w:rPr>
                <w:rFonts w:hint="eastAsia" w:ascii="Times New Roman"/>
                <w:color w:val="auto"/>
                <w:sz w:val="24"/>
                <w:szCs w:val="24"/>
              </w:rPr>
              <w:t>参照黑龙江省地方标准《用水定额》（</w:t>
            </w:r>
            <w:r>
              <w:rPr>
                <w:rFonts w:hint="eastAsia" w:ascii="Times New Roman" w:hAnsi="Times New Roman"/>
                <w:color w:val="auto"/>
                <w:sz w:val="24"/>
                <w:szCs w:val="24"/>
              </w:rPr>
              <w:t>DB23/T727</w:t>
            </w:r>
            <w:r>
              <w:rPr>
                <w:rFonts w:hint="eastAsia" w:eastAsia="黑体" w:cs="Times New Roman"/>
                <w:color w:val="auto"/>
                <w:sz w:val="24"/>
                <w:szCs w:val="24"/>
                <w:highlight w:val="none"/>
                <w:lang w:val="en-US" w:eastAsia="zh-CN"/>
              </w:rPr>
              <w:t>—</w:t>
            </w:r>
            <w:r>
              <w:rPr>
                <w:rFonts w:hint="eastAsia" w:ascii="Times New Roman" w:hAnsi="Times New Roman"/>
                <w:color w:val="auto"/>
                <w:sz w:val="24"/>
                <w:szCs w:val="24"/>
              </w:rPr>
              <w:t>202</w:t>
            </w:r>
            <w:r>
              <w:rPr>
                <w:rFonts w:hint="eastAsia" w:ascii="Times New Roman" w:hAnsi="Times New Roman"/>
                <w:color w:val="auto"/>
                <w:sz w:val="24"/>
                <w:szCs w:val="24"/>
                <w:lang w:val="en-US" w:eastAsia="zh-CN"/>
              </w:rPr>
              <w:t>5</w:t>
            </w:r>
            <w:r>
              <w:rPr>
                <w:rFonts w:hint="eastAsia" w:ascii="Times New Roman"/>
                <w:color w:val="auto"/>
                <w:sz w:val="24"/>
                <w:szCs w:val="24"/>
              </w:rPr>
              <w:t>），施工人员生活用水按</w:t>
            </w:r>
            <w:r>
              <w:rPr>
                <w:rFonts w:hint="eastAsia" w:ascii="Times New Roman" w:hAnsi="Times New Roman"/>
                <w:color w:val="auto"/>
                <w:sz w:val="24"/>
                <w:szCs w:val="24"/>
                <w:lang w:val="en-US" w:eastAsia="zh-CN"/>
              </w:rPr>
              <w:t>80</w:t>
            </w:r>
            <w:r>
              <w:rPr>
                <w:rFonts w:hint="eastAsia" w:ascii="Times New Roman" w:hAnsi="Times New Roman"/>
                <w:color w:val="auto"/>
                <w:sz w:val="24"/>
                <w:szCs w:val="24"/>
              </w:rPr>
              <w:t>L/d</w:t>
            </w:r>
            <w:r>
              <w:rPr>
                <w:rFonts w:hint="default" w:ascii="Times New Roman" w:hAnsi="Times New Roman" w:eastAsia="宋体" w:cs="Times New Roman"/>
                <w:color w:val="auto"/>
                <w:sz w:val="24"/>
                <w:szCs w:val="24"/>
              </w:rPr>
              <w:t>·</w:t>
            </w:r>
            <w:r>
              <w:rPr>
                <w:rFonts w:hint="eastAsia" w:ascii="Times New Roman"/>
                <w:color w:val="auto"/>
                <w:sz w:val="24"/>
                <w:szCs w:val="24"/>
              </w:rPr>
              <w:t>人、废水排放系数按</w:t>
            </w:r>
            <w:r>
              <w:rPr>
                <w:rFonts w:hint="eastAsia" w:ascii="Times New Roman" w:hAnsi="Times New Roman"/>
                <w:color w:val="auto"/>
                <w:sz w:val="24"/>
                <w:szCs w:val="24"/>
              </w:rPr>
              <w:t>0.8</w:t>
            </w:r>
            <w:r>
              <w:rPr>
                <w:rFonts w:hint="eastAsia" w:ascii="Times New Roman"/>
                <w:color w:val="auto"/>
                <w:sz w:val="24"/>
                <w:szCs w:val="24"/>
              </w:rPr>
              <w:t>计，拟建项目</w:t>
            </w:r>
            <w:r>
              <w:rPr>
                <w:rFonts w:hint="eastAsia" w:ascii="Times New Roman"/>
                <w:color w:val="auto"/>
                <w:sz w:val="24"/>
                <w:szCs w:val="24"/>
                <w:lang w:eastAsia="zh-CN"/>
              </w:rPr>
              <w:t>有效</w:t>
            </w:r>
            <w:r>
              <w:rPr>
                <w:rFonts w:hint="eastAsia" w:ascii="Times New Roman"/>
                <w:color w:val="auto"/>
                <w:sz w:val="24"/>
                <w:szCs w:val="24"/>
              </w:rPr>
              <w:t>施工期为约</w:t>
            </w:r>
            <w:r>
              <w:rPr>
                <w:rFonts w:hint="eastAsia" w:ascii="Times New Roman" w:hAnsi="Times New Roman"/>
                <w:color w:val="auto"/>
                <w:sz w:val="24"/>
                <w:szCs w:val="24"/>
                <w:lang w:val="en-US" w:eastAsia="zh-CN"/>
              </w:rPr>
              <w:t>10</w:t>
            </w:r>
            <w:r>
              <w:rPr>
                <w:rFonts w:hint="eastAsia" w:ascii="Times New Roman"/>
                <w:color w:val="auto"/>
                <w:sz w:val="24"/>
                <w:szCs w:val="24"/>
              </w:rPr>
              <w:t>个月，则施工期生活污水量为</w:t>
            </w:r>
            <w:r>
              <w:rPr>
                <w:rFonts w:hint="eastAsia" w:ascii="Times New Roman" w:hAnsi="Times New Roman"/>
                <w:color w:val="auto"/>
                <w:sz w:val="24"/>
                <w:szCs w:val="24"/>
                <w:lang w:val="en-US" w:eastAsia="zh-CN"/>
              </w:rPr>
              <w:t>6.4</w:t>
            </w:r>
            <w:r>
              <w:rPr>
                <w:rFonts w:hint="eastAsia" w:ascii="Times New Roman" w:hAnsi="Times New Roman"/>
                <w:color w:val="auto"/>
                <w:sz w:val="24"/>
                <w:szCs w:val="24"/>
              </w:rPr>
              <w:t>m</w:t>
            </w:r>
            <w:r>
              <w:rPr>
                <w:rFonts w:hint="eastAsia" w:ascii="Times New Roman" w:hAnsi="Times New Roman"/>
                <w:color w:val="auto"/>
                <w:sz w:val="24"/>
                <w:szCs w:val="24"/>
                <w:vertAlign w:val="superscript"/>
              </w:rPr>
              <w:t>3</w:t>
            </w:r>
            <w:r>
              <w:rPr>
                <w:rFonts w:hint="eastAsia" w:ascii="Times New Roman" w:hAnsi="Times New Roman"/>
                <w:color w:val="auto"/>
                <w:sz w:val="24"/>
                <w:szCs w:val="24"/>
              </w:rPr>
              <w:t>/d</w:t>
            </w:r>
            <w:r>
              <w:rPr>
                <w:rFonts w:hint="eastAsia" w:ascii="Times New Roman"/>
                <w:color w:val="auto"/>
                <w:sz w:val="24"/>
                <w:szCs w:val="24"/>
              </w:rPr>
              <w:t>、</w:t>
            </w:r>
            <w:r>
              <w:rPr>
                <w:rFonts w:hint="eastAsia" w:ascii="Times New Roman" w:hAnsi="Times New Roman"/>
                <w:color w:val="auto"/>
                <w:sz w:val="24"/>
                <w:szCs w:val="24"/>
                <w:lang w:val="en-US" w:eastAsia="zh-CN"/>
              </w:rPr>
              <w:t>1920</w:t>
            </w:r>
            <w:r>
              <w:rPr>
                <w:rFonts w:hint="eastAsia" w:ascii="Times New Roman" w:hAnsi="Times New Roman"/>
                <w:color w:val="auto"/>
                <w:sz w:val="24"/>
                <w:szCs w:val="24"/>
              </w:rPr>
              <w:t>m</w:t>
            </w:r>
            <w:r>
              <w:rPr>
                <w:rFonts w:hint="eastAsia" w:ascii="Times New Roman" w:hAnsi="Times New Roman"/>
                <w:color w:val="auto"/>
                <w:sz w:val="24"/>
                <w:szCs w:val="24"/>
                <w:vertAlign w:val="superscript"/>
              </w:rPr>
              <w:t>3</w:t>
            </w:r>
            <w:r>
              <w:rPr>
                <w:rFonts w:hint="eastAsia" w:ascii="Times New Roman" w:hAnsi="Times New Roman"/>
                <w:color w:val="auto"/>
                <w:sz w:val="24"/>
                <w:szCs w:val="24"/>
              </w:rPr>
              <w:t>/</w:t>
            </w:r>
            <w:r>
              <w:rPr>
                <w:rFonts w:hint="eastAsia" w:ascii="Times New Roman"/>
                <w:color w:val="auto"/>
                <w:sz w:val="24"/>
                <w:szCs w:val="24"/>
              </w:rPr>
              <w:t>施工期。</w:t>
            </w:r>
            <w:r>
              <w:rPr>
                <w:rFonts w:hint="eastAsia"/>
                <w:bCs/>
                <w:color w:val="auto"/>
                <w:sz w:val="24"/>
                <w:szCs w:val="24"/>
              </w:rPr>
              <w:t>本项目</w:t>
            </w:r>
            <w:r>
              <w:rPr>
                <w:rFonts w:ascii="Times New Roman" w:hAnsi="Times New Roman" w:cs="Times New Roman"/>
                <w:color w:val="auto"/>
                <w:sz w:val="24"/>
                <w:szCs w:val="24"/>
              </w:rPr>
              <w:t>生活污水源强及浓度产生量见表4</w:t>
            </w:r>
            <w:r>
              <w:rPr>
                <w:rFonts w:hint="eastAsia" w:ascii="Times New Roman" w:hAnsi="Times New Roman" w:cs="Times New Roman"/>
                <w:color w:val="auto"/>
                <w:sz w:val="24"/>
                <w:szCs w:val="24"/>
              </w:rPr>
              <w:t>-</w:t>
            </w:r>
            <w:r>
              <w:rPr>
                <w:rFonts w:hint="eastAsia" w:ascii="Times New Roman" w:hAnsi="Times New Roman" w:cs="Times New Roman"/>
                <w:color w:val="auto"/>
                <w:sz w:val="24"/>
                <w:szCs w:val="24"/>
                <w:lang w:val="en-US" w:eastAsia="zh-CN"/>
              </w:rPr>
              <w:t>2</w:t>
            </w:r>
            <w:r>
              <w:rPr>
                <w:rFonts w:ascii="Times New Roman" w:hAnsi="Times New Roman" w:cs="Times New Roman"/>
                <w:color w:val="auto"/>
                <w:sz w:val="24"/>
                <w:szCs w:val="24"/>
              </w:rPr>
              <w:t>。</w:t>
            </w:r>
          </w:p>
          <w:p w14:paraId="0C552527">
            <w:pPr>
              <w:pStyle w:val="43"/>
              <w:rPr>
                <w:rFonts w:ascii="Times New Roman" w:hAnsi="Times New Roman"/>
                <w:color w:val="auto"/>
                <w:sz w:val="24"/>
                <w:szCs w:val="24"/>
              </w:rPr>
            </w:pPr>
            <w:r>
              <w:rPr>
                <w:rFonts w:ascii="Times New Roman" w:hAnsi="Times New Roman"/>
                <w:color w:val="auto"/>
                <w:sz w:val="24"/>
                <w:szCs w:val="24"/>
              </w:rPr>
              <w:t>表4</w:t>
            </w:r>
            <w:r>
              <w:rPr>
                <w:rFonts w:hint="eastAsia" w:ascii="Times New Roman" w:hAnsi="Times New Roman"/>
                <w:color w:val="auto"/>
                <w:sz w:val="24"/>
                <w:szCs w:val="24"/>
              </w:rPr>
              <w:t>-</w:t>
            </w:r>
            <w:r>
              <w:rPr>
                <w:rFonts w:hint="eastAsia" w:ascii="Times New Roman" w:hAnsi="Times New Roman"/>
                <w:color w:val="auto"/>
                <w:sz w:val="24"/>
                <w:szCs w:val="24"/>
                <w:lang w:val="en-US" w:eastAsia="zh-CN"/>
              </w:rPr>
              <w:t>2</w:t>
            </w:r>
            <w:r>
              <w:rPr>
                <w:rFonts w:hint="eastAsia" w:ascii="Times New Roman" w:hAnsi="Times New Roman"/>
                <w:color w:val="auto"/>
                <w:sz w:val="24"/>
                <w:szCs w:val="24"/>
              </w:rPr>
              <w:t xml:space="preserve">  </w:t>
            </w:r>
            <w:r>
              <w:rPr>
                <w:rFonts w:ascii="Times New Roman" w:hAnsi="Times New Roman"/>
                <w:color w:val="auto"/>
                <w:sz w:val="24"/>
                <w:szCs w:val="24"/>
              </w:rPr>
              <w:t>施工期生活污水浓度及污染物</w:t>
            </w:r>
            <w:r>
              <w:rPr>
                <w:rFonts w:hint="eastAsia" w:ascii="Times New Roman" w:hAnsi="Times New Roman"/>
                <w:color w:val="auto"/>
                <w:sz w:val="24"/>
                <w:szCs w:val="24"/>
              </w:rPr>
              <w:t>产生</w:t>
            </w:r>
            <w:r>
              <w:rPr>
                <w:rFonts w:ascii="Times New Roman" w:hAnsi="Times New Roman"/>
                <w:color w:val="auto"/>
                <w:sz w:val="24"/>
                <w:szCs w:val="24"/>
              </w:rPr>
              <w:t>量</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553"/>
              <w:gridCol w:w="2553"/>
            </w:tblGrid>
            <w:tr w14:paraId="2EECA9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53" w:type="dxa"/>
                  <w:noWrap w:val="0"/>
                  <w:vAlign w:val="center"/>
                </w:tcPr>
                <w:p w14:paraId="2112C2CA">
                  <w:pPr>
                    <w:pStyle w:val="35"/>
                    <w:rPr>
                      <w:rFonts w:ascii="Times New Roman" w:hAnsi="Times New Roman" w:cs="Times New Roman"/>
                      <w:color w:val="auto"/>
                      <w:sz w:val="21"/>
                      <w:szCs w:val="21"/>
                    </w:rPr>
                  </w:pPr>
                  <w:r>
                    <w:rPr>
                      <w:rFonts w:ascii="Times New Roman" w:hAnsi="Times New Roman" w:cs="Times New Roman"/>
                      <w:color w:val="auto"/>
                      <w:sz w:val="21"/>
                      <w:szCs w:val="21"/>
                    </w:rPr>
                    <w:t>污染因子</w:t>
                  </w:r>
                </w:p>
              </w:tc>
              <w:tc>
                <w:tcPr>
                  <w:tcW w:w="2454" w:type="dxa"/>
                  <w:noWrap w:val="0"/>
                  <w:vAlign w:val="center"/>
                </w:tcPr>
                <w:p w14:paraId="7E37D8F4">
                  <w:pPr>
                    <w:pStyle w:val="35"/>
                    <w:rPr>
                      <w:rFonts w:ascii="Times New Roman" w:hAnsi="Times New Roman" w:cs="Times New Roman"/>
                      <w:color w:val="auto"/>
                      <w:sz w:val="21"/>
                      <w:szCs w:val="21"/>
                    </w:rPr>
                  </w:pPr>
                  <w:r>
                    <w:rPr>
                      <w:rFonts w:ascii="Times New Roman" w:hAnsi="Times New Roman" w:cs="Times New Roman"/>
                      <w:color w:val="auto"/>
                      <w:sz w:val="21"/>
                      <w:szCs w:val="21"/>
                    </w:rPr>
                    <w:t>浓度（mg/L）</w:t>
                  </w:r>
                </w:p>
              </w:tc>
              <w:tc>
                <w:tcPr>
                  <w:tcW w:w="2454" w:type="dxa"/>
                  <w:noWrap w:val="0"/>
                  <w:vAlign w:val="center"/>
                </w:tcPr>
                <w:p w14:paraId="5B6435C3">
                  <w:pPr>
                    <w:pStyle w:val="35"/>
                    <w:rPr>
                      <w:rFonts w:ascii="Times New Roman" w:hAnsi="Times New Roman" w:cs="Times New Roman"/>
                      <w:color w:val="auto"/>
                      <w:sz w:val="21"/>
                      <w:szCs w:val="21"/>
                    </w:rPr>
                  </w:pPr>
                  <w:r>
                    <w:rPr>
                      <w:rFonts w:ascii="Times New Roman" w:hAnsi="Times New Roman" w:cs="Times New Roman"/>
                      <w:color w:val="auto"/>
                      <w:sz w:val="21"/>
                      <w:szCs w:val="21"/>
                    </w:rPr>
                    <w:t>污染物</w:t>
                  </w:r>
                  <w:r>
                    <w:rPr>
                      <w:rFonts w:hint="eastAsia" w:ascii="Times New Roman" w:hAnsi="Times New Roman" w:cs="Times New Roman"/>
                      <w:color w:val="auto"/>
                      <w:sz w:val="21"/>
                      <w:szCs w:val="21"/>
                    </w:rPr>
                    <w:t>产生</w:t>
                  </w:r>
                  <w:r>
                    <w:rPr>
                      <w:rFonts w:ascii="Times New Roman" w:hAnsi="Times New Roman" w:cs="Times New Roman"/>
                      <w:color w:val="auto"/>
                      <w:sz w:val="21"/>
                      <w:szCs w:val="21"/>
                    </w:rPr>
                    <w:t>量（</w:t>
                  </w:r>
                  <w:r>
                    <w:rPr>
                      <w:rFonts w:hint="eastAsia" w:ascii="Times New Roman" w:hAnsi="Times New Roman" w:cs="Times New Roman"/>
                      <w:color w:val="auto"/>
                      <w:sz w:val="21"/>
                      <w:szCs w:val="21"/>
                    </w:rPr>
                    <w:t>t</w:t>
                  </w:r>
                  <w:r>
                    <w:rPr>
                      <w:rFonts w:ascii="Times New Roman" w:hAnsi="Times New Roman" w:cs="Times New Roman"/>
                      <w:color w:val="auto"/>
                      <w:sz w:val="21"/>
                      <w:szCs w:val="21"/>
                    </w:rPr>
                    <w:t>/d）</w:t>
                  </w:r>
                </w:p>
              </w:tc>
            </w:tr>
            <w:tr w14:paraId="49A96A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53" w:type="dxa"/>
                  <w:noWrap w:val="0"/>
                  <w:vAlign w:val="center"/>
                </w:tcPr>
                <w:p w14:paraId="284575A9">
                  <w:pPr>
                    <w:pStyle w:val="35"/>
                    <w:rPr>
                      <w:rFonts w:ascii="Times New Roman" w:hAnsi="Times New Roman" w:cs="Times New Roman"/>
                      <w:color w:val="auto"/>
                      <w:sz w:val="21"/>
                      <w:szCs w:val="21"/>
                    </w:rPr>
                  </w:pPr>
                  <w:r>
                    <w:rPr>
                      <w:rFonts w:ascii="Times New Roman" w:hAnsi="Times New Roman" w:cs="Times New Roman"/>
                      <w:color w:val="auto"/>
                      <w:sz w:val="21"/>
                      <w:szCs w:val="21"/>
                    </w:rPr>
                    <w:t>COD</w:t>
                  </w:r>
                </w:p>
              </w:tc>
              <w:tc>
                <w:tcPr>
                  <w:tcW w:w="2454" w:type="dxa"/>
                  <w:noWrap w:val="0"/>
                  <w:vAlign w:val="center"/>
                </w:tcPr>
                <w:p w14:paraId="0C660D14">
                  <w:pPr>
                    <w:pStyle w:val="35"/>
                    <w:rPr>
                      <w:rFonts w:ascii="Times New Roman" w:hAnsi="Times New Roman" w:cs="Times New Roman"/>
                      <w:color w:val="auto"/>
                      <w:sz w:val="21"/>
                      <w:szCs w:val="21"/>
                    </w:rPr>
                  </w:pPr>
                  <w:r>
                    <w:rPr>
                      <w:rFonts w:hint="eastAsia" w:ascii="Times New Roman" w:hAnsi="Times New Roman" w:cs="Times New Roman"/>
                      <w:color w:val="auto"/>
                      <w:sz w:val="21"/>
                      <w:szCs w:val="21"/>
                    </w:rPr>
                    <w:t>300</w:t>
                  </w:r>
                </w:p>
              </w:tc>
              <w:tc>
                <w:tcPr>
                  <w:tcW w:w="2454" w:type="dxa"/>
                  <w:noWrap w:val="0"/>
                  <w:vAlign w:val="center"/>
                </w:tcPr>
                <w:p w14:paraId="4F9EB73B">
                  <w:pPr>
                    <w:pStyle w:val="35"/>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0.00192</w:t>
                  </w:r>
                </w:p>
              </w:tc>
            </w:tr>
            <w:tr w14:paraId="692E6F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53" w:type="dxa"/>
                  <w:noWrap w:val="0"/>
                  <w:vAlign w:val="center"/>
                </w:tcPr>
                <w:p w14:paraId="698B9A24">
                  <w:pPr>
                    <w:pStyle w:val="35"/>
                    <w:rPr>
                      <w:rFonts w:ascii="Times New Roman" w:hAnsi="Times New Roman" w:cs="Times New Roman"/>
                      <w:color w:val="auto"/>
                      <w:sz w:val="21"/>
                      <w:szCs w:val="21"/>
                    </w:rPr>
                  </w:pPr>
                  <w:r>
                    <w:rPr>
                      <w:rFonts w:ascii="Times New Roman" w:hAnsi="Times New Roman" w:cs="Times New Roman"/>
                      <w:color w:val="auto"/>
                      <w:sz w:val="21"/>
                      <w:szCs w:val="21"/>
                    </w:rPr>
                    <w:t>BOD</w:t>
                  </w:r>
                  <w:r>
                    <w:rPr>
                      <w:rFonts w:ascii="Times New Roman" w:hAnsi="Times New Roman" w:cs="Times New Roman"/>
                      <w:color w:val="auto"/>
                      <w:sz w:val="21"/>
                      <w:szCs w:val="21"/>
                      <w:vertAlign w:val="subscript"/>
                    </w:rPr>
                    <w:t>5</w:t>
                  </w:r>
                </w:p>
              </w:tc>
              <w:tc>
                <w:tcPr>
                  <w:tcW w:w="2454" w:type="dxa"/>
                  <w:noWrap w:val="0"/>
                  <w:vAlign w:val="center"/>
                </w:tcPr>
                <w:p w14:paraId="3443CDA0">
                  <w:pPr>
                    <w:pStyle w:val="35"/>
                    <w:rPr>
                      <w:rFonts w:ascii="Times New Roman" w:hAnsi="Times New Roman" w:cs="Times New Roman"/>
                      <w:color w:val="auto"/>
                      <w:sz w:val="21"/>
                      <w:szCs w:val="21"/>
                    </w:rPr>
                  </w:pPr>
                  <w:r>
                    <w:rPr>
                      <w:rFonts w:hint="eastAsia" w:ascii="Times New Roman" w:hAnsi="Times New Roman" w:cs="Times New Roman"/>
                      <w:color w:val="auto"/>
                      <w:sz w:val="21"/>
                      <w:szCs w:val="21"/>
                    </w:rPr>
                    <w:t>200</w:t>
                  </w:r>
                </w:p>
              </w:tc>
              <w:tc>
                <w:tcPr>
                  <w:tcW w:w="2454" w:type="dxa"/>
                  <w:noWrap w:val="0"/>
                  <w:vAlign w:val="center"/>
                </w:tcPr>
                <w:p w14:paraId="23D55A19">
                  <w:pPr>
                    <w:pStyle w:val="35"/>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0.00128</w:t>
                  </w:r>
                </w:p>
              </w:tc>
            </w:tr>
            <w:tr w14:paraId="2DFED4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53" w:type="dxa"/>
                  <w:noWrap w:val="0"/>
                  <w:vAlign w:val="center"/>
                </w:tcPr>
                <w:p w14:paraId="21FD8CC3">
                  <w:pPr>
                    <w:pStyle w:val="35"/>
                    <w:rPr>
                      <w:rFonts w:ascii="Times New Roman" w:hAnsi="Times New Roman" w:cs="Times New Roman"/>
                      <w:color w:val="auto"/>
                      <w:sz w:val="21"/>
                      <w:szCs w:val="21"/>
                    </w:rPr>
                  </w:pPr>
                  <w:r>
                    <w:rPr>
                      <w:rFonts w:ascii="Times New Roman" w:hAnsi="Times New Roman" w:cs="Times New Roman"/>
                      <w:color w:val="auto"/>
                      <w:sz w:val="21"/>
                      <w:szCs w:val="21"/>
                    </w:rPr>
                    <w:t>SS</w:t>
                  </w:r>
                </w:p>
              </w:tc>
              <w:tc>
                <w:tcPr>
                  <w:tcW w:w="2454" w:type="dxa"/>
                  <w:noWrap w:val="0"/>
                  <w:vAlign w:val="center"/>
                </w:tcPr>
                <w:p w14:paraId="0D0918D8">
                  <w:pPr>
                    <w:pStyle w:val="35"/>
                    <w:rPr>
                      <w:rFonts w:ascii="Times New Roman" w:hAnsi="Times New Roman" w:cs="Times New Roman"/>
                      <w:color w:val="auto"/>
                      <w:sz w:val="21"/>
                      <w:szCs w:val="21"/>
                    </w:rPr>
                  </w:pPr>
                  <w:r>
                    <w:rPr>
                      <w:rFonts w:hint="eastAsia" w:ascii="Times New Roman" w:hAnsi="Times New Roman" w:cs="Times New Roman"/>
                      <w:color w:val="auto"/>
                      <w:sz w:val="21"/>
                      <w:szCs w:val="21"/>
                    </w:rPr>
                    <w:t>220</w:t>
                  </w:r>
                </w:p>
              </w:tc>
              <w:tc>
                <w:tcPr>
                  <w:tcW w:w="2454" w:type="dxa"/>
                  <w:noWrap w:val="0"/>
                  <w:vAlign w:val="center"/>
                </w:tcPr>
                <w:p w14:paraId="23EF0471">
                  <w:pPr>
                    <w:pStyle w:val="35"/>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0.001408</w:t>
                  </w:r>
                </w:p>
              </w:tc>
            </w:tr>
            <w:tr w14:paraId="516EAD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53" w:type="dxa"/>
                  <w:noWrap w:val="0"/>
                  <w:vAlign w:val="center"/>
                </w:tcPr>
                <w:p w14:paraId="59498DFE">
                  <w:pPr>
                    <w:pStyle w:val="35"/>
                    <w:rPr>
                      <w:rFonts w:ascii="Times New Roman" w:hAnsi="Times New Roman" w:cs="Times New Roman"/>
                      <w:color w:val="auto"/>
                      <w:sz w:val="21"/>
                      <w:szCs w:val="21"/>
                    </w:rPr>
                  </w:pPr>
                  <w:r>
                    <w:rPr>
                      <w:rFonts w:ascii="Times New Roman" w:hAnsi="Times New Roman" w:cs="Times New Roman"/>
                      <w:color w:val="auto"/>
                      <w:sz w:val="21"/>
                      <w:szCs w:val="21"/>
                    </w:rPr>
                    <w:t>动植物油</w:t>
                  </w:r>
                </w:p>
              </w:tc>
              <w:tc>
                <w:tcPr>
                  <w:tcW w:w="2454" w:type="dxa"/>
                  <w:noWrap w:val="0"/>
                  <w:vAlign w:val="center"/>
                </w:tcPr>
                <w:p w14:paraId="5F03467C">
                  <w:pPr>
                    <w:pStyle w:val="35"/>
                    <w:rPr>
                      <w:rFonts w:ascii="Times New Roman" w:hAnsi="Times New Roman" w:cs="Times New Roman"/>
                      <w:color w:val="auto"/>
                      <w:sz w:val="21"/>
                      <w:szCs w:val="21"/>
                    </w:rPr>
                  </w:pPr>
                  <w:r>
                    <w:rPr>
                      <w:rFonts w:hint="eastAsia" w:ascii="Times New Roman" w:hAnsi="Times New Roman" w:cs="Times New Roman"/>
                      <w:color w:val="auto"/>
                      <w:sz w:val="21"/>
                      <w:szCs w:val="21"/>
                    </w:rPr>
                    <w:t>30</w:t>
                  </w:r>
                </w:p>
              </w:tc>
              <w:tc>
                <w:tcPr>
                  <w:tcW w:w="2454" w:type="dxa"/>
                  <w:noWrap w:val="0"/>
                  <w:vAlign w:val="center"/>
                </w:tcPr>
                <w:p w14:paraId="61685FB2">
                  <w:pPr>
                    <w:pStyle w:val="35"/>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0.000192</w:t>
                  </w:r>
                </w:p>
              </w:tc>
            </w:tr>
          </w:tbl>
          <w:p w14:paraId="1F305E13">
            <w:pPr>
              <w:pStyle w:val="34"/>
              <w:ind w:firstLine="480"/>
              <w:rPr>
                <w:color w:val="auto"/>
                <w:sz w:val="24"/>
                <w:szCs w:val="32"/>
                <w:highlight w:val="none"/>
              </w:rPr>
            </w:pPr>
            <w:r>
              <w:rPr>
                <w:rFonts w:hint="eastAsia"/>
                <w:color w:val="auto"/>
                <w:sz w:val="24"/>
                <w:szCs w:val="21"/>
              </w:rPr>
              <w:t>本工程不设置施工驻地，施工人员食宿租赁附近民宅</w:t>
            </w:r>
            <w:r>
              <w:rPr>
                <w:rFonts w:hint="eastAsia"/>
                <w:color w:val="auto"/>
                <w:sz w:val="24"/>
                <w:szCs w:val="21"/>
                <w:lang w:eastAsia="zh-CN"/>
              </w:rPr>
              <w:t>，生活污水依托当地处置设施。</w:t>
            </w:r>
          </w:p>
          <w:p w14:paraId="212A9949">
            <w:pPr>
              <w:pStyle w:val="34"/>
              <w:ind w:firstLine="48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rPr>
              <w:t>施工废水</w:t>
            </w:r>
          </w:p>
          <w:p w14:paraId="14700EBE">
            <w:pPr>
              <w:pStyle w:val="34"/>
              <w:ind w:firstLine="480"/>
              <w:rPr>
                <w:color w:val="auto"/>
                <w:highlight w:val="none"/>
              </w:rPr>
            </w:pPr>
            <w:r>
              <w:rPr>
                <w:color w:val="auto"/>
              </w:rPr>
              <w:t>施工生产废水主要为混凝土拌</w:t>
            </w:r>
            <w:r>
              <w:rPr>
                <w:rFonts w:hint="eastAsia"/>
                <w:color w:val="auto"/>
                <w:lang w:eastAsia="zh-CN"/>
              </w:rPr>
              <w:t>和</w:t>
            </w:r>
            <w:r>
              <w:rPr>
                <w:color w:val="auto"/>
              </w:rPr>
              <w:t>等产生的施工废水、施工机械和车辆冲洗废水。本项目混凝土养护和混凝土</w:t>
            </w:r>
            <w:r>
              <w:rPr>
                <w:rFonts w:hint="eastAsia"/>
                <w:color w:val="auto"/>
                <w:lang w:eastAsia="zh-CN"/>
              </w:rPr>
              <w:t>拌和</w:t>
            </w:r>
            <w:r>
              <w:rPr>
                <w:color w:val="auto"/>
              </w:rPr>
              <w:t>会有废水产生，主要污染物为SS，浓度约5000mg/L，混凝土养护和拌和等产生的施工废水经设置的临时沉淀池沉淀处理后，回用于生产或用于施工场地洒水降尘，不外排。施工场地施工机械和车辆清洗废水中主要污染物为石油类和SS，污染物浓度分别为SS360mg/L、石油类200mg/L，废水经施工场地内设置的临时隔油沉淀池集中处理后，回用于生产或用于施工场地洒水降尘，不外排。施工生产废水对地表水体造成影响</w:t>
            </w:r>
            <w:r>
              <w:rPr>
                <w:rFonts w:hint="eastAsia"/>
                <w:color w:val="auto"/>
                <w:lang w:eastAsia="zh-CN"/>
              </w:rPr>
              <w:t>较小</w:t>
            </w:r>
            <w:r>
              <w:rPr>
                <w:color w:val="auto"/>
              </w:rPr>
              <w:t>。</w:t>
            </w:r>
          </w:p>
          <w:p w14:paraId="237728A5">
            <w:pPr>
              <w:pStyle w:val="34"/>
              <w:ind w:firstLine="480"/>
              <w:rPr>
                <w:rFonts w:hint="eastAsia" w:eastAsia="宋体"/>
                <w:color w:val="auto"/>
                <w:szCs w:val="21"/>
                <w:lang w:eastAsia="zh-CN"/>
              </w:rPr>
            </w:pPr>
            <w:r>
              <w:rPr>
                <w:rFonts w:hint="eastAsia"/>
                <w:color w:val="auto"/>
                <w:szCs w:val="21"/>
                <w:lang w:eastAsia="zh-CN"/>
              </w:rPr>
              <w:t>（</w:t>
            </w:r>
            <w:r>
              <w:rPr>
                <w:rFonts w:hint="eastAsia"/>
                <w:color w:val="auto"/>
                <w:szCs w:val="21"/>
                <w:lang w:val="en-US" w:eastAsia="zh-CN"/>
              </w:rPr>
              <w:t>3</w:t>
            </w:r>
            <w:r>
              <w:rPr>
                <w:rFonts w:hint="eastAsia"/>
                <w:color w:val="auto"/>
                <w:szCs w:val="21"/>
                <w:lang w:eastAsia="zh-CN"/>
              </w:rPr>
              <w:t>）</w:t>
            </w:r>
            <w:r>
              <w:rPr>
                <w:rFonts w:hint="eastAsia"/>
                <w:color w:val="auto"/>
                <w:lang w:val="en-US" w:eastAsia="zh-CN"/>
              </w:rPr>
              <w:t>施工对地表水的影响</w:t>
            </w:r>
          </w:p>
          <w:p w14:paraId="771832EF">
            <w:pPr>
              <w:pStyle w:val="34"/>
              <w:ind w:firstLine="480"/>
              <w:rPr>
                <w:rFonts w:hint="eastAsia"/>
                <w:color w:val="auto"/>
              </w:rPr>
            </w:pPr>
            <w:r>
              <w:rPr>
                <w:rFonts w:hint="eastAsia"/>
                <w:color w:val="auto"/>
                <w:szCs w:val="21"/>
              </w:rPr>
              <w:t>本项目</w:t>
            </w:r>
            <w:r>
              <w:rPr>
                <w:rFonts w:hint="eastAsia"/>
                <w:color w:val="auto"/>
                <w:szCs w:val="21"/>
                <w:lang w:eastAsia="zh-CN"/>
              </w:rPr>
              <w:t>涵洞</w:t>
            </w:r>
            <w:r>
              <w:rPr>
                <w:rFonts w:hint="eastAsia"/>
                <w:color w:val="auto"/>
                <w:lang w:eastAsia="zh-CN"/>
              </w:rPr>
              <w:t>土方开挖、回填等工序</w:t>
            </w:r>
            <w:r>
              <w:rPr>
                <w:rFonts w:hint="eastAsia"/>
                <w:color w:val="auto"/>
              </w:rPr>
              <w:t>会扰动河底泥沙和沉积物造成局部水域悬浮物浓度增加，根据同类工程研究表明，施工时局部水域悬浮物浓度在80～160mg/L，但施工处下游100m范围外SS增量不超过50mg/L，对下游100m围外水域水质影响较小，并且</w:t>
            </w:r>
            <w:r>
              <w:rPr>
                <w:rFonts w:hint="eastAsia"/>
                <w:color w:val="auto"/>
                <w:lang w:eastAsia="zh-CN"/>
              </w:rPr>
              <w:t>涵洞</w:t>
            </w:r>
            <w:r>
              <w:rPr>
                <w:rFonts w:hint="eastAsia"/>
                <w:color w:val="auto"/>
              </w:rPr>
              <w:t>施工工序短，</w:t>
            </w:r>
            <w:r>
              <w:rPr>
                <w:rFonts w:hint="eastAsia"/>
                <w:color w:val="auto"/>
                <w:lang w:eastAsia="zh-CN"/>
              </w:rPr>
              <w:t>且涵洞施工处均为无名沟渠，</w:t>
            </w:r>
            <w:r>
              <w:rPr>
                <w:rFonts w:hint="eastAsia"/>
                <w:color w:val="auto"/>
              </w:rPr>
              <w:t>完工后对地表水影响逐渐消失。</w:t>
            </w:r>
          </w:p>
          <w:p w14:paraId="0339F570">
            <w:pPr>
              <w:pStyle w:val="34"/>
              <w:ind w:firstLine="480"/>
              <w:rPr>
                <w:color w:val="auto"/>
                <w:sz w:val="24"/>
                <w:szCs w:val="24"/>
                <w:highlight w:val="none"/>
              </w:rPr>
            </w:pPr>
            <w:r>
              <w:rPr>
                <w:rFonts w:hint="eastAsia"/>
                <w:color w:val="auto"/>
                <w:sz w:val="24"/>
                <w:szCs w:val="24"/>
                <w:highlight w:val="none"/>
                <w:lang w:val="en-US" w:eastAsia="zh-CN"/>
              </w:rPr>
              <w:t>4、</w:t>
            </w:r>
            <w:r>
              <w:rPr>
                <w:color w:val="auto"/>
                <w:sz w:val="24"/>
                <w:szCs w:val="24"/>
                <w:highlight w:val="none"/>
              </w:rPr>
              <w:t>噪声影响分析</w:t>
            </w:r>
          </w:p>
          <w:p w14:paraId="130C9A9F">
            <w:pPr>
              <w:pStyle w:val="34"/>
              <w:ind w:firstLine="480"/>
              <w:rPr>
                <w:color w:val="auto"/>
                <w:highlight w:val="none"/>
              </w:rPr>
            </w:pPr>
            <w:r>
              <w:rPr>
                <w:color w:val="auto"/>
                <w:sz w:val="24"/>
                <w:szCs w:val="24"/>
                <w:highlight w:val="none"/>
              </w:rPr>
              <w:t>本项目施工期噪声影响主要体现在施工机械、运输车辆对沿线居民的影响。</w:t>
            </w:r>
            <w:r>
              <w:rPr>
                <w:rFonts w:hint="eastAsia"/>
                <w:color w:val="auto"/>
                <w:highlight w:val="none"/>
              </w:rPr>
              <w:t>由噪声预测结果可知，施工期间，</w:t>
            </w:r>
            <w:r>
              <w:rPr>
                <w:rFonts w:hint="eastAsia" w:ascii="Times New Roman" w:hAnsi="Times New Roman" w:eastAsia="宋体" w:cs="Times New Roman"/>
                <w:color w:val="auto"/>
                <w:highlight w:val="none"/>
                <w:lang w:eastAsia="zh-CN"/>
              </w:rPr>
              <w:t>除</w:t>
            </w:r>
            <w:r>
              <w:rPr>
                <w:rFonts w:hint="eastAsia" w:ascii="Times New Roman" w:hAnsi="Times New Roman" w:eastAsia="宋体" w:cs="Times New Roman"/>
                <w:color w:val="auto"/>
                <w:highlight w:val="none"/>
                <w:lang w:val="en-US" w:eastAsia="zh-CN"/>
              </w:rPr>
              <w:t>头道林子村、东旭村</w:t>
            </w:r>
            <w:r>
              <w:rPr>
                <w:rFonts w:hint="eastAsia" w:ascii="Times New Roman" w:hAnsi="Times New Roman" w:eastAsia="宋体" w:cs="Times New Roman"/>
                <w:color w:val="auto"/>
                <w:highlight w:val="none"/>
                <w:lang w:eastAsia="zh-CN"/>
              </w:rPr>
              <w:t>昼间达标外</w:t>
            </w:r>
            <w:r>
              <w:rPr>
                <w:rFonts w:hint="eastAsia"/>
                <w:color w:val="auto"/>
                <w:highlight w:val="none"/>
                <w:lang w:eastAsia="zh-CN"/>
              </w:rPr>
              <w:t>，其他</w:t>
            </w:r>
            <w:r>
              <w:rPr>
                <w:rFonts w:hint="eastAsia"/>
                <w:color w:val="auto"/>
                <w:highlight w:val="none"/>
              </w:rPr>
              <w:t>环境保护目标昼间</w:t>
            </w:r>
            <w:r>
              <w:rPr>
                <w:rFonts w:hint="eastAsia"/>
                <w:color w:val="auto"/>
                <w:highlight w:val="none"/>
                <w:lang w:eastAsia="zh-CN"/>
              </w:rPr>
              <w:t>和夜间</w:t>
            </w:r>
            <w:r>
              <w:rPr>
                <w:rFonts w:hint="eastAsia"/>
                <w:color w:val="auto"/>
                <w:highlight w:val="none"/>
              </w:rPr>
              <w:t>声环境不满足《声环境质量标准》（GB</w:t>
            </w:r>
            <w:r>
              <w:rPr>
                <w:rFonts w:hint="eastAsia"/>
                <w:color w:val="auto"/>
                <w:highlight w:val="none"/>
                <w:lang w:val="en-US" w:eastAsia="zh-CN"/>
              </w:rPr>
              <w:t xml:space="preserve"> </w:t>
            </w:r>
            <w:r>
              <w:rPr>
                <w:rFonts w:hint="eastAsia"/>
                <w:color w:val="auto"/>
                <w:highlight w:val="none"/>
              </w:rPr>
              <w:t>3096-2008）中</w:t>
            </w:r>
            <w:r>
              <w:rPr>
                <w:rFonts w:hint="eastAsia"/>
                <w:color w:val="auto"/>
                <w:highlight w:val="none"/>
                <w:lang w:val="en-US" w:eastAsia="zh-CN"/>
              </w:rPr>
              <w:t>1类</w:t>
            </w:r>
            <w:r>
              <w:rPr>
                <w:rFonts w:hint="eastAsia"/>
                <w:color w:val="auto"/>
                <w:highlight w:val="none"/>
              </w:rPr>
              <w:t>区标准</w:t>
            </w:r>
            <w:r>
              <w:rPr>
                <w:rFonts w:hint="eastAsia"/>
                <w:color w:val="auto"/>
                <w:highlight w:val="none"/>
                <w:lang w:eastAsia="zh-CN"/>
              </w:rPr>
              <w:t>昼间</w:t>
            </w:r>
            <w:r>
              <w:rPr>
                <w:rFonts w:hint="eastAsia"/>
                <w:color w:val="auto"/>
                <w:highlight w:val="none"/>
                <w:lang w:val="en-US" w:eastAsia="zh-CN"/>
              </w:rPr>
              <w:t>55</w:t>
            </w:r>
            <w:r>
              <w:rPr>
                <w:rFonts w:hint="eastAsia"/>
                <w:color w:val="auto"/>
                <w:highlight w:val="none"/>
              </w:rPr>
              <w:t>dB（A），</w:t>
            </w:r>
            <w:r>
              <w:rPr>
                <w:rFonts w:hint="eastAsia"/>
                <w:color w:val="auto"/>
                <w:highlight w:val="none"/>
                <w:lang w:eastAsia="zh-CN"/>
              </w:rPr>
              <w:t>夜间</w:t>
            </w:r>
            <w:r>
              <w:rPr>
                <w:rFonts w:hint="eastAsia"/>
                <w:color w:val="auto"/>
                <w:highlight w:val="none"/>
                <w:lang w:val="en-US" w:eastAsia="zh-CN"/>
              </w:rPr>
              <w:t>45</w:t>
            </w:r>
            <w:r>
              <w:rPr>
                <w:rFonts w:hint="eastAsia"/>
                <w:color w:val="auto"/>
                <w:highlight w:val="none"/>
              </w:rPr>
              <w:t>dB（A）</w:t>
            </w:r>
            <w:r>
              <w:rPr>
                <w:rFonts w:hint="eastAsia"/>
                <w:color w:val="auto"/>
                <w:highlight w:val="none"/>
                <w:lang w:val="en-US"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lang w:eastAsia="zh-CN"/>
              </w:rPr>
              <w:t>。昼间最大超标量</w:t>
            </w:r>
            <w:r>
              <w:rPr>
                <w:rFonts w:hint="eastAsia"/>
                <w:color w:val="auto"/>
                <w:highlight w:val="none"/>
                <w:lang w:val="en-US" w:eastAsia="zh-CN"/>
              </w:rPr>
              <w:t>为</w:t>
            </w:r>
            <w:r>
              <w:rPr>
                <w:rFonts w:hint="eastAsia" w:eastAsia="新宋体"/>
                <w:color w:val="auto"/>
                <w:highlight w:val="none"/>
                <w:lang w:val="en-US" w:eastAsia="zh-CN"/>
              </w:rPr>
              <w:t>25.02d</w:t>
            </w:r>
            <w:r>
              <w:rPr>
                <w:rFonts w:hint="eastAsia"/>
                <w:color w:val="auto"/>
                <w:highlight w:val="none"/>
              </w:rPr>
              <w:t>B（A）</w:t>
            </w:r>
            <w:r>
              <w:rPr>
                <w:rFonts w:hint="eastAsia"/>
                <w:color w:val="auto"/>
                <w:highlight w:val="none"/>
                <w:lang w:eastAsia="zh-CN"/>
              </w:rPr>
              <w:t>，夜间最大超标量</w:t>
            </w:r>
            <w:r>
              <w:rPr>
                <w:rFonts w:hint="eastAsia"/>
                <w:color w:val="auto"/>
                <w:highlight w:val="none"/>
                <w:lang w:val="en-US" w:eastAsia="zh-CN"/>
              </w:rPr>
              <w:t>为</w:t>
            </w:r>
            <w:r>
              <w:rPr>
                <w:rFonts w:hint="eastAsia" w:eastAsia="新宋体"/>
                <w:color w:val="auto"/>
                <w:highlight w:val="none"/>
                <w:lang w:val="en-US" w:eastAsia="zh-CN"/>
              </w:rPr>
              <w:t>35.02d</w:t>
            </w:r>
            <w:r>
              <w:rPr>
                <w:rFonts w:hint="eastAsia"/>
                <w:color w:val="auto"/>
                <w:highlight w:val="none"/>
              </w:rPr>
              <w:t>B（A）</w:t>
            </w:r>
            <w:r>
              <w:rPr>
                <w:rFonts w:hint="eastAsia"/>
                <w:color w:val="auto"/>
                <w:highlight w:val="none"/>
                <w:lang w:eastAsia="zh-CN"/>
              </w:rPr>
              <w:t>。</w:t>
            </w:r>
            <w:r>
              <w:rPr>
                <w:rFonts w:hint="eastAsia"/>
                <w:color w:val="auto"/>
                <w:highlight w:val="none"/>
              </w:rPr>
              <w:t>为降低施工期噪声对声环境保护目标影响，</w:t>
            </w:r>
            <w:r>
              <w:rPr>
                <w:rFonts w:hint="eastAsia"/>
                <w:color w:val="auto"/>
                <w:sz w:val="24"/>
                <w:szCs w:val="24"/>
                <w:highlight w:val="none"/>
              </w:rPr>
              <w:t>本次评价要求：采用低噪声设备，施工机械安装减振、降噪设备；施工期合理布局，临时工程及大型施工设备远离声环境保护目标设置；合理制定施工计划，避免大量噪声设备同时使用；禁止夜间（22:00～6:00）在声环境保护目标路段进行施工作业，并对声环境保护目标路段安装移动声屏障；优化施工时间，合理疏导进入施工区的车辆，采取禁止鸣笛、减速慢行等措施，减少运输交通噪声扰民。采取上述措施后，施工期间噪声能够满足《建筑施工噪声排放标准》（GB 12523</w:t>
            </w:r>
            <w:r>
              <w:rPr>
                <w:rFonts w:hint="eastAsia" w:eastAsia="黑体" w:cs="Times New Roman"/>
                <w:color w:val="auto"/>
                <w:sz w:val="24"/>
                <w:szCs w:val="24"/>
                <w:highlight w:val="none"/>
                <w:lang w:val="en-US" w:eastAsia="zh-CN"/>
              </w:rPr>
              <w:t>—</w:t>
            </w:r>
            <w:r>
              <w:rPr>
                <w:rFonts w:hint="eastAsia"/>
                <w:color w:val="auto"/>
                <w:sz w:val="24"/>
                <w:szCs w:val="24"/>
                <w:highlight w:val="none"/>
              </w:rPr>
              <w:t>2025）有关规定。同时，本项目施工噪声对声环境的影响属于短期的、暂时的，噪声影响将随着施工结束而消失，总体来说，本项目施工对周边声环境影响较小，从声环境</w:t>
            </w:r>
            <w:r>
              <w:rPr>
                <w:rFonts w:hint="eastAsia"/>
                <w:color w:val="auto"/>
                <w:highlight w:val="none"/>
              </w:rPr>
              <w:t>角度讲，本项目建设是可行的。</w:t>
            </w:r>
          </w:p>
          <w:p w14:paraId="4139A721">
            <w:pPr>
              <w:pStyle w:val="34"/>
              <w:ind w:firstLine="480"/>
              <w:rPr>
                <w:rFonts w:hint="eastAsia"/>
                <w:color w:val="auto"/>
                <w:highlight w:val="none"/>
              </w:rPr>
            </w:pPr>
            <w:r>
              <w:rPr>
                <w:color w:val="auto"/>
                <w:highlight w:val="none"/>
              </w:rPr>
              <w:t>详见</w:t>
            </w:r>
            <w:r>
              <w:rPr>
                <w:rFonts w:hint="eastAsia"/>
                <w:color w:val="auto"/>
                <w:highlight w:val="none"/>
              </w:rPr>
              <w:t>噪声环境影响专项评价。</w:t>
            </w:r>
          </w:p>
          <w:p w14:paraId="6D71C375">
            <w:pPr>
              <w:pStyle w:val="34"/>
              <w:ind w:firstLine="480"/>
              <w:rPr>
                <w:color w:val="auto"/>
                <w:highlight w:val="none"/>
              </w:rPr>
            </w:pPr>
            <w:r>
              <w:rPr>
                <w:rFonts w:hint="eastAsia"/>
                <w:color w:val="auto"/>
                <w:highlight w:val="none"/>
                <w:lang w:val="en-US" w:eastAsia="zh-CN"/>
              </w:rPr>
              <w:t>5、</w:t>
            </w:r>
            <w:r>
              <w:rPr>
                <w:color w:val="auto"/>
                <w:highlight w:val="none"/>
              </w:rPr>
              <w:t>固体废物影响分析</w:t>
            </w:r>
          </w:p>
          <w:p w14:paraId="159A80B0">
            <w:pPr>
              <w:spacing w:line="360" w:lineRule="auto"/>
              <w:ind w:firstLine="480" w:firstLineChars="200"/>
              <w:rPr>
                <w:rFonts w:ascii="Times New Roman" w:hAnsi="Times New Roman"/>
                <w:color w:val="auto"/>
                <w:sz w:val="24"/>
                <w:szCs w:val="21"/>
              </w:rPr>
            </w:pPr>
            <w:r>
              <w:rPr>
                <w:rFonts w:hint="eastAsia" w:ascii="Times New Roman" w:hAnsi="Times New Roman"/>
                <w:color w:val="auto"/>
                <w:sz w:val="24"/>
                <w:szCs w:val="21"/>
              </w:rPr>
              <w:t>（1）生活垃圾</w:t>
            </w:r>
          </w:p>
          <w:p w14:paraId="640D5C7D">
            <w:pPr>
              <w:spacing w:line="360" w:lineRule="auto"/>
              <w:ind w:firstLine="480" w:firstLineChars="200"/>
              <w:rPr>
                <w:rFonts w:hint="eastAsia" w:ascii="Times New Roman" w:hAnsi="Times New Roman"/>
                <w:color w:val="auto"/>
                <w:sz w:val="24"/>
                <w:szCs w:val="24"/>
              </w:rPr>
            </w:pPr>
            <w:r>
              <w:rPr>
                <w:rFonts w:hint="eastAsia"/>
                <w:color w:val="auto"/>
                <w:sz w:val="24"/>
                <w:szCs w:val="21"/>
              </w:rPr>
              <w:t>本工程不设置施工驻地，施工人员食宿租赁附近民宅</w:t>
            </w:r>
            <w:r>
              <w:rPr>
                <w:rFonts w:hint="eastAsia"/>
                <w:color w:val="auto"/>
                <w:sz w:val="24"/>
                <w:szCs w:val="21"/>
                <w:lang w:eastAsia="zh-CN"/>
              </w:rPr>
              <w:t>，生活垃圾依托当地收集和转运设施。</w:t>
            </w:r>
          </w:p>
          <w:p w14:paraId="71872FF3">
            <w:pPr>
              <w:spacing w:line="360" w:lineRule="auto"/>
              <w:ind w:firstLine="480" w:firstLineChars="200"/>
              <w:rPr>
                <w:rFonts w:ascii="Times New Roman" w:hAnsi="Times New Roman"/>
                <w:color w:val="auto"/>
                <w:sz w:val="24"/>
                <w:szCs w:val="21"/>
              </w:rPr>
            </w:pPr>
            <w:r>
              <w:rPr>
                <w:rFonts w:hint="eastAsia" w:ascii="Times New Roman" w:hAnsi="Times New Roman"/>
                <w:color w:val="auto"/>
                <w:sz w:val="24"/>
                <w:szCs w:val="21"/>
              </w:rPr>
              <w:t>（2）施工弃渣</w:t>
            </w:r>
          </w:p>
          <w:p w14:paraId="351F3648">
            <w:pPr>
              <w:spacing w:line="360" w:lineRule="auto"/>
              <w:ind w:firstLine="480" w:firstLineChars="200"/>
              <w:rPr>
                <w:rFonts w:hint="eastAsia" w:ascii="Times New Roman" w:hAnsi="Times New Roman" w:eastAsia="宋体" w:cs="Times New Roman"/>
                <w:color w:val="auto"/>
                <w:sz w:val="24"/>
                <w:szCs w:val="21"/>
              </w:rPr>
            </w:pPr>
            <w:r>
              <w:rPr>
                <w:rFonts w:ascii="Times New Roman" w:hAnsi="Times New Roman"/>
                <w:color w:val="auto"/>
                <w:sz w:val="24"/>
                <w:szCs w:val="21"/>
                <w:highlight w:val="none"/>
              </w:rPr>
              <w:t>本</w:t>
            </w:r>
            <w:r>
              <w:rPr>
                <w:rFonts w:hint="eastAsia" w:ascii="Times New Roman" w:hAnsi="Times New Roman"/>
                <w:color w:val="auto"/>
                <w:sz w:val="24"/>
                <w:szCs w:val="21"/>
                <w:highlight w:val="none"/>
              </w:rPr>
              <w:t>项目</w:t>
            </w:r>
            <w:r>
              <w:rPr>
                <w:rFonts w:hint="eastAsia"/>
                <w:color w:val="auto"/>
                <w:sz w:val="24"/>
                <w:szCs w:val="21"/>
                <w:highlight w:val="none"/>
                <w:lang w:eastAsia="zh-CN"/>
              </w:rPr>
              <w:t>全线挖方全部纵向利用于路基填筑，全线无弃土。</w:t>
            </w:r>
            <w:r>
              <w:rPr>
                <w:rFonts w:hint="eastAsia" w:ascii="Times New Roman" w:hAnsi="Times New Roman" w:eastAsia="宋体" w:cs="Times New Roman"/>
                <w:color w:val="auto"/>
                <w:sz w:val="24"/>
                <w:szCs w:val="21"/>
              </w:rPr>
              <w:t>本项目施工期固体废物均得到了</w:t>
            </w:r>
            <w:r>
              <w:rPr>
                <w:rFonts w:hint="eastAsia" w:ascii="Times New Roman" w:hAnsi="Times New Roman" w:eastAsia="宋体" w:cs="Times New Roman"/>
                <w:color w:val="auto"/>
                <w:sz w:val="24"/>
                <w:szCs w:val="21"/>
                <w:lang w:eastAsia="zh-CN"/>
              </w:rPr>
              <w:t>妥善</w:t>
            </w:r>
            <w:r>
              <w:rPr>
                <w:rFonts w:hint="eastAsia" w:cs="Times New Roman"/>
                <w:color w:val="auto"/>
                <w:sz w:val="24"/>
                <w:szCs w:val="21"/>
                <w:lang w:eastAsia="zh-CN"/>
              </w:rPr>
              <w:t>的</w:t>
            </w:r>
            <w:r>
              <w:rPr>
                <w:rFonts w:hint="eastAsia" w:ascii="Times New Roman" w:hAnsi="Times New Roman" w:eastAsia="宋体" w:cs="Times New Roman"/>
                <w:color w:val="auto"/>
                <w:sz w:val="24"/>
                <w:szCs w:val="21"/>
                <w:lang w:eastAsia="zh-CN"/>
              </w:rPr>
              <w:t>处理</w:t>
            </w:r>
            <w:r>
              <w:rPr>
                <w:rFonts w:hint="eastAsia" w:ascii="Times New Roman" w:hAnsi="Times New Roman" w:eastAsia="宋体" w:cs="Times New Roman"/>
                <w:color w:val="auto"/>
                <w:sz w:val="24"/>
                <w:szCs w:val="21"/>
              </w:rPr>
              <w:t>处置，对环境影响较小，且影响是暂时的，施工固体废物将随着施工的结束而不再产生。因此，本项目施工期固体废物污染较小，可被周边环境所接受。</w:t>
            </w:r>
          </w:p>
          <w:p w14:paraId="233C557D">
            <w:pPr>
              <w:pStyle w:val="34"/>
              <w:ind w:firstLine="48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6、环境风险影响分析</w:t>
            </w:r>
          </w:p>
          <w:p w14:paraId="6072235C">
            <w:pPr>
              <w:pStyle w:val="34"/>
              <w:ind w:firstLine="480"/>
              <w:rPr>
                <w:rFonts w:hint="eastAsia"/>
                <w:color w:val="auto"/>
                <w:highlight w:val="none"/>
                <w:lang w:val="en-US" w:eastAsia="zh-CN"/>
              </w:rPr>
            </w:pPr>
            <w:r>
              <w:rPr>
                <w:rFonts w:hint="eastAsia" w:ascii="Times New Roman" w:hAnsi="Times New Roman" w:eastAsia="宋体" w:cs="Times New Roman"/>
                <w:color w:val="auto"/>
                <w:highlight w:val="none"/>
              </w:rPr>
              <w:t>本项目施工期路基工程施工如果管理、操作不当，则可能发生污染地表水等环境的环境风险事故，主要表现为：一是施工期间施工机械发生事故落入水体，本身携带的柴油、机油泄漏，进入水体；二是有毒有害的油类、化学品等建筑材料运输、贮存中，发生</w:t>
            </w:r>
            <w:r>
              <w:rPr>
                <w:rFonts w:hint="eastAsia" w:cs="Times New Roman"/>
                <w:color w:val="auto"/>
                <w:highlight w:val="none"/>
                <w:lang w:eastAsia="zh-CN"/>
              </w:rPr>
              <w:t>泄漏</w:t>
            </w:r>
            <w:r>
              <w:rPr>
                <w:rFonts w:hint="eastAsia" w:ascii="Times New Roman" w:hAnsi="Times New Roman" w:eastAsia="宋体" w:cs="Times New Roman"/>
                <w:color w:val="auto"/>
                <w:highlight w:val="none"/>
              </w:rPr>
              <w:t>、流失等事故，有毒有害物质进入地表水体，对水环境造成污染。</w:t>
            </w:r>
          </w:p>
        </w:tc>
      </w:tr>
      <w:tr w14:paraId="1BD6DF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2" w:type="pct"/>
            <w:noWrap w:val="0"/>
            <w:tcMar>
              <w:left w:w="28" w:type="dxa"/>
              <w:right w:w="28" w:type="dxa"/>
            </w:tcMar>
            <w:vAlign w:val="center"/>
          </w:tcPr>
          <w:p w14:paraId="60713255">
            <w:pPr>
              <w:pStyle w:val="38"/>
              <w:ind w:firstLine="0" w:firstLineChars="0"/>
              <w:rPr>
                <w:rFonts w:hint="eastAsia" w:ascii="Times New Roman" w:hAnsi="Times New Roman" w:eastAsia="宋体" w:cs="Times New Roman"/>
                <w:color w:val="auto"/>
                <w:kern w:val="2"/>
                <w:sz w:val="24"/>
                <w:szCs w:val="24"/>
                <w:highlight w:val="none"/>
                <w:lang w:val="en-US" w:eastAsia="zh-CN" w:bidi="ar-SA"/>
              </w:rPr>
            </w:pPr>
            <w:r>
              <w:rPr>
                <w:color w:val="auto"/>
                <w:highlight w:val="none"/>
              </w:rPr>
              <w:t>运营期生态环境影响分析</w:t>
            </w:r>
          </w:p>
        </w:tc>
        <w:tc>
          <w:tcPr>
            <w:tcW w:w="4407" w:type="pct"/>
            <w:noWrap w:val="0"/>
            <w:vAlign w:val="top"/>
          </w:tcPr>
          <w:p w14:paraId="3C86C8E8">
            <w:pPr>
              <w:pStyle w:val="34"/>
              <w:ind w:firstLine="480"/>
              <w:rPr>
                <w:color w:val="auto"/>
                <w:highlight w:val="none"/>
              </w:rPr>
            </w:pPr>
            <w:r>
              <w:rPr>
                <w:rFonts w:hint="eastAsia"/>
                <w:color w:val="auto"/>
                <w:highlight w:val="none"/>
                <w:lang w:val="en-US" w:eastAsia="zh-CN"/>
              </w:rPr>
              <w:t>1、</w:t>
            </w:r>
            <w:r>
              <w:rPr>
                <w:color w:val="auto"/>
                <w:highlight w:val="none"/>
              </w:rPr>
              <w:t>生态影响分析</w:t>
            </w:r>
          </w:p>
          <w:p w14:paraId="66FA7E18">
            <w:pPr>
              <w:pStyle w:val="34"/>
              <w:ind w:firstLine="480"/>
              <w:rPr>
                <w:color w:val="auto"/>
                <w:highlight w:val="none"/>
              </w:rPr>
            </w:pPr>
            <w:r>
              <w:rPr>
                <w:color w:val="auto"/>
                <w:highlight w:val="none"/>
              </w:rPr>
              <w:t>运营期生态影响主要体现在对陆生动物生境的阻隔效应、车辆噪声及灯光对陆生动物的影响等方面。</w:t>
            </w:r>
            <w:r>
              <w:rPr>
                <w:rFonts w:hint="eastAsia"/>
                <w:color w:val="auto"/>
                <w:highlight w:val="none"/>
                <w:lang w:val="en-US" w:eastAsia="zh-CN"/>
              </w:rPr>
              <w:t>本项目为改扩建项目，既有公路产生的影响该区域动物已适应，工程完成后，对动物产卵的影响程度变化不大，可被动物所接受。本次改扩建项目不延长公路，项目建成后对野生动物的影响与改扩建之前相比基本无变化，因此，改扩建项目运营期对野生动物的影响程度变化较小，可以被环境所接受。</w:t>
            </w:r>
            <w:r>
              <w:rPr>
                <w:color w:val="auto"/>
                <w:highlight w:val="none"/>
              </w:rPr>
              <w:t>从生态角度讲，本项目的建设是可行的。运营期生态影响分析具体内容详见</w:t>
            </w:r>
            <w:r>
              <w:rPr>
                <w:rFonts w:hint="eastAsia"/>
                <w:color w:val="auto"/>
                <w:highlight w:val="none"/>
              </w:rPr>
              <w:t>生态环境影响专项评价报告</w:t>
            </w:r>
            <w:r>
              <w:rPr>
                <w:color w:val="auto"/>
                <w:highlight w:val="none"/>
              </w:rPr>
              <w:t>。</w:t>
            </w:r>
          </w:p>
          <w:p w14:paraId="6475EC12">
            <w:pPr>
              <w:pStyle w:val="34"/>
              <w:ind w:firstLine="480"/>
              <w:rPr>
                <w:color w:val="auto"/>
                <w:highlight w:val="none"/>
              </w:rPr>
            </w:pPr>
            <w:r>
              <w:rPr>
                <w:rFonts w:hint="eastAsia"/>
                <w:color w:val="auto"/>
                <w:highlight w:val="none"/>
                <w:lang w:val="en-US" w:eastAsia="zh-CN"/>
              </w:rPr>
              <w:t>2、</w:t>
            </w:r>
            <w:r>
              <w:rPr>
                <w:color w:val="auto"/>
                <w:highlight w:val="none"/>
              </w:rPr>
              <w:t>声环境影响分析</w:t>
            </w:r>
          </w:p>
          <w:p w14:paraId="09C4ECF6">
            <w:pPr>
              <w:pStyle w:val="34"/>
              <w:ind w:firstLine="480"/>
              <w:rPr>
                <w:color w:val="auto"/>
                <w:highlight w:val="none"/>
              </w:rPr>
            </w:pPr>
            <w:r>
              <w:rPr>
                <w:color w:val="auto"/>
                <w:highlight w:val="none"/>
              </w:rPr>
              <w:t>本项目设置了噪声专项评价，具体声环境影响分析见专章，运营期声环境影响分析结论概括如下：</w:t>
            </w:r>
          </w:p>
          <w:p w14:paraId="56A64209">
            <w:pPr>
              <w:pStyle w:val="34"/>
              <w:ind w:firstLine="480"/>
              <w:rPr>
                <w:rFonts w:hint="eastAsia"/>
                <w:color w:val="auto"/>
                <w:highlight w:val="none"/>
              </w:rPr>
            </w:pPr>
            <w:r>
              <w:rPr>
                <w:rFonts w:hint="eastAsia"/>
                <w:color w:val="auto"/>
                <w:highlight w:val="none"/>
              </w:rPr>
              <w:t>（1）公路两侧声功能区达标情况</w:t>
            </w:r>
          </w:p>
          <w:p w14:paraId="59998209">
            <w:pPr>
              <w:ind w:firstLine="471"/>
              <w:rPr>
                <w:rFonts w:hint="eastAsia"/>
                <w:color w:val="auto"/>
                <w:sz w:val="24"/>
                <w:szCs w:val="24"/>
                <w:highlight w:val="none"/>
                <w:lang w:val="en-US" w:eastAsia="zh-CN"/>
              </w:rPr>
            </w:pPr>
            <w:r>
              <w:rPr>
                <w:rFonts w:hint="eastAsia"/>
                <w:color w:val="auto"/>
                <w:sz w:val="24"/>
                <w:szCs w:val="24"/>
                <w:highlight w:val="none"/>
                <w:lang w:eastAsia="zh-CN"/>
              </w:rPr>
              <w:t>本项目三级公路</w:t>
            </w:r>
            <w:r>
              <w:rPr>
                <w:rFonts w:hint="eastAsia" w:ascii="Times New Roman" w:hAnsi="Times New Roman" w:eastAsia="宋体" w:cs="Times New Roman"/>
                <w:color w:val="auto"/>
                <w:kern w:val="2"/>
                <w:sz w:val="24"/>
                <w:szCs w:val="24"/>
                <w:highlight w:val="none"/>
                <w:lang w:val="en-US" w:eastAsia="zh-CN" w:bidi="ar-SA"/>
              </w:rPr>
              <w:t>（K12+391-K48+240）</w:t>
            </w:r>
            <w:r>
              <w:rPr>
                <w:rFonts w:hint="eastAsia"/>
                <w:color w:val="auto"/>
                <w:highlight w:val="none"/>
                <w:lang w:val="en-US" w:eastAsia="zh-CN"/>
              </w:rPr>
              <w:t>近、中、远期昼间、夜间均不达标；</w:t>
            </w:r>
            <w:r>
              <w:rPr>
                <w:rFonts w:hint="eastAsia"/>
                <w:color w:val="auto"/>
                <w:sz w:val="24"/>
                <w:szCs w:val="24"/>
                <w:highlight w:val="none"/>
                <w:lang w:eastAsia="zh-CN"/>
              </w:rPr>
              <w:t>三级公路</w:t>
            </w:r>
            <w:r>
              <w:rPr>
                <w:rFonts w:hint="eastAsia" w:ascii="Times New Roman" w:hAnsi="Times New Roman" w:eastAsia="宋体" w:cs="Times New Roman"/>
                <w:color w:val="auto"/>
                <w:kern w:val="2"/>
                <w:sz w:val="24"/>
                <w:szCs w:val="24"/>
                <w:highlight w:val="none"/>
                <w:lang w:val="en-US" w:eastAsia="zh-CN" w:bidi="ar-SA"/>
              </w:rPr>
              <w:t>（K12+391-K48+240）</w:t>
            </w:r>
            <w:r>
              <w:rPr>
                <w:rFonts w:hint="eastAsia"/>
                <w:color w:val="auto"/>
                <w:highlight w:val="none"/>
                <w:lang w:val="en-US" w:eastAsia="zh-CN"/>
              </w:rPr>
              <w:t>昼间达标距离（距中心线）分别为8m、9m、10m，夜间达标距离（距中心线）分别为10m、12m、13m。</w:t>
            </w:r>
            <w:r>
              <w:rPr>
                <w:rFonts w:hint="eastAsia"/>
                <w:color w:val="auto"/>
                <w:sz w:val="24"/>
                <w:szCs w:val="24"/>
                <w:highlight w:val="none"/>
                <w:lang w:eastAsia="zh-CN"/>
              </w:rPr>
              <w:t>本项目四级公路</w:t>
            </w:r>
            <w:r>
              <w:rPr>
                <w:rFonts w:hint="eastAsia"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sz w:val="24"/>
                <w:szCs w:val="24"/>
                <w:highlight w:val="none"/>
                <w:lang w:val="en-US" w:eastAsia="zh-CN"/>
              </w:rPr>
              <w:t>K48+240-K55+161）</w:t>
            </w:r>
            <w:r>
              <w:rPr>
                <w:rFonts w:hint="eastAsia"/>
                <w:color w:val="auto"/>
                <w:sz w:val="24"/>
                <w:szCs w:val="24"/>
                <w:highlight w:val="none"/>
                <w:lang w:val="en-US" w:eastAsia="zh-CN"/>
              </w:rPr>
              <w:t>近、中、远期昼、夜间均达标。</w:t>
            </w:r>
          </w:p>
          <w:p w14:paraId="52CF9DF5">
            <w:pPr>
              <w:pStyle w:val="34"/>
              <w:ind w:firstLine="480"/>
              <w:rPr>
                <w:rFonts w:hint="eastAsia"/>
                <w:color w:val="auto"/>
                <w:highlight w:val="none"/>
              </w:rPr>
            </w:pPr>
            <w:r>
              <w:rPr>
                <w:rFonts w:hint="eastAsia"/>
                <w:color w:val="auto"/>
                <w:highlight w:val="none"/>
              </w:rPr>
              <w:t>（2）</w:t>
            </w:r>
            <w:r>
              <w:rPr>
                <w:rFonts w:hint="eastAsia"/>
                <w:color w:val="auto"/>
                <w:highlight w:val="none"/>
                <w:lang w:eastAsia="zh-CN"/>
              </w:rPr>
              <w:t>公路</w:t>
            </w:r>
            <w:r>
              <w:rPr>
                <w:rFonts w:hint="eastAsia"/>
                <w:color w:val="auto"/>
                <w:highlight w:val="none"/>
              </w:rPr>
              <w:t>沿线声环境保护目标预测</w:t>
            </w:r>
          </w:p>
          <w:p w14:paraId="142C01A0">
            <w:pPr>
              <w:ind w:firstLine="471"/>
              <w:rPr>
                <w:color w:val="auto"/>
              </w:rPr>
            </w:pPr>
            <w:r>
              <w:rPr>
                <w:rFonts w:hint="eastAsia" w:ascii="Times New Roman" w:hAnsi="Times New Roman" w:eastAsia="宋体" w:cs="Times New Roman"/>
                <w:color w:val="auto"/>
                <w:highlight w:val="none"/>
                <w:lang w:val="en-US" w:eastAsia="zh-CN"/>
              </w:rPr>
              <w:t>本项目位于1类功能区，</w:t>
            </w:r>
            <w:r>
              <w:rPr>
                <w:rFonts w:hint="default" w:ascii="Times New Roman" w:hAnsi="Times New Roman" w:eastAsia="宋体" w:cs="Times New Roman"/>
                <w:color w:val="auto"/>
                <w:highlight w:val="none"/>
                <w:lang w:val="en-US" w:eastAsia="zh-CN"/>
              </w:rPr>
              <w:t>零散一户2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三道林子村</w:t>
            </w:r>
            <w:r>
              <w:rPr>
                <w:rFonts w:hint="eastAsia" w:ascii="Times New Roman" w:hAnsi="Times New Roman" w:eastAsia="宋体" w:cs="Times New Roman"/>
                <w:color w:val="auto"/>
                <w:highlight w:val="none"/>
              </w:rPr>
              <w:t>近期、中期</w:t>
            </w:r>
            <w:r>
              <w:rPr>
                <w:rFonts w:hint="eastAsia"/>
                <w:color w:val="auto"/>
                <w:highlight w:val="none"/>
              </w:rPr>
              <w:t>以及远期</w:t>
            </w:r>
            <w:r>
              <w:rPr>
                <w:rFonts w:hint="eastAsia"/>
                <w:color w:val="auto"/>
                <w:highlight w:val="none"/>
                <w:lang w:eastAsia="zh-CN"/>
              </w:rPr>
              <w:t>昼间达标，夜间均超标，超标</w:t>
            </w:r>
            <w:r>
              <w:rPr>
                <w:rFonts w:hint="eastAsia"/>
                <w:snapToGrid w:val="0"/>
                <w:color w:val="auto"/>
                <w:kern w:val="0"/>
                <w:sz w:val="24"/>
                <w:szCs w:val="32"/>
                <w:highlight w:val="none"/>
                <w:lang w:val="en-US" w:eastAsia="zh-CN"/>
              </w:rPr>
              <w:t>0.15</w:t>
            </w:r>
            <w:r>
              <w:rPr>
                <w:rFonts w:hint="eastAsia"/>
                <w:snapToGrid w:val="0"/>
                <w:color w:val="auto"/>
                <w:kern w:val="0"/>
                <w:sz w:val="24"/>
                <w:szCs w:val="32"/>
                <w:highlight w:val="none"/>
              </w:rPr>
              <w:t>dB（A）</w:t>
            </w:r>
            <w:r>
              <w:rPr>
                <w:rFonts w:hint="eastAsia"/>
                <w:snapToGrid w:val="0"/>
                <w:color w:val="auto"/>
                <w:kern w:val="0"/>
                <w:sz w:val="24"/>
                <w:szCs w:val="32"/>
                <w:highlight w:val="none"/>
                <w:lang w:val="en-US" w:eastAsia="zh-CN"/>
              </w:rPr>
              <w:t>—3.13</w:t>
            </w:r>
            <w:r>
              <w:rPr>
                <w:rFonts w:hint="eastAsia"/>
                <w:snapToGrid w:val="0"/>
                <w:color w:val="auto"/>
                <w:kern w:val="0"/>
                <w:sz w:val="24"/>
                <w:szCs w:val="32"/>
                <w:highlight w:val="none"/>
              </w:rPr>
              <w:t>dB（A）</w:t>
            </w:r>
            <w:r>
              <w:rPr>
                <w:rFonts w:hint="eastAsia"/>
                <w:color w:val="auto"/>
                <w:highlight w:val="none"/>
              </w:rPr>
              <w:t>，</w:t>
            </w:r>
            <w:r>
              <w:rPr>
                <w:rFonts w:hint="eastAsia" w:cs="Times New Roman"/>
                <w:color w:val="auto"/>
                <w:highlight w:val="none"/>
                <w:lang w:val="en-US" w:eastAsia="zh-CN"/>
              </w:rPr>
              <w:t>零散一户1、联合屯、头道林子村、东旭村、二道林子村、东升卫生院、中岗村、银龙村</w:t>
            </w:r>
            <w:r>
              <w:rPr>
                <w:rFonts w:hint="eastAsia"/>
                <w:color w:val="auto"/>
                <w:highlight w:val="none"/>
              </w:rPr>
              <w:t>昼间、夜间噪声预测值均满足《声环境质量标准》（GB3096</w:t>
            </w:r>
            <w:r>
              <w:rPr>
                <w:rFonts w:hint="eastAsia"/>
                <w:color w:val="auto"/>
                <w:highlight w:val="none"/>
                <w:lang w:eastAsia="zh-CN"/>
              </w:rPr>
              <w:t>—</w:t>
            </w:r>
            <w:r>
              <w:rPr>
                <w:rFonts w:hint="eastAsia"/>
                <w:color w:val="auto"/>
                <w:highlight w:val="none"/>
              </w:rPr>
              <w:t>2008）</w:t>
            </w:r>
            <w:r>
              <w:rPr>
                <w:rFonts w:hint="eastAsia"/>
                <w:color w:val="auto"/>
                <w:highlight w:val="none"/>
                <w:lang w:val="en-US" w:eastAsia="zh-CN"/>
              </w:rPr>
              <w:t>1</w:t>
            </w:r>
            <w:r>
              <w:rPr>
                <w:rFonts w:hint="eastAsia"/>
                <w:color w:val="auto"/>
                <w:highlight w:val="none"/>
              </w:rPr>
              <w:t>类标准</w:t>
            </w:r>
            <w:r>
              <w:rPr>
                <w:rFonts w:hint="eastAsia"/>
                <w:color w:val="auto"/>
                <w:highlight w:val="none"/>
                <w:lang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w:t>
            </w:r>
          </w:p>
          <w:p w14:paraId="61FE38B9">
            <w:pPr>
              <w:pStyle w:val="34"/>
              <w:ind w:firstLine="480"/>
              <w:rPr>
                <w:color w:val="auto"/>
                <w:highlight w:val="none"/>
              </w:rPr>
            </w:pPr>
            <w:r>
              <w:rPr>
                <w:rFonts w:hint="eastAsia"/>
                <w:color w:val="auto"/>
                <w:highlight w:val="none"/>
                <w:lang w:val="en-US" w:eastAsia="zh-CN"/>
              </w:rPr>
              <w:t>3、</w:t>
            </w:r>
            <w:r>
              <w:rPr>
                <w:color w:val="auto"/>
                <w:highlight w:val="none"/>
              </w:rPr>
              <w:t>环境空气影响分析</w:t>
            </w:r>
          </w:p>
          <w:p w14:paraId="48AAFB9A">
            <w:pPr>
              <w:pStyle w:val="34"/>
              <w:ind w:firstLine="480"/>
              <w:rPr>
                <w:color w:val="auto"/>
                <w:highlight w:val="none"/>
              </w:rPr>
            </w:pPr>
            <w:r>
              <w:rPr>
                <w:color w:val="auto"/>
                <w:highlight w:val="none"/>
              </w:rPr>
              <w:t>项目建成后，</w:t>
            </w:r>
            <w:r>
              <w:rPr>
                <w:rFonts w:hint="eastAsia"/>
                <w:color w:val="auto"/>
                <w:highlight w:val="none"/>
                <w:lang w:eastAsia="zh-CN"/>
              </w:rPr>
              <w:t>公路</w:t>
            </w:r>
            <w:r>
              <w:rPr>
                <w:color w:val="auto"/>
                <w:highlight w:val="none"/>
              </w:rPr>
              <w:t>上车辆的行驶会排放汽车尾气，汽车尾气排放的污染物是低空大气环境的主要贡献者，虽然造成的地面浓度较低，但是</w:t>
            </w:r>
            <w:r>
              <w:rPr>
                <w:rFonts w:hint="eastAsia"/>
                <w:color w:val="auto"/>
                <w:highlight w:val="none"/>
                <w:lang w:eastAsia="zh-CN"/>
              </w:rPr>
              <w:t>属于</w:t>
            </w:r>
            <w:r>
              <w:rPr>
                <w:color w:val="auto"/>
                <w:highlight w:val="none"/>
              </w:rPr>
              <w:t>持久排放源，均会对环境空气造成一定的影响。汽车尾气污染源可模拟为一条连续排放的线性污染源。污染物排放量的大小与交通量的大小密切相关，同时又取决于车辆类型和运行车辆车况。</w:t>
            </w:r>
          </w:p>
          <w:p w14:paraId="29250249">
            <w:pPr>
              <w:pStyle w:val="34"/>
              <w:ind w:firstLine="480"/>
              <w:rPr>
                <w:color w:val="auto"/>
                <w:highlight w:val="none"/>
              </w:rPr>
            </w:pPr>
            <w:r>
              <w:rPr>
                <w:color w:val="auto"/>
                <w:highlight w:val="none"/>
              </w:rPr>
              <w:t>公路为开放式区域，扩散条件良好，单辆汽车为移动式污染源，整个公路可看作很长路段的线状污染源，汽车尾气相对于长路段来说，扩散至公路两侧一定距离的敏感点处的氮氧化物浓度较低，汽车尾气对路侧环境保护目标的影响很小。</w:t>
            </w:r>
          </w:p>
          <w:p w14:paraId="48D55A06">
            <w:pPr>
              <w:pStyle w:val="34"/>
              <w:ind w:firstLine="480"/>
              <w:rPr>
                <w:color w:val="auto"/>
                <w:highlight w:val="none"/>
              </w:rPr>
            </w:pPr>
            <w:r>
              <w:rPr>
                <w:rFonts w:hint="eastAsia"/>
                <w:color w:val="auto"/>
                <w:highlight w:val="none"/>
                <w:lang w:val="en-US" w:eastAsia="zh-CN"/>
              </w:rPr>
              <w:t>4、</w:t>
            </w:r>
            <w:r>
              <w:rPr>
                <w:color w:val="auto"/>
                <w:highlight w:val="none"/>
              </w:rPr>
              <w:t>水环境影响分析</w:t>
            </w:r>
          </w:p>
          <w:p w14:paraId="57574F6E">
            <w:pPr>
              <w:pStyle w:val="34"/>
              <w:ind w:firstLine="480"/>
              <w:rPr>
                <w:color w:val="auto"/>
                <w:szCs w:val="21"/>
              </w:rPr>
            </w:pPr>
            <w:r>
              <w:rPr>
                <w:color w:val="auto"/>
                <w:szCs w:val="21"/>
              </w:rPr>
              <w:t>本项目营运期废水主要来源于降雨冲刷路面产生的路面径流</w:t>
            </w:r>
            <w:r>
              <w:rPr>
                <w:rFonts w:hint="eastAsia"/>
                <w:color w:val="auto"/>
                <w:szCs w:val="21"/>
              </w:rPr>
              <w:t>，</w:t>
            </w:r>
            <w:r>
              <w:rPr>
                <w:color w:val="auto"/>
                <w:szCs w:val="21"/>
              </w:rPr>
              <w:t>主要污染物为石油类、SS等。影响路面径流污染的因素很多，包括降雨量、降雨时间、与车流量有关的路面及大气污染程度、两场降雨之间的间隔时间、路面宽度、长度等。由于各种因素随机性强，偶然性大，所以典型的路面径流雨水污染物浓度较难确定。</w:t>
            </w:r>
            <w:r>
              <w:rPr>
                <w:rFonts w:hint="eastAsia"/>
                <w:color w:val="auto"/>
                <w:szCs w:val="21"/>
              </w:rPr>
              <w:t>参考</w:t>
            </w:r>
            <w:r>
              <w:rPr>
                <w:rFonts w:hint="eastAsia"/>
                <w:color w:val="auto"/>
              </w:rPr>
              <w:t>西安公路学院环境工程研究所给出的路面径流雨水污染物浓度（详见4-</w:t>
            </w:r>
            <w:r>
              <w:rPr>
                <w:rFonts w:hint="eastAsia"/>
                <w:color w:val="auto"/>
                <w:lang w:val="en-US" w:eastAsia="zh-CN"/>
              </w:rPr>
              <w:t>3</w:t>
            </w:r>
            <w:r>
              <w:rPr>
                <w:rFonts w:hint="eastAsia"/>
                <w:color w:val="auto"/>
              </w:rPr>
              <w:t>）</w:t>
            </w:r>
            <w:r>
              <w:rPr>
                <w:color w:val="auto"/>
                <w:szCs w:val="21"/>
              </w:rPr>
              <w:t>，降雨初期30min内，路面径流污染物平均浓度为</w:t>
            </w:r>
            <w:r>
              <w:rPr>
                <w:rFonts w:hint="eastAsia"/>
                <w:color w:val="auto"/>
                <w:szCs w:val="21"/>
              </w:rPr>
              <w:t>COD107mg/L</w:t>
            </w:r>
            <w:r>
              <w:rPr>
                <w:color w:val="auto"/>
                <w:szCs w:val="21"/>
              </w:rPr>
              <w:t>、SS</w:t>
            </w:r>
            <w:r>
              <w:rPr>
                <w:rFonts w:hint="eastAsia"/>
                <w:color w:val="auto"/>
                <w:szCs w:val="21"/>
              </w:rPr>
              <w:t>221</w:t>
            </w:r>
            <w:r>
              <w:rPr>
                <w:color w:val="auto"/>
                <w:szCs w:val="21"/>
              </w:rPr>
              <w:t>mg/L、石油类</w:t>
            </w:r>
            <w:r>
              <w:rPr>
                <w:rFonts w:hint="eastAsia"/>
                <w:color w:val="auto"/>
                <w:szCs w:val="21"/>
              </w:rPr>
              <w:t>7</w:t>
            </w:r>
            <w:r>
              <w:rPr>
                <w:color w:val="auto"/>
                <w:szCs w:val="21"/>
              </w:rPr>
              <w:t>mg/L，降雨历时30min后，路面基本被冲洗干净，污染物含量较低，再经边坡对污染物的吸附等作用后，使污染物浓度变得更低，对水环境的影响</w:t>
            </w:r>
            <w:r>
              <w:rPr>
                <w:rFonts w:hint="eastAsia"/>
                <w:color w:val="auto"/>
                <w:szCs w:val="21"/>
                <w:lang w:eastAsia="zh-CN"/>
              </w:rPr>
              <w:t>较小</w:t>
            </w:r>
            <w:r>
              <w:rPr>
                <w:color w:val="auto"/>
                <w:szCs w:val="21"/>
              </w:rPr>
              <w:t>。</w:t>
            </w:r>
          </w:p>
          <w:p w14:paraId="1232ECA7">
            <w:pPr>
              <w:pStyle w:val="40"/>
              <w:spacing w:line="360" w:lineRule="auto"/>
              <w:rPr>
                <w:color w:val="auto"/>
                <w:sz w:val="24"/>
                <w:szCs w:val="24"/>
                <w:lang w:val="en-US" w:eastAsia="zh-CN"/>
              </w:rPr>
            </w:pPr>
            <w:r>
              <w:rPr>
                <w:color w:val="auto"/>
                <w:sz w:val="24"/>
                <w:szCs w:val="24"/>
                <w:lang w:val="en-US" w:eastAsia="zh-CN"/>
              </w:rPr>
              <w:t>表</w:t>
            </w:r>
            <w:r>
              <w:rPr>
                <w:rFonts w:hint="eastAsia"/>
                <w:color w:val="auto"/>
                <w:sz w:val="24"/>
                <w:szCs w:val="24"/>
                <w:lang w:val="en-US" w:eastAsia="zh-CN"/>
              </w:rPr>
              <w:t xml:space="preserve">4-3  </w:t>
            </w:r>
            <w:r>
              <w:rPr>
                <w:color w:val="auto"/>
                <w:sz w:val="24"/>
                <w:szCs w:val="24"/>
                <w:lang w:val="en-US" w:eastAsia="zh-CN"/>
              </w:rPr>
              <w:t>桥面径流中污染物浓度测定值单位</w:t>
            </w:r>
            <w:r>
              <w:rPr>
                <w:rFonts w:hint="eastAsia"/>
                <w:color w:val="auto"/>
                <w:sz w:val="24"/>
                <w:szCs w:val="24"/>
                <w:lang w:val="en-US" w:eastAsia="zh-CN"/>
              </w:rPr>
              <w:t>：</w:t>
            </w:r>
            <w:r>
              <w:rPr>
                <w:color w:val="auto"/>
                <w:sz w:val="24"/>
                <w:szCs w:val="24"/>
                <w:lang w:val="en-US" w:eastAsia="zh-CN"/>
              </w:rPr>
              <w:t>mg/L</w:t>
            </w:r>
          </w:p>
          <w:tbl>
            <w:tblPr>
              <w:tblStyle w:val="19"/>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0"/>
              <w:gridCol w:w="665"/>
              <w:gridCol w:w="822"/>
              <w:gridCol w:w="1114"/>
              <w:gridCol w:w="1270"/>
              <w:gridCol w:w="937"/>
              <w:gridCol w:w="939"/>
              <w:gridCol w:w="940"/>
            </w:tblGrid>
            <w:tr w14:paraId="1CAD71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7" w:type="dxa"/>
                  <w:vMerge w:val="restart"/>
                  <w:tcBorders>
                    <w:tl2br w:val="nil"/>
                    <w:tr2bl w:val="nil"/>
                  </w:tcBorders>
                  <w:noWrap w:val="0"/>
                  <w:vAlign w:val="center"/>
                </w:tcPr>
                <w:p w14:paraId="16DD40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项目</w:t>
                  </w:r>
                </w:p>
              </w:tc>
              <w:tc>
                <w:tcPr>
                  <w:tcW w:w="4745" w:type="dxa"/>
                  <w:gridSpan w:val="5"/>
                  <w:tcBorders>
                    <w:tl2br w:val="nil"/>
                    <w:tr2bl w:val="nil"/>
                  </w:tcBorders>
                  <w:noWrap w:val="0"/>
                  <w:vAlign w:val="center"/>
                </w:tcPr>
                <w:p w14:paraId="0F24C9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径流开始时间（</w:t>
                  </w:r>
                  <w:r>
                    <w:rPr>
                      <w:rFonts w:hint="eastAsia" w:ascii="Times New Roman" w:hAnsi="Times New Roman" w:eastAsia="宋体"/>
                      <w:color w:val="auto"/>
                      <w:sz w:val="21"/>
                      <w:szCs w:val="21"/>
                    </w:rPr>
                    <w:t>min</w:t>
                  </w:r>
                  <w:r>
                    <w:rPr>
                      <w:rFonts w:ascii="Times New Roman" w:hAnsi="Times New Roman" w:eastAsia="宋体"/>
                      <w:color w:val="auto"/>
                      <w:sz w:val="21"/>
                      <w:szCs w:val="21"/>
                    </w:rPr>
                    <w:t>）</w:t>
                  </w:r>
                </w:p>
              </w:tc>
              <w:tc>
                <w:tcPr>
                  <w:tcW w:w="927" w:type="dxa"/>
                  <w:vMerge w:val="restart"/>
                  <w:tcBorders>
                    <w:tl2br w:val="nil"/>
                    <w:tr2bl w:val="nil"/>
                  </w:tcBorders>
                  <w:noWrap w:val="0"/>
                  <w:vAlign w:val="center"/>
                </w:tcPr>
                <w:p w14:paraId="44AEDD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最大值</w:t>
                  </w:r>
                </w:p>
              </w:tc>
              <w:tc>
                <w:tcPr>
                  <w:tcW w:w="927" w:type="dxa"/>
                  <w:vMerge w:val="restart"/>
                  <w:tcBorders>
                    <w:tl2br w:val="nil"/>
                    <w:tr2bl w:val="nil"/>
                  </w:tcBorders>
                  <w:noWrap w:val="0"/>
                  <w:vAlign w:val="center"/>
                </w:tcPr>
                <w:p w14:paraId="5E8CF44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平均值</w:t>
                  </w:r>
                </w:p>
              </w:tc>
            </w:tr>
            <w:tr w14:paraId="5A3D12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7" w:type="dxa"/>
                  <w:vMerge w:val="continue"/>
                  <w:tcBorders>
                    <w:tl2br w:val="nil"/>
                    <w:tr2bl w:val="nil"/>
                  </w:tcBorders>
                  <w:noWrap w:val="0"/>
                  <w:vAlign w:val="center"/>
                </w:tcPr>
                <w:p w14:paraId="030A3D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p>
              </w:tc>
              <w:tc>
                <w:tcPr>
                  <w:tcW w:w="656" w:type="dxa"/>
                  <w:tcBorders>
                    <w:tl2br w:val="nil"/>
                    <w:tr2bl w:val="nil"/>
                  </w:tcBorders>
                  <w:noWrap w:val="0"/>
                  <w:vAlign w:val="center"/>
                </w:tcPr>
                <w:p w14:paraId="1122C9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0-15</w:t>
                  </w:r>
                </w:p>
              </w:tc>
              <w:tc>
                <w:tcPr>
                  <w:tcW w:w="811" w:type="dxa"/>
                  <w:tcBorders>
                    <w:tl2br w:val="nil"/>
                    <w:tr2bl w:val="nil"/>
                  </w:tcBorders>
                  <w:noWrap w:val="0"/>
                  <w:vAlign w:val="center"/>
                </w:tcPr>
                <w:p w14:paraId="041A1E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15-30</w:t>
                  </w:r>
                </w:p>
              </w:tc>
              <w:tc>
                <w:tcPr>
                  <w:tcW w:w="1100" w:type="dxa"/>
                  <w:tcBorders>
                    <w:tl2br w:val="nil"/>
                    <w:tr2bl w:val="nil"/>
                  </w:tcBorders>
                  <w:noWrap w:val="0"/>
                  <w:vAlign w:val="center"/>
                </w:tcPr>
                <w:p w14:paraId="2BC3622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30-60</w:t>
                  </w:r>
                </w:p>
              </w:tc>
              <w:tc>
                <w:tcPr>
                  <w:tcW w:w="1253" w:type="dxa"/>
                  <w:tcBorders>
                    <w:tl2br w:val="nil"/>
                    <w:tr2bl w:val="nil"/>
                  </w:tcBorders>
                  <w:noWrap w:val="0"/>
                  <w:vAlign w:val="center"/>
                </w:tcPr>
                <w:p w14:paraId="4D74574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60-90</w:t>
                  </w:r>
                </w:p>
              </w:tc>
              <w:tc>
                <w:tcPr>
                  <w:tcW w:w="925" w:type="dxa"/>
                  <w:tcBorders>
                    <w:tl2br w:val="nil"/>
                    <w:tr2bl w:val="nil"/>
                  </w:tcBorders>
                  <w:noWrap w:val="0"/>
                  <w:vAlign w:val="center"/>
                </w:tcPr>
                <w:p w14:paraId="2C0406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90-120</w:t>
                  </w:r>
                </w:p>
              </w:tc>
              <w:tc>
                <w:tcPr>
                  <w:tcW w:w="927" w:type="dxa"/>
                  <w:vMerge w:val="continue"/>
                  <w:tcBorders>
                    <w:tl2br w:val="nil"/>
                    <w:tr2bl w:val="nil"/>
                  </w:tcBorders>
                  <w:noWrap w:val="0"/>
                  <w:vAlign w:val="center"/>
                </w:tcPr>
                <w:p w14:paraId="3B3F2F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p>
              </w:tc>
              <w:tc>
                <w:tcPr>
                  <w:tcW w:w="927" w:type="dxa"/>
                  <w:vMerge w:val="continue"/>
                  <w:tcBorders>
                    <w:tl2br w:val="nil"/>
                    <w:tr2bl w:val="nil"/>
                  </w:tcBorders>
                  <w:noWrap w:val="0"/>
                  <w:vAlign w:val="center"/>
                </w:tcPr>
                <w:p w14:paraId="5069A2C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p>
              </w:tc>
            </w:tr>
            <w:tr w14:paraId="03263F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7" w:type="dxa"/>
                  <w:tcBorders>
                    <w:tl2br w:val="nil"/>
                    <w:tr2bl w:val="nil"/>
                  </w:tcBorders>
                  <w:noWrap w:val="0"/>
                  <w:vAlign w:val="center"/>
                </w:tcPr>
                <w:p w14:paraId="70799B5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COD</w:t>
                  </w:r>
                </w:p>
              </w:tc>
              <w:tc>
                <w:tcPr>
                  <w:tcW w:w="656" w:type="dxa"/>
                  <w:tcBorders>
                    <w:tl2br w:val="nil"/>
                    <w:tr2bl w:val="nil"/>
                  </w:tcBorders>
                  <w:noWrap w:val="0"/>
                  <w:vAlign w:val="center"/>
                </w:tcPr>
                <w:p w14:paraId="6A1AB1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170</w:t>
                  </w:r>
                </w:p>
              </w:tc>
              <w:tc>
                <w:tcPr>
                  <w:tcW w:w="811" w:type="dxa"/>
                  <w:tcBorders>
                    <w:tl2br w:val="nil"/>
                    <w:tr2bl w:val="nil"/>
                  </w:tcBorders>
                  <w:noWrap w:val="0"/>
                  <w:vAlign w:val="center"/>
                </w:tcPr>
                <w:p w14:paraId="196297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130</w:t>
                  </w:r>
                </w:p>
              </w:tc>
              <w:tc>
                <w:tcPr>
                  <w:tcW w:w="1100" w:type="dxa"/>
                  <w:tcBorders>
                    <w:tl2br w:val="nil"/>
                    <w:tr2bl w:val="nil"/>
                  </w:tcBorders>
                  <w:noWrap w:val="0"/>
                  <w:vAlign w:val="center"/>
                </w:tcPr>
                <w:p w14:paraId="51A7BC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110</w:t>
                  </w:r>
                </w:p>
              </w:tc>
              <w:tc>
                <w:tcPr>
                  <w:tcW w:w="1253" w:type="dxa"/>
                  <w:tcBorders>
                    <w:tl2br w:val="nil"/>
                    <w:tr2bl w:val="nil"/>
                  </w:tcBorders>
                  <w:noWrap w:val="0"/>
                  <w:vAlign w:val="center"/>
                </w:tcPr>
                <w:p w14:paraId="0C5410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97</w:t>
                  </w:r>
                </w:p>
              </w:tc>
              <w:tc>
                <w:tcPr>
                  <w:tcW w:w="925" w:type="dxa"/>
                  <w:tcBorders>
                    <w:tl2br w:val="nil"/>
                    <w:tr2bl w:val="nil"/>
                  </w:tcBorders>
                  <w:noWrap w:val="0"/>
                  <w:vAlign w:val="center"/>
                </w:tcPr>
                <w:p w14:paraId="1DB182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72</w:t>
                  </w:r>
                </w:p>
              </w:tc>
              <w:tc>
                <w:tcPr>
                  <w:tcW w:w="927" w:type="dxa"/>
                  <w:tcBorders>
                    <w:tl2br w:val="nil"/>
                    <w:tr2bl w:val="nil"/>
                  </w:tcBorders>
                  <w:noWrap w:val="0"/>
                  <w:vAlign w:val="center"/>
                </w:tcPr>
                <w:p w14:paraId="2CE9FB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170</w:t>
                  </w:r>
                </w:p>
              </w:tc>
              <w:tc>
                <w:tcPr>
                  <w:tcW w:w="927" w:type="dxa"/>
                  <w:tcBorders>
                    <w:tl2br w:val="nil"/>
                    <w:tr2bl w:val="nil"/>
                  </w:tcBorders>
                  <w:noWrap w:val="0"/>
                  <w:vAlign w:val="center"/>
                </w:tcPr>
                <w:p w14:paraId="2D7BA4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107</w:t>
                  </w:r>
                </w:p>
              </w:tc>
            </w:tr>
            <w:tr w14:paraId="1A5A5A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7" w:type="dxa"/>
                  <w:tcBorders>
                    <w:tl2br w:val="nil"/>
                    <w:tr2bl w:val="nil"/>
                  </w:tcBorders>
                  <w:noWrap w:val="0"/>
                  <w:vAlign w:val="center"/>
                </w:tcPr>
                <w:p w14:paraId="5D19AF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SS</w:t>
                  </w:r>
                </w:p>
              </w:tc>
              <w:tc>
                <w:tcPr>
                  <w:tcW w:w="656" w:type="dxa"/>
                  <w:tcBorders>
                    <w:tl2br w:val="nil"/>
                    <w:tr2bl w:val="nil"/>
                  </w:tcBorders>
                  <w:noWrap w:val="0"/>
                  <w:vAlign w:val="center"/>
                </w:tcPr>
                <w:p w14:paraId="646F86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390</w:t>
                  </w:r>
                </w:p>
              </w:tc>
              <w:tc>
                <w:tcPr>
                  <w:tcW w:w="811" w:type="dxa"/>
                  <w:tcBorders>
                    <w:tl2br w:val="nil"/>
                    <w:tr2bl w:val="nil"/>
                  </w:tcBorders>
                  <w:noWrap w:val="0"/>
                  <w:vAlign w:val="center"/>
                </w:tcPr>
                <w:p w14:paraId="1D3BC5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280</w:t>
                  </w:r>
                </w:p>
              </w:tc>
              <w:tc>
                <w:tcPr>
                  <w:tcW w:w="1100" w:type="dxa"/>
                  <w:tcBorders>
                    <w:tl2br w:val="nil"/>
                    <w:tr2bl w:val="nil"/>
                  </w:tcBorders>
                  <w:noWrap w:val="0"/>
                  <w:vAlign w:val="center"/>
                </w:tcPr>
                <w:p w14:paraId="23FCC6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190</w:t>
                  </w:r>
                </w:p>
              </w:tc>
              <w:tc>
                <w:tcPr>
                  <w:tcW w:w="1253" w:type="dxa"/>
                  <w:tcBorders>
                    <w:tl2br w:val="nil"/>
                    <w:tr2bl w:val="nil"/>
                  </w:tcBorders>
                  <w:noWrap w:val="0"/>
                  <w:vAlign w:val="center"/>
                </w:tcPr>
                <w:p w14:paraId="05CC35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180</w:t>
                  </w:r>
                </w:p>
              </w:tc>
              <w:tc>
                <w:tcPr>
                  <w:tcW w:w="925" w:type="dxa"/>
                  <w:tcBorders>
                    <w:tl2br w:val="nil"/>
                    <w:tr2bl w:val="nil"/>
                  </w:tcBorders>
                  <w:noWrap w:val="0"/>
                  <w:vAlign w:val="center"/>
                </w:tcPr>
                <w:p w14:paraId="39F5A6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160</w:t>
                  </w:r>
                </w:p>
              </w:tc>
              <w:tc>
                <w:tcPr>
                  <w:tcW w:w="927" w:type="dxa"/>
                  <w:tcBorders>
                    <w:tl2br w:val="nil"/>
                    <w:tr2bl w:val="nil"/>
                  </w:tcBorders>
                  <w:noWrap w:val="0"/>
                  <w:vAlign w:val="center"/>
                </w:tcPr>
                <w:p w14:paraId="1A5CC4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390</w:t>
                  </w:r>
                </w:p>
              </w:tc>
              <w:tc>
                <w:tcPr>
                  <w:tcW w:w="927" w:type="dxa"/>
                  <w:tcBorders>
                    <w:tl2br w:val="nil"/>
                    <w:tr2bl w:val="nil"/>
                  </w:tcBorders>
                  <w:noWrap w:val="0"/>
                  <w:vAlign w:val="center"/>
                </w:tcPr>
                <w:p w14:paraId="7C94F73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221</w:t>
                  </w:r>
                </w:p>
              </w:tc>
            </w:tr>
            <w:tr w14:paraId="5D083E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7" w:type="dxa"/>
                  <w:tcBorders>
                    <w:tl2br w:val="nil"/>
                    <w:tr2bl w:val="nil"/>
                  </w:tcBorders>
                  <w:noWrap w:val="0"/>
                  <w:vAlign w:val="center"/>
                </w:tcPr>
                <w:p w14:paraId="20B531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石油类</w:t>
                  </w:r>
                </w:p>
              </w:tc>
              <w:tc>
                <w:tcPr>
                  <w:tcW w:w="656" w:type="dxa"/>
                  <w:tcBorders>
                    <w:tl2br w:val="nil"/>
                    <w:tr2bl w:val="nil"/>
                  </w:tcBorders>
                  <w:noWrap w:val="0"/>
                  <w:vAlign w:val="center"/>
                </w:tcPr>
                <w:p w14:paraId="4A70CC4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23</w:t>
                  </w:r>
                </w:p>
              </w:tc>
              <w:tc>
                <w:tcPr>
                  <w:tcW w:w="811" w:type="dxa"/>
                  <w:tcBorders>
                    <w:tl2br w:val="nil"/>
                    <w:tr2bl w:val="nil"/>
                  </w:tcBorders>
                  <w:noWrap w:val="0"/>
                  <w:vAlign w:val="center"/>
                </w:tcPr>
                <w:p w14:paraId="1CFCEDA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17.5</w:t>
                  </w:r>
                </w:p>
              </w:tc>
              <w:tc>
                <w:tcPr>
                  <w:tcW w:w="1100" w:type="dxa"/>
                  <w:tcBorders>
                    <w:tl2br w:val="nil"/>
                    <w:tr2bl w:val="nil"/>
                  </w:tcBorders>
                  <w:noWrap w:val="0"/>
                  <w:vAlign w:val="center"/>
                </w:tcPr>
                <w:p w14:paraId="272B79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6</w:t>
                  </w:r>
                </w:p>
              </w:tc>
              <w:tc>
                <w:tcPr>
                  <w:tcW w:w="1253" w:type="dxa"/>
                  <w:tcBorders>
                    <w:tl2br w:val="nil"/>
                    <w:tr2bl w:val="nil"/>
                  </w:tcBorders>
                  <w:noWrap w:val="0"/>
                  <w:vAlign w:val="center"/>
                </w:tcPr>
                <w:p w14:paraId="2BEEAA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1.5</w:t>
                  </w:r>
                </w:p>
              </w:tc>
              <w:tc>
                <w:tcPr>
                  <w:tcW w:w="925" w:type="dxa"/>
                  <w:tcBorders>
                    <w:tl2br w:val="nil"/>
                    <w:tr2bl w:val="nil"/>
                  </w:tcBorders>
                  <w:noWrap w:val="0"/>
                  <w:vAlign w:val="center"/>
                </w:tcPr>
                <w:p w14:paraId="3BD8B0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rPr>
                  </w:pPr>
                  <w:r>
                    <w:rPr>
                      <w:rFonts w:ascii="Times New Roman" w:hAnsi="Times New Roman" w:eastAsia="宋体"/>
                      <w:color w:val="auto"/>
                      <w:sz w:val="21"/>
                      <w:szCs w:val="21"/>
                    </w:rPr>
                    <w:t>1</w:t>
                  </w:r>
                </w:p>
              </w:tc>
              <w:tc>
                <w:tcPr>
                  <w:tcW w:w="927" w:type="dxa"/>
                  <w:tcBorders>
                    <w:tl2br w:val="nil"/>
                    <w:tr2bl w:val="nil"/>
                  </w:tcBorders>
                  <w:noWrap w:val="0"/>
                  <w:vAlign w:val="center"/>
                </w:tcPr>
                <w:p w14:paraId="41CB31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23</w:t>
                  </w:r>
                </w:p>
              </w:tc>
              <w:tc>
                <w:tcPr>
                  <w:tcW w:w="927" w:type="dxa"/>
                  <w:tcBorders>
                    <w:tl2br w:val="nil"/>
                    <w:tr2bl w:val="nil"/>
                  </w:tcBorders>
                  <w:noWrap w:val="0"/>
                  <w:vAlign w:val="center"/>
                </w:tcPr>
                <w:p w14:paraId="06D5138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Cs w:val="21"/>
                      <w:vertAlign w:val="baseline"/>
                    </w:rPr>
                  </w:pPr>
                  <w:r>
                    <w:rPr>
                      <w:rFonts w:ascii="Times New Roman" w:hAnsi="Times New Roman" w:eastAsia="宋体"/>
                      <w:color w:val="auto"/>
                      <w:sz w:val="21"/>
                      <w:szCs w:val="21"/>
                    </w:rPr>
                    <w:t>7</w:t>
                  </w:r>
                </w:p>
              </w:tc>
            </w:tr>
          </w:tbl>
          <w:p w14:paraId="1B961F6A">
            <w:pPr>
              <w:pStyle w:val="5"/>
              <w:spacing w:line="360" w:lineRule="auto"/>
              <w:ind w:left="0" w:leftChars="0" w:firstLine="480" w:firstLineChars="200"/>
              <w:rPr>
                <w:rFonts w:hint="eastAsia"/>
                <w:color w:val="auto"/>
                <w:szCs w:val="21"/>
              </w:rPr>
            </w:pPr>
            <w:r>
              <w:rPr>
                <w:rFonts w:hint="eastAsia"/>
                <w:color w:val="auto"/>
              </w:rPr>
              <w:t>本项目路面、桥面径流可通过路/桥面漫流汇入两侧边沟中，伴随着雨水稀释、土壤对污染物吸附、悬浮物不断沉淀和植物的吸收等各种物理与生物作用，雨水在边沟汇入周边水体时，径流中的污染物浓度会不断降低，对周边地表水</w:t>
            </w:r>
            <w:r>
              <w:rPr>
                <w:rFonts w:hint="eastAsia"/>
                <w:color w:val="auto"/>
                <w:lang w:eastAsia="zh-CN"/>
              </w:rPr>
              <w:t>质</w:t>
            </w:r>
            <w:r>
              <w:rPr>
                <w:rFonts w:hint="eastAsia"/>
                <w:color w:val="auto"/>
              </w:rPr>
              <w:t>较小。</w:t>
            </w:r>
          </w:p>
          <w:p w14:paraId="1ED6D247">
            <w:pPr>
              <w:pStyle w:val="5"/>
              <w:spacing w:line="360" w:lineRule="auto"/>
              <w:ind w:left="0" w:leftChars="0" w:firstLine="480" w:firstLineChars="200"/>
              <w:rPr>
                <w:color w:val="auto"/>
                <w:szCs w:val="21"/>
              </w:rPr>
            </w:pPr>
            <w:r>
              <w:rPr>
                <w:color w:val="auto"/>
                <w:szCs w:val="21"/>
              </w:rPr>
              <w:t>综上，在采取防护措施后，项目运营期不会对沿线地表水环境造成影响。</w:t>
            </w:r>
          </w:p>
          <w:p w14:paraId="2B70D7D3">
            <w:pPr>
              <w:pStyle w:val="34"/>
              <w:ind w:firstLine="480"/>
              <w:rPr>
                <w:color w:val="auto"/>
                <w:highlight w:val="none"/>
              </w:rPr>
            </w:pPr>
            <w:r>
              <w:rPr>
                <w:rFonts w:hint="eastAsia"/>
                <w:color w:val="auto"/>
                <w:highlight w:val="none"/>
                <w:lang w:val="en-US" w:eastAsia="zh-CN"/>
              </w:rPr>
              <w:t>5、</w:t>
            </w:r>
            <w:r>
              <w:rPr>
                <w:color w:val="auto"/>
                <w:highlight w:val="none"/>
              </w:rPr>
              <w:t>固体废物影响分析</w:t>
            </w:r>
          </w:p>
          <w:p w14:paraId="2EE61774">
            <w:pPr>
              <w:pStyle w:val="34"/>
              <w:ind w:firstLine="480"/>
              <w:rPr>
                <w:color w:val="auto"/>
                <w:highlight w:val="none"/>
              </w:rPr>
            </w:pPr>
            <w:r>
              <w:rPr>
                <w:color w:val="auto"/>
                <w:highlight w:val="none"/>
              </w:rPr>
              <w:t>本项目运营期自身不产生固体废物，固体废物主要</w:t>
            </w:r>
            <w:r>
              <w:rPr>
                <w:rFonts w:hint="eastAsia"/>
                <w:color w:val="auto"/>
                <w:highlight w:val="none"/>
                <w:lang w:eastAsia="zh-CN"/>
              </w:rPr>
              <w:t>来自</w:t>
            </w:r>
            <w:r>
              <w:rPr>
                <w:color w:val="auto"/>
                <w:highlight w:val="none"/>
              </w:rPr>
              <w:t>运输车辆撒落的运载物、发生交通事故的车辆装载的货物、客车乘客丢弃的物品等，其形式为沿公路呈线性分布。产生的固体废物较少，由路政部门定期清扫。</w:t>
            </w:r>
          </w:p>
          <w:p w14:paraId="69365846">
            <w:pPr>
              <w:pStyle w:val="34"/>
              <w:ind w:firstLine="480"/>
              <w:rPr>
                <w:rFonts w:hint="eastAsia"/>
                <w:color w:val="auto"/>
                <w:highlight w:val="none"/>
                <w:lang w:val="en-US" w:eastAsia="zh-CN"/>
              </w:rPr>
            </w:pPr>
            <w:r>
              <w:rPr>
                <w:rFonts w:hint="eastAsia"/>
                <w:color w:val="auto"/>
                <w:highlight w:val="none"/>
                <w:lang w:val="en-US" w:eastAsia="zh-CN"/>
              </w:rPr>
              <w:t>6、环境风险影响分析</w:t>
            </w:r>
          </w:p>
          <w:p w14:paraId="7B1E7E1B">
            <w:pPr>
              <w:pStyle w:val="34"/>
              <w:ind w:firstLine="480" w:firstLineChars="200"/>
              <w:rPr>
                <w:rFonts w:hint="eastAsia"/>
                <w:color w:val="auto"/>
                <w:highlight w:val="none"/>
                <w:lang w:val="en-US" w:eastAsia="zh-CN"/>
              </w:rPr>
            </w:pPr>
            <w:r>
              <w:rPr>
                <w:rFonts w:hint="eastAsia"/>
                <w:color w:val="auto"/>
                <w:highlight w:val="none"/>
                <w:lang w:val="en-US" w:eastAsia="zh-CN"/>
              </w:rPr>
              <w:t>公路运输易燃易爆危险品过程中，一旦发生事故很难及时扑救，对环境造成一定影响；对于运输有毒气体车辆泄漏事故，因其排放总量小，只要人员及时撤离到一定的距离就可避免伤亡，对已排泄到空气的有毒气体只能靠大气扩散、稀释逐渐降低有毒气体浓度；对环境危害最大的是有毒有害物质进入地表水体和土壤环境中。对本项目而言，由于交通事故、储罐老化破裂等导致车辆运输危险品泄漏、爆炸等隐患，事故时危险品进入水体和土壤，会导致地表水体和土壤环境遭受污染。</w:t>
            </w:r>
          </w:p>
        </w:tc>
      </w:tr>
      <w:tr w14:paraId="4F023D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483" w:hRule="atLeast"/>
          <w:jc w:val="center"/>
        </w:trPr>
        <w:tc>
          <w:tcPr>
            <w:tcW w:w="592" w:type="pct"/>
            <w:noWrap w:val="0"/>
            <w:tcMar>
              <w:left w:w="28" w:type="dxa"/>
              <w:right w:w="28" w:type="dxa"/>
            </w:tcMar>
            <w:vAlign w:val="center"/>
          </w:tcPr>
          <w:p w14:paraId="4597CEF3">
            <w:pPr>
              <w:pStyle w:val="38"/>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Times New Roman" w:hAnsi="Times New Roman" w:eastAsia="宋体" w:cs="Times New Roman"/>
                <w:color w:val="auto"/>
                <w:kern w:val="2"/>
                <w:sz w:val="24"/>
                <w:szCs w:val="24"/>
                <w:highlight w:val="none"/>
                <w:lang w:val="en-US" w:eastAsia="zh-CN" w:bidi="ar-SA"/>
              </w:rPr>
            </w:pPr>
            <w:r>
              <w:rPr>
                <w:color w:val="auto"/>
                <w:highlight w:val="none"/>
              </w:rPr>
              <w:t>选址选线环境合理性分析</w:t>
            </w:r>
          </w:p>
        </w:tc>
        <w:tc>
          <w:tcPr>
            <w:tcW w:w="4407" w:type="pct"/>
            <w:noWrap w:val="0"/>
            <w:vAlign w:val="top"/>
          </w:tcPr>
          <w:p w14:paraId="7E482F27">
            <w:pPr>
              <w:spacing w:line="360" w:lineRule="auto"/>
              <w:ind w:firstLine="480" w:firstLineChars="200"/>
              <w:rPr>
                <w:rFonts w:cs="宋体"/>
                <w:bCs/>
                <w:color w:val="auto"/>
                <w:szCs w:val="21"/>
              </w:rPr>
            </w:pPr>
            <w:r>
              <w:rPr>
                <w:rFonts w:hint="eastAsia" w:cs="宋体"/>
                <w:bCs/>
                <w:color w:val="auto"/>
                <w:szCs w:val="21"/>
              </w:rPr>
              <w:t>1、临时占地合理性分析</w:t>
            </w:r>
          </w:p>
          <w:p w14:paraId="770C4C31">
            <w:pPr>
              <w:spacing w:line="360" w:lineRule="auto"/>
              <w:ind w:firstLine="480" w:firstLineChars="200"/>
              <w:rPr>
                <w:rFonts w:hint="eastAsia" w:cs="宋体"/>
                <w:bCs/>
                <w:color w:val="auto"/>
                <w:szCs w:val="21"/>
              </w:rPr>
            </w:pPr>
            <w:r>
              <w:rPr>
                <w:rFonts w:hint="eastAsia"/>
                <w:color w:val="auto"/>
              </w:rPr>
              <w:t>根据《自然资源部关于规范临时用地管理的通知》（自然资规</w:t>
            </w:r>
            <w:r>
              <w:rPr>
                <w:rFonts w:hint="eastAsia"/>
                <w:color w:val="auto"/>
                <w:kern w:val="0"/>
                <w:szCs w:val="21"/>
              </w:rPr>
              <w:t>﹝2</w:t>
            </w:r>
            <w:r>
              <w:rPr>
                <w:color w:val="auto"/>
                <w:kern w:val="0"/>
                <w:szCs w:val="21"/>
              </w:rPr>
              <w:t>021</w:t>
            </w:r>
            <w:r>
              <w:rPr>
                <w:rFonts w:hint="eastAsia"/>
                <w:color w:val="auto"/>
                <w:kern w:val="0"/>
                <w:szCs w:val="21"/>
              </w:rPr>
              <w:t>﹞</w:t>
            </w:r>
            <w:r>
              <w:rPr>
                <w:rFonts w:hint="eastAsia"/>
                <w:color w:val="auto"/>
              </w:rPr>
              <w:t>2号），铁路、公路等单独选址建设项目，应科学组织施工，节约集约使用临时用地。制梁场、拌合站等难以恢复原种植条件的不得以临时用地方式占用耕地和永久基本农田，可以建设用地方式或者临时占用未利用地方式使用土地。临时用地确需占用永久基本农田的，必须能够恢复原种植条件，并符合《自然资源部农业农村部关于加强和改进永久基本农田保护工作的通知》（自然资规</w:t>
            </w:r>
            <w:r>
              <w:rPr>
                <w:rFonts w:hint="eastAsia"/>
                <w:color w:val="auto"/>
                <w:kern w:val="0"/>
                <w:szCs w:val="21"/>
              </w:rPr>
              <w:t>﹝</w:t>
            </w:r>
            <w:r>
              <w:rPr>
                <w:color w:val="auto"/>
                <w:kern w:val="0"/>
                <w:szCs w:val="21"/>
              </w:rPr>
              <w:t>20</w:t>
            </w:r>
            <w:r>
              <w:rPr>
                <w:rFonts w:hint="eastAsia"/>
                <w:color w:val="auto"/>
                <w:kern w:val="0"/>
                <w:szCs w:val="21"/>
                <w:lang w:val="en-US" w:eastAsia="zh-CN"/>
              </w:rPr>
              <w:t>19</w:t>
            </w:r>
            <w:r>
              <w:rPr>
                <w:rFonts w:hint="eastAsia"/>
                <w:color w:val="auto"/>
                <w:kern w:val="0"/>
                <w:szCs w:val="21"/>
              </w:rPr>
              <w:t>﹞</w:t>
            </w:r>
            <w:r>
              <w:rPr>
                <w:rFonts w:hint="eastAsia"/>
                <w:color w:val="auto"/>
              </w:rPr>
              <w:t>1号）中申请条件、土壤剥离、复垦验收等有关规定。施工驻地等临时占地不得占用国家重点公益林，不得占用特殊、重要生态环境敏感区或饮用水水源保护区；沥青拌合站距环境保护目标距离不</w:t>
            </w:r>
            <w:r>
              <w:rPr>
                <w:rFonts w:hint="eastAsia"/>
                <w:color w:val="auto"/>
                <w:highlight w:val="none"/>
              </w:rPr>
              <w:t>宜小于300m，混凝土拌合站距环境保护目标距离不宜小于200m，且位置应交通便利，避免运距过长，减少施工便道的修建。</w:t>
            </w:r>
          </w:p>
          <w:p w14:paraId="472C296D">
            <w:pPr>
              <w:adjustRightInd w:val="0"/>
              <w:snapToGrid w:val="0"/>
              <w:ind w:firstLine="480"/>
              <w:rPr>
                <w:color w:val="auto"/>
              </w:rPr>
            </w:pPr>
            <w:r>
              <w:rPr>
                <w:color w:val="auto"/>
              </w:rPr>
              <w:t>根据《公路工程施工环境保护技术规范》（JTG/T3602-2025）中要求：</w:t>
            </w:r>
            <w:r>
              <w:rPr>
                <w:rFonts w:eastAsiaTheme="minorEastAsia"/>
                <w:color w:val="auto"/>
              </w:rPr>
              <w:t>应避开环境空气功能区一类区。拌和站与二类区中的居民集中居住区距离不宜小于300m，应设在当地主导风向的居民区的下风侧，并设置污染防治设施处理并达标。</w:t>
            </w:r>
          </w:p>
          <w:p w14:paraId="3FAACC47">
            <w:pPr>
              <w:spacing w:line="360" w:lineRule="auto"/>
              <w:ind w:firstLine="480" w:firstLineChars="200"/>
              <w:rPr>
                <w:rFonts w:hint="eastAsia" w:eastAsia="宋体"/>
                <w:color w:val="auto"/>
                <w:highlight w:val="none"/>
                <w:lang w:eastAsia="zh-CN"/>
              </w:rPr>
            </w:pPr>
            <w:r>
              <w:rPr>
                <w:color w:val="auto"/>
              </w:rPr>
              <w:t>本项目</w:t>
            </w:r>
            <w:r>
              <w:rPr>
                <w:rFonts w:hint="eastAsia"/>
                <w:color w:val="auto"/>
              </w:rPr>
              <w:t>无弃方，</w:t>
            </w:r>
            <w:r>
              <w:rPr>
                <w:rFonts w:hint="eastAsia"/>
                <w:color w:val="auto"/>
                <w:szCs w:val="21"/>
                <w:highlight w:val="none"/>
              </w:rPr>
              <w:t>土方采用外购方式，不设置取</w:t>
            </w:r>
            <w:r>
              <w:rPr>
                <w:rFonts w:hint="eastAsia"/>
                <w:color w:val="auto"/>
                <w:szCs w:val="21"/>
                <w:highlight w:val="none"/>
                <w:lang w:eastAsia="zh-CN"/>
              </w:rPr>
              <w:t>、弃</w:t>
            </w:r>
            <w:r>
              <w:rPr>
                <w:rFonts w:hint="eastAsia"/>
                <w:color w:val="auto"/>
                <w:szCs w:val="21"/>
                <w:highlight w:val="none"/>
              </w:rPr>
              <w:t>土场；本项目</w:t>
            </w:r>
            <w:r>
              <w:rPr>
                <w:rFonts w:hint="eastAsia"/>
                <w:color w:val="auto"/>
                <w:szCs w:val="21"/>
                <w:highlight w:val="none"/>
                <w:lang w:eastAsia="zh-CN"/>
              </w:rPr>
              <w:t>堆料场</w:t>
            </w:r>
            <w:r>
              <w:rPr>
                <w:rFonts w:hint="eastAsia"/>
                <w:color w:val="auto"/>
                <w:szCs w:val="21"/>
                <w:highlight w:val="none"/>
              </w:rPr>
              <w:t>设置在永久占地范围内；</w:t>
            </w:r>
            <w:r>
              <w:rPr>
                <w:rFonts w:hint="eastAsia"/>
                <w:color w:val="auto"/>
                <w:szCs w:val="21"/>
                <w:highlight w:val="none"/>
                <w:lang w:eastAsia="zh-CN"/>
              </w:rPr>
              <w:t>本项目</w:t>
            </w:r>
            <w:r>
              <w:rPr>
                <w:rFonts w:hint="eastAsia" w:cs="Times New Roman"/>
                <w:color w:val="auto"/>
                <w:highlight w:val="none"/>
                <w:vertAlign w:val="baseline"/>
                <w:lang w:eastAsia="zh-CN"/>
              </w:rPr>
              <w:t>施</w:t>
            </w:r>
            <w:r>
              <w:rPr>
                <w:rFonts w:hint="eastAsia"/>
                <w:color w:val="auto"/>
                <w:highlight w:val="none"/>
              </w:rPr>
              <w:t>工便道占地面积</w:t>
            </w:r>
            <w:r>
              <w:rPr>
                <w:rFonts w:hint="eastAsia" w:cs="Times New Roman"/>
                <w:color w:val="auto"/>
                <w:highlight w:val="none"/>
                <w:lang w:val="en-US" w:eastAsia="zh-CN"/>
              </w:rPr>
              <w:t>1800m</w:t>
            </w:r>
            <w:r>
              <w:rPr>
                <w:rFonts w:hint="eastAsia" w:ascii="Times New Roman" w:hAnsi="Times New Roman" w:eastAsia="宋体" w:cs="Times New Roman"/>
                <w:color w:val="auto"/>
                <w:highlight w:val="none"/>
                <w:vertAlign w:val="superscript"/>
              </w:rPr>
              <w:t>2</w:t>
            </w:r>
            <w:r>
              <w:rPr>
                <w:rFonts w:hint="eastAsia" w:cs="Times New Roman"/>
                <w:color w:val="auto"/>
                <w:highlight w:val="none"/>
                <w:vertAlign w:val="baseline"/>
                <w:lang w:val="en-US" w:eastAsia="zh-CN"/>
              </w:rPr>
              <w:t>（</w:t>
            </w:r>
            <w:r>
              <w:rPr>
                <w:rFonts w:hint="eastAsia"/>
                <w:color w:val="auto"/>
                <w:highlight w:val="none"/>
                <w:lang w:eastAsia="zh-CN"/>
              </w:rPr>
              <w:t>便道</w:t>
            </w:r>
            <w:r>
              <w:rPr>
                <w:rFonts w:hint="eastAsia"/>
                <w:color w:val="auto"/>
                <w:highlight w:val="none"/>
              </w:rPr>
              <w:t>总长</w:t>
            </w:r>
            <w:r>
              <w:rPr>
                <w:rFonts w:hint="eastAsia"/>
                <w:color w:val="auto"/>
                <w:highlight w:val="none"/>
                <w:lang w:val="en-US" w:eastAsia="zh-CN"/>
              </w:rPr>
              <w:t>400m</w:t>
            </w:r>
            <w:r>
              <w:rPr>
                <w:rFonts w:hint="eastAsia"/>
                <w:color w:val="auto"/>
                <w:highlight w:val="none"/>
              </w:rPr>
              <w:t>，宽度为</w:t>
            </w:r>
            <w:r>
              <w:rPr>
                <w:rFonts w:hint="eastAsia"/>
                <w:color w:val="auto"/>
                <w:highlight w:val="none"/>
                <w:lang w:val="en-US" w:eastAsia="zh-CN"/>
              </w:rPr>
              <w:t>4.5</w:t>
            </w:r>
            <w:r>
              <w:rPr>
                <w:rFonts w:hint="eastAsia"/>
                <w:color w:val="auto"/>
                <w:highlight w:val="none"/>
              </w:rPr>
              <w:t>m</w:t>
            </w:r>
            <w:r>
              <w:rPr>
                <w:rFonts w:hint="eastAsia" w:cs="Times New Roman"/>
                <w:color w:val="auto"/>
                <w:highlight w:val="none"/>
                <w:vertAlign w:val="baseline"/>
                <w:lang w:val="en-US" w:eastAsia="zh-CN"/>
              </w:rPr>
              <w:t>），</w:t>
            </w:r>
            <w:r>
              <w:rPr>
                <w:rFonts w:hint="eastAsia" w:cs="Times New Roman"/>
                <w:color w:val="auto"/>
                <w:highlight w:val="none"/>
                <w:vertAlign w:val="baseline"/>
                <w:lang w:eastAsia="zh-CN"/>
              </w:rPr>
              <w:t>占地类</w:t>
            </w:r>
            <w:r>
              <w:rPr>
                <w:rFonts w:hint="eastAsia" w:cs="Times New Roman"/>
                <w:color w:val="auto"/>
                <w:sz w:val="24"/>
                <w:szCs w:val="24"/>
                <w:highlight w:val="none"/>
                <w:vertAlign w:val="baseline"/>
                <w:lang w:eastAsia="zh-CN"/>
              </w:rPr>
              <w:t>型为</w:t>
            </w:r>
            <w:r>
              <w:rPr>
                <w:rFonts w:hint="eastAsia" w:cs="Times New Roman"/>
                <w:bCs/>
                <w:color w:val="auto"/>
                <w:kern w:val="2"/>
                <w:sz w:val="24"/>
                <w:szCs w:val="24"/>
                <w:highlight w:val="none"/>
                <w:lang w:val="en-US" w:eastAsia="zh-CN" w:bidi="ar-SA"/>
              </w:rPr>
              <w:t>公路用地，位于永久占地范围内；</w:t>
            </w:r>
            <w:r>
              <w:rPr>
                <w:rFonts w:hint="eastAsia"/>
                <w:color w:val="auto"/>
                <w:szCs w:val="21"/>
                <w:highlight w:val="none"/>
              </w:rPr>
              <w:t>本工程不设置施工驻地，施工人员食宿租赁附近民宅。</w:t>
            </w:r>
            <w:r>
              <w:rPr>
                <w:rFonts w:hint="eastAsia"/>
                <w:color w:val="auto"/>
                <w:highlight w:val="none"/>
              </w:rPr>
              <w:t>项目</w:t>
            </w:r>
            <w:r>
              <w:rPr>
                <w:rFonts w:hint="eastAsia"/>
                <w:color w:val="auto"/>
                <w:highlight w:val="none"/>
                <w:lang w:eastAsia="zh-CN"/>
              </w:rPr>
              <w:t>临时占地包括</w:t>
            </w:r>
            <w:r>
              <w:rPr>
                <w:rFonts w:hint="eastAsia"/>
                <w:color w:val="auto"/>
                <w:highlight w:val="none"/>
                <w:lang w:val="en-US" w:eastAsia="zh-CN"/>
              </w:rPr>
              <w:t>1处施工场地，设置基层、面层拌和站，占地面积4022</w:t>
            </w:r>
            <w:r>
              <w:rPr>
                <w:rFonts w:hint="eastAsia" w:ascii="Times New Roman" w:hAnsi="Times New Roman" w:eastAsia="宋体" w:cs="Times New Roman"/>
                <w:color w:val="auto"/>
                <w:highlight w:val="none"/>
              </w:rPr>
              <w:t>m</w:t>
            </w:r>
            <w:r>
              <w:rPr>
                <w:rFonts w:hint="eastAsia" w:ascii="Times New Roman" w:hAnsi="Times New Roman" w:eastAsia="宋体" w:cs="Times New Roman"/>
                <w:color w:val="auto"/>
                <w:highlight w:val="none"/>
                <w:vertAlign w:val="superscript"/>
              </w:rPr>
              <w:t>2</w:t>
            </w:r>
            <w:r>
              <w:rPr>
                <w:rFonts w:hint="eastAsia"/>
                <w:color w:val="auto"/>
                <w:highlight w:val="none"/>
                <w:lang w:eastAsia="zh-CN"/>
              </w:rPr>
              <w:t>。在施工结束后将临时工程拆除，及时清理施工痕迹，恢复地表原貌</w:t>
            </w:r>
            <w:r>
              <w:rPr>
                <w:rFonts w:hint="eastAsia"/>
                <w:color w:val="auto"/>
                <w:highlight w:val="none"/>
              </w:rPr>
              <w:t>。本项目临时占地为</w:t>
            </w:r>
            <w:r>
              <w:rPr>
                <w:rFonts w:hint="eastAsia"/>
                <w:color w:val="auto"/>
                <w:highlight w:val="none"/>
                <w:lang w:eastAsia="zh-CN"/>
              </w:rPr>
              <w:t>设施农用地、裸土地</w:t>
            </w:r>
            <w:r>
              <w:rPr>
                <w:rFonts w:hint="eastAsia"/>
                <w:color w:val="auto"/>
                <w:highlight w:val="none"/>
              </w:rPr>
              <w:t>，不涉及永久基本农田。</w:t>
            </w:r>
            <w:r>
              <w:rPr>
                <w:color w:val="auto"/>
                <w:highlight w:val="none"/>
              </w:rPr>
              <w:t>本工程</w:t>
            </w:r>
            <w:r>
              <w:rPr>
                <w:rFonts w:hint="eastAsia"/>
                <w:color w:val="auto"/>
                <w:highlight w:val="none"/>
                <w:lang w:eastAsia="zh-CN"/>
              </w:rPr>
              <w:t>拌和站</w:t>
            </w:r>
            <w:r>
              <w:rPr>
                <w:color w:val="auto"/>
                <w:highlight w:val="none"/>
              </w:rPr>
              <w:t>位</w:t>
            </w:r>
            <w:r>
              <w:rPr>
                <w:rFonts w:hint="eastAsia"/>
                <w:color w:val="auto"/>
                <w:highlight w:val="none"/>
                <w:lang w:eastAsia="zh-CN"/>
              </w:rPr>
              <w:t>于桩号</w:t>
            </w:r>
            <w:r>
              <w:rPr>
                <w:rFonts w:hint="eastAsia"/>
                <w:color w:val="auto"/>
                <w:highlight w:val="none"/>
                <w:lang w:val="en-US" w:eastAsia="zh-CN"/>
              </w:rPr>
              <w:t>K34+900东侧</w:t>
            </w:r>
            <w:r>
              <w:rPr>
                <w:color w:val="auto"/>
                <w:highlight w:val="none"/>
              </w:rPr>
              <w:t>，最近敏感点为</w:t>
            </w:r>
            <w:r>
              <w:rPr>
                <w:rFonts w:hint="eastAsia"/>
                <w:color w:val="auto"/>
                <w:highlight w:val="none"/>
                <w:lang w:eastAsia="zh-CN"/>
              </w:rPr>
              <w:t>西北侧</w:t>
            </w:r>
            <w:r>
              <w:rPr>
                <w:color w:val="auto"/>
                <w:highlight w:val="none"/>
              </w:rPr>
              <w:t>的</w:t>
            </w:r>
            <w:r>
              <w:rPr>
                <w:rFonts w:hint="eastAsia"/>
                <w:color w:val="auto"/>
                <w:highlight w:val="none"/>
                <w:lang w:eastAsia="zh-CN"/>
              </w:rPr>
              <w:t>二道林子村</w:t>
            </w:r>
            <w:r>
              <w:rPr>
                <w:color w:val="auto"/>
                <w:highlight w:val="none"/>
              </w:rPr>
              <w:t>，</w:t>
            </w:r>
            <w:r>
              <w:rPr>
                <w:rFonts w:hint="eastAsia"/>
                <w:color w:val="auto"/>
                <w:highlight w:val="none"/>
                <w:lang w:eastAsia="zh-CN"/>
              </w:rPr>
              <w:t>拌和站位于该敏感点的侧下风向</w:t>
            </w:r>
            <w:r>
              <w:rPr>
                <w:rFonts w:hint="eastAsia"/>
                <w:color w:val="auto"/>
                <w:highlight w:val="none"/>
                <w:lang w:val="en-US" w:eastAsia="zh-CN"/>
              </w:rPr>
              <w:t>330m处</w:t>
            </w:r>
            <w:r>
              <w:rPr>
                <w:rFonts w:hint="eastAsia"/>
                <w:color w:val="auto"/>
                <w:highlight w:val="none"/>
                <w:lang w:eastAsia="zh-CN"/>
              </w:rPr>
              <w:t>。</w:t>
            </w:r>
            <w:r>
              <w:rPr>
                <w:rFonts w:hint="eastAsia"/>
                <w:color w:val="auto"/>
                <w:highlight w:val="none"/>
              </w:rPr>
              <w:t>因此，本工程的建设</w:t>
            </w:r>
            <w:r>
              <w:rPr>
                <w:rFonts w:hint="eastAsia" w:cs="宋体"/>
                <w:color w:val="auto"/>
                <w:kern w:val="0"/>
                <w:szCs w:val="21"/>
                <w:highlight w:val="none"/>
              </w:rPr>
              <w:t>符合《自然资源部关于规范临时用地管理的通知》（自然资规﹝2021﹞2号）</w:t>
            </w:r>
            <w:r>
              <w:rPr>
                <w:rFonts w:hint="eastAsia" w:cs="宋体"/>
                <w:color w:val="auto"/>
                <w:kern w:val="0"/>
                <w:szCs w:val="21"/>
                <w:highlight w:val="none"/>
                <w:lang w:eastAsia="zh-CN"/>
              </w:rPr>
              <w:t>及</w:t>
            </w:r>
            <w:r>
              <w:rPr>
                <w:color w:val="auto"/>
                <w:highlight w:val="none"/>
              </w:rPr>
              <w:t>《公路工程施工环境保护技术规范》（JTG/T3602-2025）</w:t>
            </w:r>
            <w:r>
              <w:rPr>
                <w:rFonts w:hint="eastAsia" w:cs="宋体"/>
                <w:color w:val="auto"/>
                <w:kern w:val="0"/>
                <w:szCs w:val="21"/>
                <w:highlight w:val="none"/>
              </w:rPr>
              <w:t>管理要求</w:t>
            </w:r>
            <w:r>
              <w:rPr>
                <w:rFonts w:hint="eastAsia" w:cs="宋体"/>
                <w:color w:val="auto"/>
                <w:kern w:val="0"/>
                <w:szCs w:val="21"/>
                <w:highlight w:val="none"/>
                <w:lang w:eastAsia="zh-CN"/>
              </w:rPr>
              <w:t>。</w:t>
            </w:r>
          </w:p>
          <w:p w14:paraId="05182100">
            <w:pPr>
              <w:spacing w:line="360" w:lineRule="auto"/>
              <w:ind w:firstLine="480" w:firstLineChars="200"/>
              <w:rPr>
                <w:rFonts w:hint="eastAsia"/>
                <w:color w:val="auto"/>
                <w:highlight w:val="none"/>
                <w:lang w:eastAsia="zh-CN"/>
              </w:rPr>
            </w:pPr>
            <w:r>
              <w:rPr>
                <w:color w:val="auto"/>
              </w:rPr>
              <w:t>本次评价要求临时施工场地应按照水土保持方案做好水保措施及按照本项目提出的环保措施，做好土堆的防起尘措施，施工结束后及时复垦并恢复植被，在采取以上措施后临时施工场地及施工便道对周边环境影响较小。综上所述，本工程施工场地及施工便道设置合理。</w:t>
            </w:r>
          </w:p>
          <w:p w14:paraId="36BA69E6">
            <w:pPr>
              <w:spacing w:line="360" w:lineRule="auto"/>
              <w:ind w:firstLine="480" w:firstLineChars="200"/>
              <w:rPr>
                <w:rFonts w:cs="宋体"/>
                <w:bCs/>
                <w:color w:val="auto"/>
                <w:szCs w:val="21"/>
              </w:rPr>
            </w:pPr>
            <w:r>
              <w:rPr>
                <w:rFonts w:hint="eastAsia" w:cs="宋体"/>
                <w:bCs/>
                <w:color w:val="auto"/>
                <w:szCs w:val="21"/>
              </w:rPr>
              <w:t>2、选线环境合理性分析</w:t>
            </w:r>
          </w:p>
          <w:p w14:paraId="2CCF0AE7">
            <w:pPr>
              <w:keepNext w:val="0"/>
              <w:keepLines w:val="0"/>
              <w:widowControl/>
              <w:suppressLineNumbers w:val="0"/>
              <w:jc w:val="left"/>
              <w:rPr>
                <w:rFonts w:hint="eastAsia" w:ascii="Times New Roman" w:hAnsi="Times New Roman" w:eastAsia="宋体" w:cs="Times New Roman"/>
                <w:color w:val="auto"/>
                <w:highlight w:val="none"/>
                <w:lang w:val="en-US" w:eastAsia="zh-CN"/>
              </w:rPr>
            </w:pPr>
            <w:r>
              <w:rPr>
                <w:rFonts w:hint="eastAsia"/>
                <w:color w:val="auto"/>
                <w:highlight w:val="none"/>
                <w:lang w:val="en-US" w:eastAsia="zh-CN"/>
              </w:rPr>
              <w:t>郝家至银龙公路永红村至银龙村段改扩建工程属于《宝清县国土空间总体规划（2021</w:t>
            </w:r>
            <w:r>
              <w:rPr>
                <w:rFonts w:hint="eastAsia" w:eastAsia="黑体" w:cs="Times New Roman"/>
                <w:color w:val="auto"/>
                <w:sz w:val="24"/>
                <w:szCs w:val="24"/>
                <w:highlight w:val="none"/>
                <w:lang w:val="en-US" w:eastAsia="zh-CN"/>
              </w:rPr>
              <w:t>—</w:t>
            </w:r>
            <w:r>
              <w:rPr>
                <w:rFonts w:hint="eastAsia"/>
                <w:color w:val="auto"/>
                <w:highlight w:val="none"/>
                <w:lang w:val="en-US" w:eastAsia="zh-CN"/>
              </w:rPr>
              <w:t>2035年）》</w:t>
            </w:r>
            <w:r>
              <w:rPr>
                <w:rFonts w:hint="eastAsia" w:ascii="Times New Roman" w:hAnsi="Times New Roman" w:eastAsia="宋体" w:cs="Times New Roman"/>
                <w:color w:val="auto"/>
                <w:highlight w:val="none"/>
                <w:lang w:val="en-US" w:eastAsia="zh-CN"/>
              </w:rPr>
              <w:t>中第十章 第一节 综合交通体系，公路系统：补齐高速公路短板，提升省际通道通行能力及高速公路间互联互通。对国省干线进行提质改造升级，推动国省干线公路网成网成环，完善干线公路网的整体布局。推进农村牧区公路升级改造，优化农村路网结构。</w:t>
            </w:r>
          </w:p>
          <w:p w14:paraId="71C60EBD">
            <w:pPr>
              <w:autoSpaceDE w:val="0"/>
              <w:autoSpaceDN w:val="0"/>
              <w:spacing w:line="360" w:lineRule="auto"/>
              <w:ind w:firstLine="480" w:firstLineChars="200"/>
              <w:rPr>
                <w:rFonts w:hint="eastAsia"/>
                <w:color w:val="auto"/>
              </w:rPr>
            </w:pPr>
            <w:r>
              <w:rPr>
                <w:rFonts w:hint="eastAsia"/>
                <w:color w:val="auto"/>
                <w:highlight w:val="none"/>
                <w:lang w:val="en-US" w:eastAsia="zh-CN"/>
              </w:rPr>
              <w:t>本项目为郝家至银龙公路永红村至银龙村段改扩建工程，</w:t>
            </w:r>
            <w:r>
              <w:rPr>
                <w:rFonts w:hint="eastAsia" w:cs="宋体"/>
                <w:color w:val="auto"/>
                <w:kern w:val="0"/>
                <w:szCs w:val="21"/>
              </w:rPr>
              <w:t>项目原有路线穿越</w:t>
            </w:r>
            <w:r>
              <w:rPr>
                <w:rFonts w:hint="eastAsia"/>
                <w:color w:val="auto"/>
                <w:highlight w:val="none"/>
                <w:lang w:val="en-US" w:eastAsia="zh-CN"/>
              </w:rPr>
              <w:t>黑龙江东升省级自然保护区、黑龙江完达山国家级森林公园</w:t>
            </w:r>
            <w:r>
              <w:rPr>
                <w:rFonts w:hint="eastAsia" w:cs="宋体"/>
                <w:color w:val="auto"/>
                <w:kern w:val="0"/>
                <w:szCs w:val="21"/>
              </w:rPr>
              <w:t>及生态保护红线</w:t>
            </w:r>
            <w:r>
              <w:rPr>
                <w:rFonts w:hint="eastAsia" w:cs="宋体"/>
                <w:color w:val="auto"/>
                <w:kern w:val="0"/>
                <w:szCs w:val="21"/>
                <w:lang w:eastAsia="zh-CN"/>
              </w:rPr>
              <w:t>，</w:t>
            </w:r>
            <w:r>
              <w:rPr>
                <w:rFonts w:hint="eastAsia" w:cs="宋体"/>
                <w:color w:val="auto"/>
                <w:kern w:val="0"/>
                <w:szCs w:val="21"/>
              </w:rPr>
              <w:t>本次</w:t>
            </w:r>
            <w:r>
              <w:rPr>
                <w:rFonts w:hint="eastAsia" w:cs="宋体"/>
                <w:color w:val="auto"/>
                <w:kern w:val="0"/>
                <w:szCs w:val="21"/>
                <w:lang w:eastAsia="zh-CN"/>
              </w:rPr>
              <w:t>改</w:t>
            </w:r>
            <w:r>
              <w:rPr>
                <w:rFonts w:hint="eastAsia" w:cs="宋体"/>
                <w:color w:val="auto"/>
                <w:kern w:val="0"/>
                <w:szCs w:val="21"/>
              </w:rPr>
              <w:t>扩建项目线位总体上沿</w:t>
            </w:r>
            <w:r>
              <w:rPr>
                <w:rFonts w:hint="eastAsia" w:cs="宋体"/>
                <w:color w:val="auto"/>
                <w:kern w:val="0"/>
                <w:szCs w:val="21"/>
                <w:lang w:eastAsia="zh-CN"/>
              </w:rPr>
              <w:t>东北</w:t>
            </w:r>
            <w:r>
              <w:rPr>
                <w:rFonts w:hint="eastAsia" w:cs="宋体"/>
                <w:color w:val="auto"/>
                <w:kern w:val="0"/>
                <w:szCs w:val="21"/>
              </w:rPr>
              <w:t>走向，</w:t>
            </w:r>
            <w:r>
              <w:rPr>
                <w:rFonts w:hint="eastAsia" w:cs="宋体"/>
                <w:color w:val="auto"/>
                <w:kern w:val="0"/>
                <w:szCs w:val="21"/>
                <w:lang w:eastAsia="zh-CN"/>
              </w:rPr>
              <w:t>全部在原有路线上进行改扩建，不新增永久占地，</w:t>
            </w:r>
            <w:r>
              <w:rPr>
                <w:rFonts w:hint="eastAsia" w:cs="宋体"/>
                <w:color w:val="auto"/>
                <w:kern w:val="0"/>
                <w:szCs w:val="21"/>
              </w:rPr>
              <w:t>受现有</w:t>
            </w:r>
            <w:r>
              <w:rPr>
                <w:rFonts w:hint="eastAsia" w:cs="宋体"/>
                <w:color w:val="auto"/>
                <w:kern w:val="0"/>
                <w:szCs w:val="21"/>
                <w:lang w:eastAsia="zh-CN"/>
              </w:rPr>
              <w:t>公路</w:t>
            </w:r>
            <w:r>
              <w:rPr>
                <w:rFonts w:hint="eastAsia" w:cs="宋体"/>
                <w:color w:val="auto"/>
                <w:kern w:val="0"/>
                <w:szCs w:val="21"/>
              </w:rPr>
              <w:t>影响及</w:t>
            </w:r>
            <w:r>
              <w:rPr>
                <w:rFonts w:hint="eastAsia" w:cs="宋体"/>
                <w:color w:val="auto"/>
                <w:kern w:val="0"/>
                <w:szCs w:val="21"/>
                <w:lang w:eastAsia="zh-CN"/>
              </w:rPr>
              <w:t>森林公园、自然保护区</w:t>
            </w:r>
            <w:r>
              <w:rPr>
                <w:rFonts w:hint="eastAsia" w:cs="宋体"/>
                <w:color w:val="auto"/>
                <w:kern w:val="0"/>
                <w:szCs w:val="21"/>
              </w:rPr>
              <w:t>范围影响</w:t>
            </w:r>
            <w:r>
              <w:rPr>
                <w:rFonts w:hint="eastAsia" w:cs="宋体"/>
                <w:color w:val="auto"/>
                <w:kern w:val="0"/>
                <w:szCs w:val="21"/>
                <w:lang w:eastAsia="zh-CN"/>
              </w:rPr>
              <w:t>，</w:t>
            </w:r>
            <w:r>
              <w:rPr>
                <w:rFonts w:hint="eastAsia" w:cs="宋体"/>
                <w:color w:val="auto"/>
                <w:kern w:val="0"/>
                <w:szCs w:val="21"/>
              </w:rPr>
              <w:t>且本项目线位两侧多为</w:t>
            </w:r>
            <w:r>
              <w:rPr>
                <w:rFonts w:hint="eastAsia" w:cs="宋体"/>
                <w:color w:val="auto"/>
                <w:kern w:val="0"/>
                <w:szCs w:val="21"/>
                <w:lang w:eastAsia="zh-CN"/>
              </w:rPr>
              <w:t>基本农田</w:t>
            </w:r>
            <w:r>
              <w:rPr>
                <w:rFonts w:hint="eastAsia" w:cs="宋体"/>
                <w:color w:val="auto"/>
                <w:kern w:val="0"/>
                <w:szCs w:val="21"/>
              </w:rPr>
              <w:t>，导致线位无法绕越。</w:t>
            </w:r>
          </w:p>
          <w:p w14:paraId="3E35905F">
            <w:pPr>
              <w:pStyle w:val="5"/>
              <w:spacing w:line="360" w:lineRule="auto"/>
              <w:ind w:left="0" w:leftChars="0" w:firstLine="480" w:firstLineChars="200"/>
              <w:rPr>
                <w:rFonts w:hint="eastAsia"/>
                <w:color w:val="auto"/>
                <w:highlight w:val="none"/>
                <w:lang w:eastAsia="zh-CN"/>
              </w:rPr>
            </w:pPr>
            <w:r>
              <w:rPr>
                <w:rFonts w:hint="eastAsia"/>
                <w:color w:val="auto"/>
                <w:highlight w:val="none"/>
                <w:lang w:val="en-US" w:eastAsia="zh-CN"/>
              </w:rPr>
              <w:t>因此，</w:t>
            </w:r>
            <w:r>
              <w:rPr>
                <w:rFonts w:hint="eastAsia"/>
                <w:color w:val="auto"/>
                <w:highlight w:val="none"/>
                <w:lang w:eastAsia="zh-CN"/>
              </w:rPr>
              <w:t>本项目线路无法避让</w:t>
            </w:r>
            <w:r>
              <w:rPr>
                <w:rFonts w:hint="eastAsia"/>
                <w:color w:val="auto"/>
                <w:highlight w:val="none"/>
                <w:lang w:val="en-US" w:eastAsia="zh-CN"/>
              </w:rPr>
              <w:t>黑龙江东升省级自然保护区、黑龙江完达山国家级森林公园</w:t>
            </w:r>
            <w:r>
              <w:rPr>
                <w:rFonts w:hint="eastAsia"/>
                <w:color w:val="auto"/>
                <w:highlight w:val="none"/>
                <w:lang w:eastAsia="zh-CN"/>
              </w:rPr>
              <w:t>及生态保护红线。</w:t>
            </w:r>
          </w:p>
          <w:p w14:paraId="5065AEB4">
            <w:pPr>
              <w:pStyle w:val="5"/>
              <w:spacing w:line="360" w:lineRule="auto"/>
              <w:ind w:left="0" w:leftChars="0" w:firstLine="480" w:firstLineChars="200"/>
              <w:rPr>
                <w:rFonts w:hint="eastAsia"/>
                <w:color w:val="auto"/>
                <w:highlight w:val="none"/>
                <w:lang w:eastAsia="zh-CN"/>
              </w:rPr>
            </w:pPr>
            <w:r>
              <w:rPr>
                <w:rFonts w:hint="eastAsia"/>
                <w:color w:val="auto"/>
                <w:highlight w:val="none"/>
                <w:lang w:eastAsia="zh-CN"/>
              </w:rPr>
              <w:t>综上所述，本项目</w:t>
            </w:r>
            <w:r>
              <w:rPr>
                <w:rFonts w:hint="eastAsia"/>
                <w:color w:val="auto"/>
                <w:lang w:eastAsia="zh-CN"/>
              </w:rPr>
              <w:t>在原线路基础上建设，</w:t>
            </w:r>
            <w:r>
              <w:rPr>
                <w:rFonts w:hint="eastAsia"/>
                <w:color w:val="auto"/>
                <w:highlight w:val="none"/>
                <w:lang w:eastAsia="zh-CN"/>
              </w:rPr>
              <w:t>选线合理。</w:t>
            </w:r>
          </w:p>
          <w:p w14:paraId="32DD40C9">
            <w:pPr>
              <w:rPr>
                <w:rFonts w:hint="eastAsia"/>
                <w:color w:val="auto"/>
                <w:highlight w:val="none"/>
                <w:lang w:eastAsia="zh-CN"/>
              </w:rPr>
            </w:pPr>
          </w:p>
          <w:p w14:paraId="282874C3">
            <w:pPr>
              <w:pStyle w:val="5"/>
              <w:rPr>
                <w:rFonts w:hint="eastAsia"/>
                <w:color w:val="auto"/>
                <w:highlight w:val="none"/>
                <w:lang w:eastAsia="zh-CN"/>
              </w:rPr>
            </w:pPr>
          </w:p>
          <w:p w14:paraId="620B98E2">
            <w:pPr>
              <w:rPr>
                <w:rFonts w:hint="eastAsia"/>
                <w:color w:val="auto"/>
                <w:highlight w:val="none"/>
                <w:lang w:eastAsia="zh-CN"/>
              </w:rPr>
            </w:pPr>
          </w:p>
          <w:p w14:paraId="16FA5173">
            <w:pPr>
              <w:pStyle w:val="5"/>
              <w:rPr>
                <w:rFonts w:hint="eastAsia"/>
                <w:color w:val="auto"/>
                <w:lang w:eastAsia="zh-CN"/>
              </w:rPr>
            </w:pPr>
          </w:p>
          <w:p w14:paraId="4AF8327A">
            <w:pPr>
              <w:rPr>
                <w:rFonts w:hint="eastAsia"/>
                <w:color w:val="auto"/>
                <w:lang w:eastAsia="zh-CN"/>
              </w:rPr>
            </w:pPr>
          </w:p>
          <w:p w14:paraId="5E10C011">
            <w:pPr>
              <w:rPr>
                <w:rFonts w:hint="eastAsia"/>
                <w:color w:val="auto"/>
                <w:lang w:eastAsia="zh-CN"/>
              </w:rPr>
            </w:pPr>
          </w:p>
          <w:p w14:paraId="2E74099E">
            <w:pPr>
              <w:rPr>
                <w:rFonts w:hint="eastAsia"/>
                <w:color w:val="auto"/>
                <w:lang w:eastAsia="zh-CN"/>
              </w:rPr>
            </w:pPr>
          </w:p>
          <w:p w14:paraId="5F246503">
            <w:pPr>
              <w:rPr>
                <w:rFonts w:hint="eastAsia"/>
                <w:color w:val="auto"/>
                <w:lang w:eastAsia="zh-CN"/>
              </w:rPr>
            </w:pPr>
          </w:p>
          <w:p w14:paraId="5EDEC34C">
            <w:pPr>
              <w:rPr>
                <w:rFonts w:hint="eastAsia"/>
                <w:color w:val="auto"/>
                <w:lang w:eastAsia="zh-CN"/>
              </w:rPr>
            </w:pPr>
          </w:p>
          <w:p w14:paraId="71C500CB">
            <w:pPr>
              <w:rPr>
                <w:rFonts w:hint="eastAsia"/>
                <w:color w:val="auto"/>
                <w:lang w:eastAsia="zh-CN"/>
              </w:rPr>
            </w:pPr>
          </w:p>
          <w:p w14:paraId="04FE3C24">
            <w:pPr>
              <w:rPr>
                <w:rFonts w:hint="eastAsia"/>
                <w:color w:val="auto"/>
                <w:lang w:eastAsia="zh-CN"/>
              </w:rPr>
            </w:pPr>
          </w:p>
          <w:p w14:paraId="5EBCCB4B">
            <w:pPr>
              <w:rPr>
                <w:rFonts w:hint="eastAsia"/>
                <w:color w:val="auto"/>
                <w:lang w:eastAsia="zh-CN"/>
              </w:rPr>
            </w:pPr>
          </w:p>
          <w:p w14:paraId="09B377B7">
            <w:pPr>
              <w:rPr>
                <w:rFonts w:hint="eastAsia"/>
                <w:color w:val="auto"/>
                <w:lang w:eastAsia="zh-CN"/>
              </w:rPr>
            </w:pPr>
          </w:p>
          <w:p w14:paraId="74BA06EF">
            <w:pPr>
              <w:rPr>
                <w:rFonts w:hint="eastAsia"/>
                <w:color w:val="auto"/>
                <w:highlight w:val="none"/>
                <w:lang w:val="en-US" w:eastAsia="zh-CN"/>
              </w:rPr>
            </w:pPr>
          </w:p>
        </w:tc>
      </w:tr>
    </w:tbl>
    <w:p w14:paraId="499A59D6">
      <w:pPr>
        <w:ind w:firstLine="720"/>
        <w:jc w:val="center"/>
        <w:rPr>
          <w:rFonts w:ascii="黑体" w:hAnsi="黑体" w:eastAsia="黑体"/>
          <w:snapToGrid w:val="0"/>
          <w:color w:val="auto"/>
          <w:sz w:val="36"/>
          <w:szCs w:val="36"/>
          <w:highlight w:val="none"/>
        </w:rPr>
        <w:sectPr>
          <w:pgSz w:w="11906" w:h="16838"/>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6A00F136">
      <w:pPr>
        <w:pStyle w:val="31"/>
        <w:rPr>
          <w:color w:val="auto"/>
          <w:highlight w:val="none"/>
        </w:rPr>
      </w:pPr>
      <w:bookmarkStart w:id="11" w:name="_Toc32239"/>
      <w:bookmarkStart w:id="12" w:name="_Toc23461"/>
      <w:r>
        <w:rPr>
          <w:color w:val="auto"/>
          <w:highlight w:val="none"/>
        </w:rPr>
        <w:t>五、主要生态环境保护措施</w:t>
      </w:r>
      <w:bookmarkEnd w:id="11"/>
      <w:bookmarkEnd w:id="12"/>
    </w:p>
    <w:tbl>
      <w:tblPr>
        <w:tblStyle w:val="18"/>
        <w:tblW w:w="5094"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7506"/>
      </w:tblGrid>
      <w:tr w14:paraId="30C368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97" w:hRule="atLeast"/>
          <w:jc w:val="center"/>
        </w:trPr>
        <w:tc>
          <w:tcPr>
            <w:tcW w:w="640" w:type="pct"/>
            <w:noWrap w:val="0"/>
            <w:tcMar>
              <w:left w:w="28" w:type="dxa"/>
              <w:right w:w="28" w:type="dxa"/>
            </w:tcMar>
            <w:vAlign w:val="center"/>
          </w:tcPr>
          <w:p w14:paraId="61B8C729">
            <w:pPr>
              <w:pStyle w:val="38"/>
              <w:rPr>
                <w:color w:val="auto"/>
                <w:highlight w:val="none"/>
              </w:rPr>
            </w:pPr>
            <w:r>
              <w:rPr>
                <w:color w:val="auto"/>
                <w:highlight w:val="none"/>
              </w:rPr>
              <w:t>施工期生态环境保护措施</w:t>
            </w:r>
          </w:p>
        </w:tc>
        <w:tc>
          <w:tcPr>
            <w:tcW w:w="4359" w:type="pct"/>
            <w:noWrap w:val="0"/>
            <w:vAlign w:val="top"/>
          </w:tcPr>
          <w:p w14:paraId="3B345B25">
            <w:pPr>
              <w:pStyle w:val="34"/>
              <w:ind w:firstLine="480"/>
              <w:rPr>
                <w:color w:val="auto"/>
                <w:highlight w:val="none"/>
              </w:rPr>
            </w:pPr>
            <w:r>
              <w:rPr>
                <w:color w:val="auto"/>
                <w:highlight w:val="none"/>
              </w:rPr>
              <w:t>1、生态保护措施</w:t>
            </w:r>
          </w:p>
          <w:p w14:paraId="41175B4A">
            <w:pPr>
              <w:pStyle w:val="5"/>
              <w:spacing w:line="360" w:lineRule="auto"/>
              <w:ind w:left="0" w:leftChars="0" w:firstLine="480" w:firstLineChars="200"/>
              <w:rPr>
                <w:rFonts w:cs="宋体"/>
                <w:bCs/>
                <w:color w:val="auto"/>
                <w:szCs w:val="21"/>
                <w:highlight w:val="none"/>
              </w:rPr>
            </w:pPr>
            <w:r>
              <w:rPr>
                <w:rFonts w:hint="eastAsia" w:cs="宋体"/>
                <w:bCs/>
                <w:color w:val="auto"/>
                <w:szCs w:val="21"/>
                <w:highlight w:val="none"/>
                <w:lang w:val="en-US" w:eastAsia="zh-CN"/>
              </w:rPr>
              <w:t>（1）</w:t>
            </w:r>
            <w:r>
              <w:rPr>
                <w:rFonts w:hint="eastAsia" w:cs="宋体"/>
                <w:bCs/>
                <w:color w:val="auto"/>
                <w:szCs w:val="21"/>
                <w:highlight w:val="none"/>
              </w:rPr>
              <w:t>植物保护措施</w:t>
            </w:r>
          </w:p>
          <w:p w14:paraId="46DE941A">
            <w:pPr>
              <w:spacing w:line="360" w:lineRule="auto"/>
              <w:ind w:firstLine="480" w:firstLineChars="200"/>
              <w:rPr>
                <w:rFonts w:hint="eastAsia"/>
                <w:color w:val="auto"/>
                <w:szCs w:val="21"/>
                <w:highlight w:val="none"/>
              </w:rPr>
            </w:pPr>
            <w:r>
              <w:rPr>
                <w:rFonts w:hint="eastAsia"/>
                <w:snapToGrid w:val="0"/>
                <w:color w:val="auto"/>
                <w:kern w:val="0"/>
                <w:szCs w:val="21"/>
                <w:highlight w:val="none"/>
                <w:lang w:val="en-US" w:eastAsia="zh-CN"/>
              </w:rPr>
              <w:t>1）</w:t>
            </w:r>
            <w:r>
              <w:rPr>
                <w:rFonts w:hint="eastAsia"/>
                <w:color w:val="auto"/>
                <w:highlight w:val="none"/>
                <w:lang w:val="en-US" w:eastAsia="zh-CN"/>
              </w:rPr>
              <w:t>严格按照设计文件确定范围征占土地，严格控制路基开挖施工作业面，避免超挖破坏周围植被；禁止施工人员、车辆进入非施工占地区域。</w:t>
            </w:r>
          </w:p>
          <w:p w14:paraId="74C5CE60">
            <w:pPr>
              <w:spacing w:line="360" w:lineRule="auto"/>
              <w:ind w:firstLine="480" w:firstLineChars="200"/>
              <w:rPr>
                <w:rFonts w:hint="eastAsia"/>
                <w:color w:val="auto"/>
                <w:szCs w:val="21"/>
                <w:highlight w:val="none"/>
              </w:rPr>
            </w:pPr>
            <w:r>
              <w:rPr>
                <w:rFonts w:hint="eastAsia"/>
                <w:snapToGrid w:val="0"/>
                <w:color w:val="auto"/>
                <w:kern w:val="0"/>
                <w:szCs w:val="21"/>
                <w:highlight w:val="none"/>
                <w:lang w:val="en-US" w:eastAsia="zh-CN"/>
              </w:rPr>
              <w:t>2）</w:t>
            </w:r>
            <w:r>
              <w:rPr>
                <w:rFonts w:hint="eastAsia"/>
                <w:color w:val="auto"/>
                <w:highlight w:val="none"/>
                <w:lang w:val="en-US" w:eastAsia="zh-CN"/>
              </w:rPr>
              <w:t>优化施工方案，合理安排施工进度，避开雨天施工。</w:t>
            </w:r>
          </w:p>
          <w:p w14:paraId="23AADA28">
            <w:pPr>
              <w:spacing w:line="360" w:lineRule="auto"/>
              <w:ind w:firstLine="480" w:firstLineChars="200"/>
              <w:rPr>
                <w:rFonts w:hint="eastAsia"/>
                <w:color w:val="auto"/>
                <w:szCs w:val="21"/>
                <w:highlight w:val="yellow"/>
              </w:rPr>
            </w:pPr>
            <w:r>
              <w:rPr>
                <w:rFonts w:hint="eastAsia"/>
                <w:snapToGrid w:val="0"/>
                <w:color w:val="auto"/>
                <w:kern w:val="0"/>
                <w:szCs w:val="21"/>
                <w:highlight w:val="none"/>
                <w:lang w:val="en-US" w:eastAsia="zh-CN"/>
              </w:rPr>
              <w:t>3）</w:t>
            </w:r>
            <w:r>
              <w:rPr>
                <w:rFonts w:hint="eastAsia"/>
                <w:color w:val="auto"/>
                <w:highlight w:val="none"/>
                <w:lang w:val="en-US" w:eastAsia="zh-CN"/>
              </w:rPr>
              <w:t>工程完工后对临时占地进行平整，恢复其原利用类型，种植植物以乡土植物为主。</w:t>
            </w:r>
          </w:p>
          <w:p w14:paraId="177C6254">
            <w:pPr>
              <w:spacing w:line="360" w:lineRule="auto"/>
              <w:ind w:firstLine="480" w:firstLineChars="200"/>
              <w:rPr>
                <w:snapToGrid w:val="0"/>
                <w:color w:val="auto"/>
                <w:kern w:val="0"/>
                <w:szCs w:val="21"/>
                <w:highlight w:val="none"/>
              </w:rPr>
            </w:pPr>
            <w:r>
              <w:rPr>
                <w:rFonts w:hint="eastAsia"/>
                <w:snapToGrid w:val="0"/>
                <w:color w:val="auto"/>
                <w:kern w:val="0"/>
                <w:szCs w:val="21"/>
                <w:highlight w:val="none"/>
                <w:lang w:val="en-US" w:eastAsia="zh-CN"/>
              </w:rPr>
              <w:t>（2）</w:t>
            </w:r>
            <w:r>
              <w:rPr>
                <w:rFonts w:hint="eastAsia"/>
                <w:snapToGrid w:val="0"/>
                <w:color w:val="auto"/>
                <w:kern w:val="0"/>
                <w:szCs w:val="21"/>
                <w:highlight w:val="none"/>
              </w:rPr>
              <w:t>动物保护措施</w:t>
            </w:r>
          </w:p>
          <w:p w14:paraId="4D9B8138">
            <w:pPr>
              <w:spacing w:line="360" w:lineRule="auto"/>
              <w:ind w:firstLine="480" w:firstLineChars="200"/>
              <w:rPr>
                <w:rFonts w:hint="eastAsia"/>
                <w:snapToGrid w:val="0"/>
                <w:color w:val="auto"/>
                <w:kern w:val="0"/>
                <w:szCs w:val="21"/>
                <w:highlight w:val="none"/>
              </w:rPr>
            </w:pPr>
            <w:r>
              <w:rPr>
                <w:rFonts w:hint="eastAsia"/>
                <w:snapToGrid w:val="0"/>
                <w:color w:val="auto"/>
                <w:kern w:val="0"/>
                <w:szCs w:val="21"/>
                <w:highlight w:val="none"/>
                <w:lang w:val="en-US" w:eastAsia="zh-CN"/>
              </w:rPr>
              <w:t>1）</w:t>
            </w:r>
            <w:r>
              <w:rPr>
                <w:rFonts w:hint="eastAsia"/>
                <w:color w:val="auto"/>
                <w:highlight w:val="none"/>
                <w:lang w:val="en-US" w:eastAsia="zh-CN"/>
              </w:rPr>
              <w:t>保护野生动物生境多样性</w:t>
            </w:r>
          </w:p>
          <w:p w14:paraId="44F0CD9E">
            <w:pPr>
              <w:spacing w:line="360" w:lineRule="auto"/>
              <w:ind w:firstLine="480" w:firstLineChars="200"/>
              <w:rPr>
                <w:rFonts w:hint="eastAsia"/>
                <w:color w:val="auto"/>
                <w:szCs w:val="21"/>
                <w:highlight w:val="none"/>
              </w:rPr>
            </w:pPr>
            <w:r>
              <w:rPr>
                <w:rFonts w:hint="eastAsia"/>
                <w:color w:val="auto"/>
                <w:highlight w:val="none"/>
                <w:lang w:val="en-US" w:eastAsia="zh-CN"/>
              </w:rPr>
              <w:t>工程施工及施工后恢复期间，尽量保持施工现场的地形地貌，尤其要保持积水的坑、塘、沟及低洼湿地的原始状态，不应填平，以保护两栖类动物生存、繁殖的生境。</w:t>
            </w:r>
          </w:p>
          <w:p w14:paraId="588D32D1">
            <w:pPr>
              <w:spacing w:line="360" w:lineRule="auto"/>
              <w:ind w:firstLine="480" w:firstLineChars="200"/>
              <w:rPr>
                <w:rFonts w:hint="eastAsia"/>
                <w:color w:val="auto"/>
                <w:highlight w:val="none"/>
                <w:lang w:val="en-US" w:eastAsia="zh-CN"/>
              </w:rPr>
            </w:pPr>
            <w:r>
              <w:rPr>
                <w:rFonts w:hint="eastAsia"/>
                <w:snapToGrid w:val="0"/>
                <w:color w:val="auto"/>
                <w:kern w:val="0"/>
                <w:szCs w:val="21"/>
                <w:highlight w:val="none"/>
                <w:lang w:val="en-US" w:eastAsia="zh-CN"/>
              </w:rPr>
              <w:t>2）</w:t>
            </w:r>
            <w:r>
              <w:rPr>
                <w:rFonts w:hint="eastAsia"/>
                <w:color w:val="auto"/>
                <w:highlight w:val="none"/>
                <w:lang w:val="en-US" w:eastAsia="zh-CN"/>
              </w:rPr>
              <w:t>严禁非法捕猎</w:t>
            </w:r>
          </w:p>
          <w:p w14:paraId="5B412A77">
            <w:pPr>
              <w:spacing w:line="360" w:lineRule="auto"/>
              <w:ind w:firstLine="480" w:firstLineChars="200"/>
              <w:rPr>
                <w:rFonts w:hint="eastAsia"/>
                <w:color w:val="auto"/>
                <w:highlight w:val="none"/>
                <w:lang w:val="en-US" w:eastAsia="zh-CN"/>
              </w:rPr>
            </w:pPr>
            <w:r>
              <w:rPr>
                <w:rFonts w:hint="eastAsia"/>
                <w:color w:val="auto"/>
                <w:highlight w:val="none"/>
                <w:lang w:val="en-US" w:eastAsia="zh-CN"/>
              </w:rPr>
              <w:t>施工期间，施工人员的施工活动，将对野生动物造成影响。对施工人员进行动物保护相关法律法规宣传，遵守《中华人民共和国野生动物保护法》，增强动物保护意识，严禁捕捉野生动物，加大对乱捕滥杀野生动物和破坏其生境行为的惩治力度。</w:t>
            </w:r>
          </w:p>
          <w:p w14:paraId="36D1435E">
            <w:pPr>
              <w:spacing w:line="360" w:lineRule="auto"/>
              <w:ind w:firstLine="480" w:firstLineChars="200"/>
              <w:rPr>
                <w:rFonts w:hint="eastAsia"/>
                <w:color w:val="auto"/>
                <w:highlight w:val="none"/>
                <w:lang w:val="en-US" w:eastAsia="zh-CN"/>
              </w:rPr>
            </w:pPr>
            <w:r>
              <w:rPr>
                <w:rFonts w:hint="eastAsia"/>
                <w:snapToGrid w:val="0"/>
                <w:color w:val="auto"/>
                <w:kern w:val="0"/>
                <w:szCs w:val="21"/>
                <w:highlight w:val="none"/>
                <w:lang w:val="en-US" w:eastAsia="zh-CN"/>
              </w:rPr>
              <w:t>3）</w:t>
            </w:r>
            <w:r>
              <w:rPr>
                <w:rFonts w:hint="eastAsia"/>
                <w:color w:val="auto"/>
                <w:highlight w:val="none"/>
                <w:lang w:val="en-US" w:eastAsia="zh-CN"/>
              </w:rPr>
              <w:t>减少人为干扰</w:t>
            </w:r>
          </w:p>
          <w:p w14:paraId="33964A23">
            <w:pPr>
              <w:spacing w:line="360" w:lineRule="auto"/>
              <w:ind w:firstLine="480" w:firstLineChars="200"/>
              <w:rPr>
                <w:rFonts w:hint="eastAsia"/>
                <w:color w:val="auto"/>
                <w:szCs w:val="21"/>
                <w:highlight w:val="none"/>
              </w:rPr>
            </w:pPr>
            <w:r>
              <w:rPr>
                <w:rFonts w:hint="eastAsia"/>
                <w:color w:val="auto"/>
                <w:highlight w:val="none"/>
                <w:lang w:val="en-US" w:eastAsia="zh-CN"/>
              </w:rPr>
              <w:t>严格控制施工作业范围，施工结束后尽快进行植被恢复，以减轻施工过程对野生动物栖息觅食场所的影响和破坏。项目应合理安排施工进度，尽量缩短施工时间，各施工工序要连续进行，尽量避免在鸟类繁殖季节施工，以减少对营巢鸟类繁殖的影响。</w:t>
            </w:r>
          </w:p>
          <w:p w14:paraId="64A6DDC1">
            <w:pPr>
              <w:pStyle w:val="5"/>
              <w:spacing w:line="360" w:lineRule="auto"/>
              <w:ind w:left="0" w:leftChars="0" w:firstLine="480" w:firstLineChars="200"/>
              <w:rPr>
                <w:rFonts w:hint="eastAsia" w:cs="宋体"/>
                <w:bCs/>
                <w:color w:val="auto"/>
                <w:szCs w:val="21"/>
                <w:highlight w:val="none"/>
              </w:rPr>
            </w:pPr>
            <w:r>
              <w:rPr>
                <w:rFonts w:hint="eastAsia" w:cs="宋体"/>
                <w:bCs/>
                <w:color w:val="auto"/>
                <w:szCs w:val="21"/>
                <w:highlight w:val="none"/>
                <w:lang w:val="en-US" w:eastAsia="zh-CN"/>
              </w:rPr>
              <w:t>4）</w:t>
            </w:r>
            <w:r>
              <w:rPr>
                <w:rFonts w:hint="eastAsia"/>
                <w:color w:val="auto"/>
                <w:highlight w:val="none"/>
                <w:lang w:val="en-US" w:eastAsia="zh-CN"/>
              </w:rPr>
              <w:t>减少污染</w:t>
            </w:r>
          </w:p>
          <w:p w14:paraId="7833B97A">
            <w:pPr>
              <w:pStyle w:val="5"/>
              <w:spacing w:line="360" w:lineRule="auto"/>
              <w:ind w:left="0" w:leftChars="0" w:firstLine="480" w:firstLineChars="200"/>
              <w:rPr>
                <w:rFonts w:hint="eastAsia"/>
                <w:color w:val="auto"/>
                <w:highlight w:val="none"/>
                <w:lang w:val="en-US" w:eastAsia="zh-CN"/>
              </w:rPr>
            </w:pPr>
            <w:r>
              <w:rPr>
                <w:rFonts w:hint="eastAsia"/>
                <w:color w:val="auto"/>
                <w:highlight w:val="none"/>
                <w:lang w:val="en-US" w:eastAsia="zh-CN"/>
              </w:rPr>
              <w:t>施工期间保持生态环境清洁健康，有助于本地动物种群的恢复。环境污染很多时候是累积的效应，因此要治理污染，节能减排，防微杜渐地营造健康生境。</w:t>
            </w:r>
          </w:p>
          <w:p w14:paraId="011EC8D1">
            <w:pPr>
              <w:rPr>
                <w:rFonts w:hint="eastAsia"/>
                <w:color w:val="auto"/>
              </w:rPr>
            </w:pPr>
            <w:r>
              <w:rPr>
                <w:rFonts w:hint="eastAsia"/>
                <w:color w:val="auto"/>
                <w:highlight w:val="none"/>
                <w:lang w:val="en-US" w:eastAsia="zh-CN"/>
              </w:rPr>
              <w:t>5）合理安排施工时间</w:t>
            </w:r>
          </w:p>
          <w:p w14:paraId="4E80AADB">
            <w:pPr>
              <w:pStyle w:val="5"/>
              <w:spacing w:line="360" w:lineRule="auto"/>
              <w:ind w:left="0" w:leftChars="0" w:firstLine="480" w:firstLineChars="200"/>
              <w:rPr>
                <w:rFonts w:hint="eastAsia"/>
                <w:color w:val="auto"/>
                <w:highlight w:val="none"/>
                <w:lang w:val="en-US" w:eastAsia="zh-CN"/>
              </w:rPr>
            </w:pPr>
            <w:r>
              <w:rPr>
                <w:rFonts w:hint="eastAsia"/>
                <w:color w:val="auto"/>
                <w:highlight w:val="none"/>
                <w:lang w:val="en-US" w:eastAsia="zh-CN"/>
              </w:rPr>
              <w:t>合理安排施工工序、施工方式，严格按照施工规范进行操作，减少施工噪声、振动、灯光等对野生动物的惊扰，尤其注意避免灯光对夜间动物活动的惊扰。应尽量缩短在自然保护区和森林公园内施工的时间，采用先进的施工工艺和优良设备，充分考虑野生动物的生活习性，减少对动物活动的影响。自然保护区和森林公园内工程施工应尽量避开鸟类繁殖期，减少施工期施工噪声对自然保护区和森林公园内分布的重要野生动物的影响。</w:t>
            </w:r>
          </w:p>
          <w:p w14:paraId="1D979408">
            <w:pPr>
              <w:pStyle w:val="5"/>
              <w:spacing w:line="360" w:lineRule="auto"/>
              <w:ind w:left="0" w:leftChars="0" w:firstLine="480" w:firstLineChars="200"/>
              <w:rPr>
                <w:rFonts w:cs="宋体"/>
                <w:bCs/>
                <w:color w:val="auto"/>
                <w:szCs w:val="21"/>
                <w:highlight w:val="none"/>
              </w:rPr>
            </w:pPr>
            <w:r>
              <w:rPr>
                <w:rFonts w:hint="eastAsia" w:cs="宋体"/>
                <w:bCs/>
                <w:color w:val="auto"/>
                <w:szCs w:val="21"/>
                <w:highlight w:val="none"/>
                <w:lang w:val="en-US" w:eastAsia="zh-CN"/>
              </w:rPr>
              <w:t>（3）</w:t>
            </w:r>
            <w:r>
              <w:rPr>
                <w:rFonts w:hint="eastAsia" w:cs="宋体"/>
                <w:bCs/>
                <w:color w:val="auto"/>
                <w:szCs w:val="21"/>
                <w:highlight w:val="none"/>
              </w:rPr>
              <w:t>水土保持措施</w:t>
            </w:r>
          </w:p>
          <w:p w14:paraId="66284795">
            <w:pPr>
              <w:pStyle w:val="5"/>
              <w:spacing w:line="360" w:lineRule="auto"/>
              <w:ind w:left="0" w:leftChars="0" w:firstLine="480" w:firstLineChars="200"/>
              <w:rPr>
                <w:rFonts w:hint="eastAsia" w:cs="宋体"/>
                <w:bCs/>
                <w:color w:val="auto"/>
                <w:szCs w:val="21"/>
                <w:highlight w:val="none"/>
              </w:rPr>
            </w:pPr>
            <w:r>
              <w:rPr>
                <w:rFonts w:hint="eastAsia" w:cs="宋体"/>
                <w:bCs/>
                <w:color w:val="auto"/>
                <w:szCs w:val="21"/>
                <w:highlight w:val="none"/>
              </w:rPr>
              <w:t>做好公路沿线水土保持工作，减少水土流失，施工中合理安排工期，尽量避免和减少雨季进行路基开挖，减少土石方堆放量，严格按照设计和水保措施进行施工，施工中应完善边沟、排截水沟等排水工程，保持排水通畅，施工中若造成堵塞，应及时清除。</w:t>
            </w:r>
          </w:p>
          <w:p w14:paraId="32AC0784">
            <w:pPr>
              <w:pStyle w:val="5"/>
              <w:spacing w:line="360" w:lineRule="auto"/>
              <w:ind w:left="0" w:leftChars="0" w:firstLine="480" w:firstLineChars="200"/>
              <w:rPr>
                <w:rFonts w:hint="eastAsia" w:cs="宋体"/>
                <w:bCs/>
                <w:color w:val="auto"/>
                <w:szCs w:val="21"/>
                <w:highlight w:val="none"/>
              </w:rPr>
            </w:pPr>
            <w:r>
              <w:rPr>
                <w:rFonts w:hint="eastAsia" w:cs="宋体"/>
                <w:bCs/>
                <w:color w:val="auto"/>
                <w:szCs w:val="21"/>
                <w:highlight w:val="none"/>
                <w:lang w:eastAsia="zh-CN"/>
              </w:rPr>
              <w:t>（</w:t>
            </w:r>
            <w:r>
              <w:rPr>
                <w:rFonts w:hint="eastAsia" w:cs="宋体"/>
                <w:bCs/>
                <w:color w:val="auto"/>
                <w:szCs w:val="21"/>
                <w:highlight w:val="none"/>
                <w:lang w:val="en-US" w:eastAsia="zh-CN"/>
              </w:rPr>
              <w:t>4</w:t>
            </w:r>
            <w:r>
              <w:rPr>
                <w:rFonts w:hint="eastAsia" w:cs="宋体"/>
                <w:bCs/>
                <w:color w:val="auto"/>
                <w:szCs w:val="21"/>
                <w:highlight w:val="none"/>
              </w:rPr>
              <w:t>）景观影响保护措施</w:t>
            </w:r>
          </w:p>
          <w:p w14:paraId="0A9D960F">
            <w:pPr>
              <w:pStyle w:val="5"/>
              <w:spacing w:line="360" w:lineRule="auto"/>
              <w:ind w:left="0" w:leftChars="0" w:firstLine="480" w:firstLineChars="200"/>
              <w:rPr>
                <w:rFonts w:hint="eastAsia" w:cs="宋体"/>
                <w:bCs/>
                <w:color w:val="auto"/>
                <w:szCs w:val="21"/>
                <w:highlight w:val="none"/>
              </w:rPr>
            </w:pPr>
            <w:r>
              <w:rPr>
                <w:rFonts w:hint="eastAsia" w:cs="宋体"/>
                <w:bCs/>
                <w:color w:val="auto"/>
                <w:szCs w:val="21"/>
                <w:highlight w:val="none"/>
              </w:rPr>
              <w:t>保持施工场地干净、整洁，合理安排各种不同工序布局，保持</w:t>
            </w:r>
            <w:r>
              <w:rPr>
                <w:rFonts w:hint="eastAsia" w:cs="宋体"/>
                <w:bCs/>
                <w:color w:val="auto"/>
                <w:szCs w:val="21"/>
                <w:highlight w:val="none"/>
                <w:lang w:eastAsia="zh-CN"/>
              </w:rPr>
              <w:t>场地</w:t>
            </w:r>
            <w:r>
              <w:rPr>
                <w:rFonts w:hint="eastAsia" w:cs="宋体"/>
                <w:bCs/>
                <w:color w:val="auto"/>
                <w:szCs w:val="21"/>
                <w:highlight w:val="none"/>
              </w:rPr>
              <w:t>井然有序。</w:t>
            </w:r>
            <w:r>
              <w:rPr>
                <w:bCs/>
                <w:color w:val="auto"/>
                <w:szCs w:val="24"/>
                <w:highlight w:val="none"/>
              </w:rPr>
              <w:t>本次评价要求在边坡稳定的前提下，顺应地形，宜采用以植物措施为主的柔性边坡生态防护方案，避免对景观产生不利影响。</w:t>
            </w:r>
          </w:p>
          <w:p w14:paraId="5A35DF37">
            <w:pPr>
              <w:pStyle w:val="34"/>
              <w:ind w:firstLine="480"/>
              <w:rPr>
                <w:rFonts w:hint="eastAsia"/>
                <w:color w:val="auto"/>
                <w:highlight w:val="none"/>
                <w:lang w:val="en-US" w:eastAsia="zh-CN"/>
              </w:rPr>
            </w:pPr>
            <w:r>
              <w:rPr>
                <w:rFonts w:hint="eastAsia"/>
                <w:color w:val="auto"/>
                <w:highlight w:val="none"/>
                <w:lang w:val="en-US" w:eastAsia="zh-CN"/>
              </w:rPr>
              <w:t>（5）</w:t>
            </w:r>
            <w:r>
              <w:rPr>
                <w:rFonts w:hint="eastAsia"/>
                <w:color w:val="auto"/>
                <w:lang w:eastAsia="zh-CN"/>
              </w:rPr>
              <w:t>生态敏感区</w:t>
            </w:r>
            <w:r>
              <w:rPr>
                <w:rFonts w:hint="eastAsia"/>
                <w:color w:val="auto"/>
                <w:lang w:val="en-US" w:eastAsia="zh-CN"/>
              </w:rPr>
              <w:t>的减缓</w:t>
            </w:r>
            <w:r>
              <w:rPr>
                <w:rFonts w:hint="eastAsia"/>
                <w:color w:val="auto"/>
                <w:lang w:eastAsia="zh-CN"/>
              </w:rPr>
              <w:t>措施</w:t>
            </w:r>
          </w:p>
          <w:p w14:paraId="3E9C3A67">
            <w:pPr>
              <w:bidi w:val="0"/>
              <w:rPr>
                <w:rFonts w:hint="default"/>
                <w:color w:val="auto"/>
                <w:lang w:val="en-US" w:eastAsia="zh-CN"/>
              </w:rPr>
            </w:pPr>
            <w:r>
              <w:rPr>
                <w:rFonts w:hint="eastAsia"/>
                <w:color w:val="auto"/>
                <w:lang w:val="en-US" w:eastAsia="zh-CN"/>
              </w:rPr>
              <w:t>1、</w:t>
            </w:r>
            <w:r>
              <w:rPr>
                <w:rFonts w:hint="default"/>
                <w:color w:val="auto"/>
                <w:lang w:val="en-US" w:eastAsia="zh-CN"/>
              </w:rPr>
              <w:t>施工单位在不损害生态敏感区环境质量和生态功能的前提下，合理规划，明确合理的施工时间，确定合理的运输线路和施工场地，在指定的时间、地点以指定的生产方式进行工程建设，严格控制施工人员、施工机械、运输车辆的出入，减少对生态敏感区内景观及动植物的影响。</w:t>
            </w:r>
          </w:p>
          <w:p w14:paraId="0DFB033F">
            <w:pPr>
              <w:bidi w:val="0"/>
              <w:rPr>
                <w:rFonts w:hint="default"/>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严格控制施工占地，禁止在生态敏感区内设置弃土场、拌和站及施工驻地，禁止占用工程施工边界外的</w:t>
            </w:r>
            <w:r>
              <w:rPr>
                <w:rFonts w:hint="eastAsia"/>
                <w:color w:val="auto"/>
                <w:highlight w:val="none"/>
                <w:lang w:val="en-US" w:eastAsia="zh-CN"/>
              </w:rPr>
              <w:t>用</w:t>
            </w:r>
            <w:r>
              <w:rPr>
                <w:rFonts w:hint="default"/>
                <w:color w:val="auto"/>
                <w:highlight w:val="none"/>
                <w:lang w:val="en-US" w:eastAsia="zh-CN"/>
              </w:rPr>
              <w:t>地，减少施工对生态敏感区内自然景观的影响。</w:t>
            </w:r>
          </w:p>
          <w:p w14:paraId="512EAB08">
            <w:pPr>
              <w:bidi w:val="0"/>
              <w:rPr>
                <w:rFonts w:hint="default"/>
                <w:color w:val="auto"/>
                <w:lang w:val="en-US" w:eastAsia="zh-CN"/>
              </w:rPr>
            </w:pPr>
            <w:r>
              <w:rPr>
                <w:rFonts w:hint="eastAsia"/>
                <w:color w:val="auto"/>
                <w:lang w:val="en-US" w:eastAsia="zh-CN"/>
              </w:rPr>
              <w:t>3、在穿越生态敏感区路段施工前，应在工地设立宣传、警示牌，简要写明生态敏感区主要保护的内容、重点保护野生动物类别及习性、施工注意事项、偷捕盗猎处罚规定、野生动物救护和举报电话等。</w:t>
            </w:r>
            <w:r>
              <w:rPr>
                <w:rFonts w:hint="default"/>
                <w:color w:val="auto"/>
                <w:lang w:val="en-US" w:eastAsia="zh-CN"/>
              </w:rPr>
              <w:t>禁止运输车辆车辆鸣笛，减小车辆噪声对野生动物的影响。</w:t>
            </w:r>
          </w:p>
          <w:p w14:paraId="3E3122B5">
            <w:pPr>
              <w:bidi w:val="0"/>
              <w:rPr>
                <w:rFonts w:hint="default"/>
                <w:color w:val="auto"/>
                <w:lang w:val="en-US" w:eastAsia="zh-CN"/>
              </w:rPr>
            </w:pPr>
            <w:r>
              <w:rPr>
                <w:rFonts w:hint="eastAsia"/>
                <w:color w:val="auto"/>
                <w:lang w:val="en-US" w:eastAsia="zh-CN"/>
              </w:rPr>
              <w:t>4、</w:t>
            </w:r>
            <w:r>
              <w:rPr>
                <w:rFonts w:hint="default"/>
                <w:color w:val="auto"/>
                <w:lang w:val="en-US" w:eastAsia="zh-CN"/>
              </w:rPr>
              <w:t>加强对施工活动和人员的管理，认真贯彻</w:t>
            </w:r>
            <w:r>
              <w:rPr>
                <w:rFonts w:hint="eastAsia"/>
                <w:color w:val="auto"/>
                <w:lang w:val="en-US" w:eastAsia="zh-CN"/>
              </w:rPr>
              <w:t>自然保护区、</w:t>
            </w:r>
            <w:r>
              <w:rPr>
                <w:rFonts w:hint="default"/>
                <w:color w:val="auto"/>
                <w:lang w:val="en-US" w:eastAsia="zh-CN"/>
              </w:rPr>
              <w:t>森林公园</w:t>
            </w:r>
            <w:r>
              <w:rPr>
                <w:rFonts w:hint="eastAsia"/>
                <w:color w:val="auto"/>
                <w:lang w:val="en-US" w:eastAsia="zh-CN"/>
              </w:rPr>
              <w:t>、生态保护红线</w:t>
            </w:r>
            <w:r>
              <w:rPr>
                <w:rFonts w:hint="default"/>
                <w:color w:val="auto"/>
                <w:lang w:val="en-US" w:eastAsia="zh-CN"/>
              </w:rPr>
              <w:t>及野生动物保护方面的法律法规，提高施工人员的保护意识，严禁乱捕乱猎野生动物。施工场地内发现野生保护动物须及时上报，通知管理机构及时救护和处理。</w:t>
            </w:r>
          </w:p>
          <w:p w14:paraId="2F3C7D3F">
            <w:pPr>
              <w:bidi w:val="0"/>
              <w:rPr>
                <w:rFonts w:hint="default"/>
                <w:color w:val="auto"/>
                <w:lang w:val="en-US" w:eastAsia="zh-CN"/>
              </w:rPr>
            </w:pPr>
            <w:r>
              <w:rPr>
                <w:rFonts w:hint="eastAsia"/>
                <w:color w:val="auto"/>
                <w:lang w:val="en-US" w:eastAsia="zh-CN"/>
              </w:rPr>
              <w:t>5、加强敏感区段施工环境监理工作，监督生态保护措施的落实，解决施工过程中遇到的生态问题，</w:t>
            </w:r>
            <w:r>
              <w:rPr>
                <w:rFonts w:hint="default"/>
                <w:color w:val="auto"/>
                <w:lang w:val="en-US" w:eastAsia="zh-CN"/>
              </w:rPr>
              <w:t>禁止施工人员和施工机械、车辆超越施工边界施工，最大限度的减少对生态敏感区土地占用、植被破坏等一系列影响。</w:t>
            </w:r>
          </w:p>
          <w:p w14:paraId="6ED9AFA0">
            <w:pPr>
              <w:bidi w:val="0"/>
              <w:rPr>
                <w:rFonts w:hint="default"/>
                <w:color w:val="auto"/>
                <w:lang w:val="en-US" w:eastAsia="zh-CN"/>
              </w:rPr>
            </w:pPr>
            <w:r>
              <w:rPr>
                <w:rFonts w:hint="eastAsia"/>
                <w:color w:val="auto"/>
                <w:lang w:val="en-US" w:eastAsia="zh-CN"/>
              </w:rPr>
              <w:t>6、</w:t>
            </w:r>
            <w:r>
              <w:rPr>
                <w:rFonts w:hint="default"/>
                <w:color w:val="auto"/>
                <w:lang w:val="en-US" w:eastAsia="zh-CN"/>
              </w:rPr>
              <w:t>应尽量缩短在</w:t>
            </w:r>
            <w:r>
              <w:rPr>
                <w:rFonts w:hint="eastAsia"/>
                <w:color w:val="auto"/>
                <w:lang w:val="en-US" w:eastAsia="zh-CN"/>
              </w:rPr>
              <w:t>自然保护区和</w:t>
            </w:r>
            <w:r>
              <w:rPr>
                <w:rFonts w:hint="default"/>
                <w:color w:val="auto"/>
                <w:lang w:val="en-US" w:eastAsia="zh-CN"/>
              </w:rPr>
              <w:t>森林公园内施工的时间，采用先进的施工工艺和优良设备，充分考虑野生动物的生活习性，减少对动物活动的影响。</w:t>
            </w:r>
            <w:r>
              <w:rPr>
                <w:rFonts w:hint="eastAsia"/>
                <w:color w:val="auto"/>
                <w:highlight w:val="none"/>
                <w:lang w:val="en-US" w:eastAsia="zh-CN"/>
              </w:rPr>
              <w:t>自然保护区</w:t>
            </w:r>
            <w:r>
              <w:rPr>
                <w:rFonts w:hint="eastAsia"/>
                <w:color w:val="auto"/>
                <w:lang w:val="en-US" w:eastAsia="zh-CN"/>
              </w:rPr>
              <w:t>和</w:t>
            </w:r>
            <w:r>
              <w:rPr>
                <w:rFonts w:hint="default"/>
                <w:color w:val="auto"/>
                <w:lang w:val="en-US" w:eastAsia="zh-CN"/>
              </w:rPr>
              <w:t>森林公园内施工应尽量避开鸟类的繁殖期，避免对鸟类繁殖产生影响。</w:t>
            </w:r>
          </w:p>
          <w:p w14:paraId="68A4B805">
            <w:pPr>
              <w:bidi w:val="0"/>
              <w:rPr>
                <w:rFonts w:hint="default"/>
                <w:color w:val="auto"/>
                <w:lang w:val="en-US" w:eastAsia="zh-CN"/>
              </w:rPr>
            </w:pPr>
            <w:r>
              <w:rPr>
                <w:rFonts w:hint="eastAsia"/>
                <w:color w:val="auto"/>
                <w:lang w:val="en-US" w:eastAsia="zh-CN"/>
              </w:rPr>
              <w:t>7、</w:t>
            </w:r>
            <w:r>
              <w:rPr>
                <w:rFonts w:hint="default"/>
                <w:color w:val="auto"/>
                <w:lang w:val="en-US" w:eastAsia="zh-CN"/>
              </w:rPr>
              <w:t>严格限制高噪声、强振动设备和大功率远光灯具的使用，避免灯光、噪声对生态敏感区内分布的野生保护动物活动的惊扰。</w:t>
            </w:r>
          </w:p>
          <w:p w14:paraId="61B8E3B9">
            <w:pPr>
              <w:bidi w:val="0"/>
              <w:rPr>
                <w:rFonts w:hint="default"/>
                <w:color w:val="auto"/>
                <w:lang w:val="en-US" w:eastAsia="zh-CN"/>
              </w:rPr>
            </w:pPr>
            <w:r>
              <w:rPr>
                <w:rFonts w:hint="eastAsia"/>
                <w:color w:val="auto"/>
                <w:lang w:val="en-US" w:eastAsia="zh-CN"/>
              </w:rPr>
              <w:t>8、</w:t>
            </w:r>
            <w:r>
              <w:rPr>
                <w:rFonts w:hint="default"/>
                <w:color w:val="auto"/>
                <w:lang w:val="en-US" w:eastAsia="zh-CN"/>
              </w:rPr>
              <w:t>施工过程中，严格控制施工占用野生保护动物主要分布的林地生境区域，禁止施工人员随意出入非施工区域，禁止一切与施工无关的活动，尤其是要特别防止对野生保护动物的捕杀，减少施工活动对野生保护动物的影响。</w:t>
            </w:r>
          </w:p>
          <w:p w14:paraId="46AA2D6E">
            <w:pPr>
              <w:bidi w:val="0"/>
              <w:rPr>
                <w:rFonts w:hint="default"/>
                <w:color w:val="auto"/>
                <w:lang w:val="en-US" w:eastAsia="zh-CN"/>
              </w:rPr>
            </w:pPr>
            <w:r>
              <w:rPr>
                <w:rFonts w:hint="eastAsia"/>
                <w:color w:val="auto"/>
                <w:lang w:val="en-US" w:eastAsia="zh-CN"/>
              </w:rPr>
              <w:t>9、</w:t>
            </w:r>
            <w:r>
              <w:rPr>
                <w:rFonts w:hint="default"/>
                <w:color w:val="auto"/>
                <w:lang w:val="en-US" w:eastAsia="zh-CN"/>
              </w:rPr>
              <w:t>施工物料运输车辆需加盖</w:t>
            </w:r>
            <w:r>
              <w:rPr>
                <w:rFonts w:hint="eastAsia"/>
                <w:color w:val="auto"/>
                <w:lang w:val="en-US" w:eastAsia="zh-CN"/>
              </w:rPr>
              <w:t>篷布</w:t>
            </w:r>
            <w:r>
              <w:rPr>
                <w:rFonts w:hint="default"/>
                <w:color w:val="auto"/>
                <w:lang w:val="en-US" w:eastAsia="zh-CN"/>
              </w:rPr>
              <w:t>、控制车速，防止物料洒落和产生扬尘；卸车时应尽量减少落差，减少扬尘；采用洒水、抑尘剂等降尘措施降低施工扬尘。</w:t>
            </w:r>
          </w:p>
          <w:p w14:paraId="19C502EA">
            <w:pPr>
              <w:pStyle w:val="34"/>
              <w:ind w:firstLine="480"/>
              <w:rPr>
                <w:rFonts w:hint="default"/>
                <w:color w:val="auto"/>
                <w:highlight w:val="none"/>
              </w:rPr>
            </w:pPr>
            <w:r>
              <w:rPr>
                <w:rFonts w:hint="eastAsia"/>
                <w:color w:val="auto"/>
                <w:highlight w:val="none"/>
                <w:lang w:val="en-US" w:eastAsia="zh-CN"/>
              </w:rPr>
              <w:t>2</w:t>
            </w:r>
            <w:r>
              <w:rPr>
                <w:color w:val="auto"/>
                <w:highlight w:val="none"/>
              </w:rPr>
              <w:t>、噪声污染防治措施</w:t>
            </w:r>
          </w:p>
          <w:p w14:paraId="64C50DD1">
            <w:pPr>
              <w:pStyle w:val="34"/>
              <w:ind w:firstLine="480"/>
              <w:rPr>
                <w:color w:val="auto"/>
                <w:highlight w:val="none"/>
              </w:rPr>
            </w:pPr>
            <w:r>
              <w:rPr>
                <w:color w:val="auto"/>
                <w:highlight w:val="none"/>
              </w:rPr>
              <w:t>施工期噪声控制可从声源、传播途径、接收者防护以及控制施工时间等方面来考虑。</w:t>
            </w:r>
          </w:p>
          <w:p w14:paraId="56D04914">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rPr>
              <w:t>施工路段采取修建临时隔声挡板等相应的隔声降噪措施，隔声挡板高度不低于</w:t>
            </w:r>
            <w:r>
              <w:rPr>
                <w:rFonts w:hint="eastAsia"/>
                <w:color w:val="auto"/>
                <w:highlight w:val="none"/>
                <w:lang w:val="en-US" w:eastAsia="zh-CN"/>
              </w:rPr>
              <w:t>3.0</w:t>
            </w:r>
            <w:r>
              <w:rPr>
                <w:color w:val="auto"/>
                <w:highlight w:val="none"/>
              </w:rPr>
              <w:t>m；</w:t>
            </w:r>
            <w:r>
              <w:rPr>
                <w:rFonts w:hint="eastAsia"/>
                <w:color w:val="auto"/>
                <w:highlight w:val="none"/>
                <w:lang w:eastAsia="zh-CN"/>
              </w:rPr>
              <w:t>采用低噪声设备施工；</w:t>
            </w:r>
            <w:r>
              <w:rPr>
                <w:color w:val="auto"/>
                <w:highlight w:val="none"/>
              </w:rPr>
              <w:t>禁止在夜间（22</w:t>
            </w:r>
            <w:r>
              <w:rPr>
                <w:rFonts w:hint="eastAsia"/>
                <w:color w:val="auto"/>
                <w:highlight w:val="none"/>
                <w:lang w:eastAsia="zh-CN"/>
              </w:rPr>
              <w:t>:</w:t>
            </w:r>
            <w:r>
              <w:rPr>
                <w:color w:val="auto"/>
                <w:highlight w:val="none"/>
              </w:rPr>
              <w:t>00～次日6</w:t>
            </w:r>
            <w:r>
              <w:rPr>
                <w:rFonts w:hint="eastAsia"/>
                <w:color w:val="auto"/>
                <w:highlight w:val="none"/>
                <w:lang w:eastAsia="zh-CN"/>
              </w:rPr>
              <w:t>:</w:t>
            </w:r>
            <w:r>
              <w:rPr>
                <w:color w:val="auto"/>
                <w:highlight w:val="none"/>
              </w:rPr>
              <w:t>00）进行施工作业，但因抢修、抢险作业或生产工艺要求及其他特殊情况必须连续作业的除外；因生产工艺要求及其他特殊情况须在夜间进行施工作业的，应当事前取得建设行政主管部门的夜间施工意见书，取得夜间进行施工作业的证明，并提前公告附近的居民。</w:t>
            </w:r>
          </w:p>
          <w:p w14:paraId="7789F4F4">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采用低噪声设备，临时工程布设远离敏感点。对噪声较大的机械</w:t>
            </w:r>
            <w:r>
              <w:rPr>
                <w:rFonts w:hint="eastAsia"/>
                <w:color w:val="auto"/>
                <w:highlight w:val="none"/>
                <w:lang w:eastAsia="zh-CN"/>
              </w:rPr>
              <w:t>采取</w:t>
            </w:r>
            <w:r>
              <w:rPr>
                <w:rFonts w:hint="eastAsia"/>
                <w:color w:val="auto"/>
                <w:highlight w:val="none"/>
              </w:rPr>
              <w:t>移动式隔声屏等措施，并加强机械保养使其处于良好的运转状态，对产生强噪声的设备必须安排在白天使用。</w:t>
            </w:r>
          </w:p>
          <w:p w14:paraId="6CE4B2EB">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施工单位严格执行</w:t>
            </w:r>
            <w:r>
              <w:rPr>
                <w:rFonts w:hint="eastAsia"/>
                <w:color w:val="auto"/>
                <w:highlight w:val="none"/>
                <w:lang w:eastAsia="zh-CN"/>
              </w:rPr>
              <w:t>《建筑施工噪声排放标准》（GB 12523</w:t>
            </w:r>
            <w:r>
              <w:rPr>
                <w:rFonts w:hint="eastAsia" w:eastAsia="黑体" w:cs="Times New Roman"/>
                <w:color w:val="auto"/>
                <w:sz w:val="24"/>
                <w:szCs w:val="24"/>
                <w:highlight w:val="none"/>
                <w:lang w:val="en-US" w:eastAsia="zh-CN"/>
              </w:rPr>
              <w:t>—</w:t>
            </w:r>
            <w:r>
              <w:rPr>
                <w:rFonts w:hint="eastAsia"/>
                <w:color w:val="auto"/>
                <w:highlight w:val="none"/>
                <w:lang w:eastAsia="zh-CN"/>
              </w:rPr>
              <w:t>2025）</w:t>
            </w:r>
            <w:r>
              <w:rPr>
                <w:rFonts w:hint="eastAsia"/>
                <w:color w:val="auto"/>
                <w:highlight w:val="none"/>
              </w:rPr>
              <w:t>的规定，积极采取各种噪声控制措施如尽量采用低噪施工设备，部分高噪设备进行突击作业，优化施工时间并搭建隔音棚，合理疏导进入施工区的车辆，减少运输交通噪声等。</w:t>
            </w:r>
          </w:p>
          <w:p w14:paraId="426C4A64">
            <w:pPr>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eastAsia"/>
                <w:color w:val="auto"/>
                <w:highlight w:val="none"/>
              </w:rPr>
              <w:t>运输车辆在城镇内应减速慢行，禁止使用高音喇叭，并在运输时间上加以限制，早06</w:t>
            </w:r>
            <w:r>
              <w:rPr>
                <w:rFonts w:hint="eastAsia"/>
                <w:color w:val="auto"/>
                <w:highlight w:val="none"/>
                <w:lang w:eastAsia="zh-CN"/>
              </w:rPr>
              <w:t>:</w:t>
            </w:r>
            <w:r>
              <w:rPr>
                <w:rFonts w:hint="eastAsia"/>
                <w:color w:val="auto"/>
                <w:highlight w:val="none"/>
              </w:rPr>
              <w:t>00以前、晚21</w:t>
            </w:r>
            <w:r>
              <w:rPr>
                <w:rFonts w:hint="eastAsia"/>
                <w:color w:val="auto"/>
                <w:highlight w:val="none"/>
                <w:lang w:eastAsia="zh-CN"/>
              </w:rPr>
              <w:t>:</w:t>
            </w:r>
            <w:r>
              <w:rPr>
                <w:rFonts w:hint="eastAsia"/>
                <w:color w:val="auto"/>
                <w:highlight w:val="none"/>
              </w:rPr>
              <w:t>00以后应禁止施工运输。</w:t>
            </w:r>
          </w:p>
          <w:p w14:paraId="2C4BD921">
            <w:pPr>
              <w:spacing w:line="360" w:lineRule="auto"/>
              <w:ind w:firstLine="480" w:firstLineChars="200"/>
              <w:rPr>
                <w:color w:val="auto"/>
                <w:highlight w:val="none"/>
              </w:rPr>
            </w:pPr>
            <w:r>
              <w:rPr>
                <w:color w:val="auto"/>
                <w:highlight w:val="none"/>
              </w:rPr>
              <w:t>采取上述措施后，施工期间噪声能够满足</w:t>
            </w:r>
            <w:r>
              <w:rPr>
                <w:rFonts w:hint="eastAsia"/>
                <w:color w:val="auto"/>
                <w:highlight w:val="none"/>
                <w:lang w:eastAsia="zh-CN"/>
              </w:rPr>
              <w:t>《建筑施工噪声排放标准》（GB 12523</w:t>
            </w:r>
            <w:r>
              <w:rPr>
                <w:rFonts w:hint="eastAsia" w:eastAsia="黑体" w:cs="Times New Roman"/>
                <w:color w:val="auto"/>
                <w:sz w:val="24"/>
                <w:szCs w:val="24"/>
                <w:highlight w:val="none"/>
                <w:lang w:val="en-US" w:eastAsia="zh-CN"/>
              </w:rPr>
              <w:t>—</w:t>
            </w:r>
            <w:r>
              <w:rPr>
                <w:rFonts w:hint="eastAsia"/>
                <w:color w:val="auto"/>
                <w:highlight w:val="none"/>
                <w:lang w:eastAsia="zh-CN"/>
              </w:rPr>
              <w:t>2025）</w:t>
            </w:r>
            <w:r>
              <w:rPr>
                <w:color w:val="auto"/>
                <w:highlight w:val="none"/>
              </w:rPr>
              <w:t>有关规定。</w:t>
            </w:r>
          </w:p>
          <w:p w14:paraId="43C46DD6">
            <w:pPr>
              <w:spacing w:line="360" w:lineRule="auto"/>
              <w:ind w:firstLine="480" w:firstLineChars="200"/>
              <w:rPr>
                <w:rFonts w:cs="宋体"/>
                <w:bCs/>
                <w:color w:val="auto"/>
                <w:szCs w:val="21"/>
              </w:rPr>
            </w:pPr>
            <w:r>
              <w:rPr>
                <w:rFonts w:hint="eastAsia" w:cs="宋体"/>
                <w:bCs/>
                <w:color w:val="auto"/>
                <w:szCs w:val="21"/>
              </w:rPr>
              <w:t>3、大气污染防治措施</w:t>
            </w:r>
          </w:p>
          <w:p w14:paraId="65FD0CFF">
            <w:pPr>
              <w:ind w:firstLine="480"/>
              <w:rPr>
                <w:color w:val="auto"/>
              </w:rPr>
            </w:pPr>
            <w:r>
              <w:rPr>
                <w:color w:val="auto"/>
              </w:rPr>
              <w:t>（1）本项目</w:t>
            </w:r>
            <w:r>
              <w:rPr>
                <w:rFonts w:hint="eastAsia"/>
                <w:color w:val="auto"/>
                <w:lang w:eastAsia="zh-CN"/>
              </w:rPr>
              <w:t>拌和站</w:t>
            </w:r>
            <w:r>
              <w:rPr>
                <w:color w:val="auto"/>
              </w:rPr>
              <w:t>距居民区距离大于300m且位于施工期盛行风向的</w:t>
            </w:r>
            <w:r>
              <w:rPr>
                <w:rFonts w:hint="eastAsia"/>
                <w:color w:val="auto"/>
                <w:lang w:eastAsia="zh-CN"/>
              </w:rPr>
              <w:t>侧下</w:t>
            </w:r>
            <w:r>
              <w:rPr>
                <w:color w:val="auto"/>
              </w:rPr>
              <w:t>风向。</w:t>
            </w:r>
            <w:r>
              <w:rPr>
                <w:rFonts w:hint="eastAsia"/>
                <w:color w:val="auto"/>
                <w:lang w:eastAsia="zh-CN"/>
              </w:rPr>
              <w:t>拌和站</w:t>
            </w:r>
            <w:r>
              <w:rPr>
                <w:color w:val="auto"/>
              </w:rPr>
              <w:t>采用先进</w:t>
            </w:r>
            <w:r>
              <w:rPr>
                <w:rFonts w:hint="eastAsia"/>
                <w:color w:val="auto"/>
                <w:lang w:eastAsia="zh-CN"/>
              </w:rPr>
              <w:t>混凝土搅拌</w:t>
            </w:r>
            <w:r>
              <w:rPr>
                <w:color w:val="auto"/>
              </w:rPr>
              <w:t>设备、密闭设备等措施，并配备除尘器。</w:t>
            </w:r>
          </w:p>
          <w:p w14:paraId="7480BF4F">
            <w:pPr>
              <w:spacing w:line="360" w:lineRule="auto"/>
              <w:ind w:firstLine="480" w:firstLineChars="200"/>
              <w:rPr>
                <w:rFonts w:hint="eastAsia" w:cs="宋体"/>
                <w:bCs/>
                <w:color w:val="auto"/>
                <w:szCs w:val="21"/>
              </w:rPr>
            </w:pPr>
            <w:r>
              <w:rPr>
                <w:rFonts w:hint="eastAsia" w:cs="宋体"/>
                <w:bCs/>
                <w:color w:val="auto"/>
                <w:szCs w:val="21"/>
              </w:rPr>
              <w:t>（</w:t>
            </w:r>
            <w:r>
              <w:rPr>
                <w:rFonts w:hint="eastAsia" w:cs="宋体"/>
                <w:bCs/>
                <w:color w:val="auto"/>
                <w:szCs w:val="21"/>
                <w:lang w:val="en-US" w:eastAsia="zh-CN"/>
              </w:rPr>
              <w:t>2</w:t>
            </w:r>
            <w:r>
              <w:rPr>
                <w:rFonts w:hint="eastAsia" w:cs="宋体"/>
                <w:bCs/>
                <w:color w:val="auto"/>
                <w:szCs w:val="21"/>
              </w:rPr>
              <w:t>）途经</w:t>
            </w:r>
            <w:r>
              <w:rPr>
                <w:rFonts w:hint="eastAsia" w:cs="宋体"/>
                <w:bCs/>
                <w:color w:val="auto"/>
                <w:szCs w:val="21"/>
                <w:lang w:val="en-US" w:eastAsia="zh-CN"/>
              </w:rPr>
              <w:t>村屯</w:t>
            </w:r>
            <w:r>
              <w:rPr>
                <w:rFonts w:hint="eastAsia" w:cs="宋体"/>
                <w:bCs/>
                <w:color w:val="auto"/>
                <w:szCs w:val="21"/>
              </w:rPr>
              <w:t>路段设置隔尘挡板，高度3</w:t>
            </w:r>
            <w:r>
              <w:rPr>
                <w:rFonts w:hint="eastAsia" w:cs="宋体"/>
                <w:bCs/>
                <w:color w:val="auto"/>
                <w:szCs w:val="21"/>
                <w:lang w:val="en-US" w:eastAsia="zh-CN"/>
              </w:rPr>
              <w:t>.5</w:t>
            </w:r>
            <w:r>
              <w:rPr>
                <w:rFonts w:hint="eastAsia" w:cs="宋体"/>
                <w:bCs/>
                <w:color w:val="auto"/>
                <w:szCs w:val="21"/>
              </w:rPr>
              <w:t>m。并严禁在挡墙外堆放施工材料、建筑垃圾和渣土。</w:t>
            </w:r>
          </w:p>
          <w:p w14:paraId="4684327C">
            <w:pPr>
              <w:spacing w:line="360" w:lineRule="auto"/>
              <w:ind w:firstLine="480" w:firstLineChars="200"/>
              <w:rPr>
                <w:rFonts w:cs="宋体"/>
                <w:bCs/>
                <w:color w:val="auto"/>
                <w:szCs w:val="21"/>
              </w:rPr>
            </w:pPr>
            <w:r>
              <w:rPr>
                <w:rFonts w:hint="eastAsia" w:cs="宋体"/>
                <w:bCs/>
                <w:color w:val="auto"/>
                <w:szCs w:val="21"/>
              </w:rPr>
              <w:t>（</w:t>
            </w:r>
            <w:r>
              <w:rPr>
                <w:rFonts w:hint="eastAsia" w:cs="宋体"/>
                <w:bCs/>
                <w:color w:val="auto"/>
                <w:szCs w:val="21"/>
                <w:lang w:val="en-US" w:eastAsia="zh-CN"/>
              </w:rPr>
              <w:t>3</w:t>
            </w:r>
            <w:r>
              <w:rPr>
                <w:rFonts w:hint="eastAsia" w:cs="宋体"/>
                <w:bCs/>
                <w:color w:val="auto"/>
                <w:szCs w:val="21"/>
              </w:rPr>
              <w:t>）对施工场地、运输道路表面采取洒水等方法处理，在干旱大风天气应加强洒水，适当增加洒水次数。</w:t>
            </w:r>
            <w:r>
              <w:rPr>
                <w:rFonts w:hint="eastAsia"/>
                <w:color w:val="auto"/>
              </w:rPr>
              <w:t>场内设专人负责保洁工作，配备相应的洒水设备，及时洒水清扫以减少扬尘污染。</w:t>
            </w:r>
          </w:p>
          <w:p w14:paraId="0FD544B6">
            <w:pPr>
              <w:spacing w:line="360" w:lineRule="auto"/>
              <w:ind w:firstLine="480" w:firstLineChars="200"/>
              <w:rPr>
                <w:rFonts w:cs="宋体"/>
                <w:bCs/>
                <w:color w:val="auto"/>
                <w:szCs w:val="21"/>
              </w:rPr>
            </w:pPr>
            <w:r>
              <w:rPr>
                <w:rFonts w:hint="eastAsia" w:cs="宋体"/>
                <w:bCs/>
                <w:color w:val="auto"/>
                <w:szCs w:val="21"/>
              </w:rPr>
              <w:t>（</w:t>
            </w:r>
            <w:r>
              <w:rPr>
                <w:rFonts w:hint="eastAsia" w:cs="宋体"/>
                <w:bCs/>
                <w:color w:val="auto"/>
                <w:szCs w:val="21"/>
                <w:lang w:val="en-US" w:eastAsia="zh-CN"/>
              </w:rPr>
              <w:t>4</w:t>
            </w:r>
            <w:r>
              <w:rPr>
                <w:rFonts w:hint="eastAsia" w:cs="宋体"/>
                <w:bCs/>
                <w:color w:val="auto"/>
                <w:szCs w:val="21"/>
              </w:rPr>
              <w:t>）施工避开大风季节，施工单位对施工材料存放应做好防护工作，通过洒水、篷布遮挡等措施防止扬尘产生，降低对周围环境空气的影响。</w:t>
            </w:r>
          </w:p>
          <w:p w14:paraId="07C553CE">
            <w:pPr>
              <w:spacing w:line="360" w:lineRule="auto"/>
              <w:ind w:firstLine="480" w:firstLineChars="200"/>
              <w:rPr>
                <w:rFonts w:hint="eastAsia" w:cs="宋体"/>
                <w:bCs/>
                <w:color w:val="auto"/>
                <w:szCs w:val="21"/>
              </w:rPr>
            </w:pPr>
            <w:r>
              <w:rPr>
                <w:rFonts w:hint="eastAsia" w:cs="宋体"/>
                <w:bCs/>
                <w:color w:val="auto"/>
                <w:szCs w:val="21"/>
              </w:rPr>
              <w:t>（</w:t>
            </w:r>
            <w:r>
              <w:rPr>
                <w:rFonts w:hint="eastAsia" w:cs="宋体"/>
                <w:bCs/>
                <w:color w:val="auto"/>
                <w:szCs w:val="21"/>
                <w:lang w:val="en-US" w:eastAsia="zh-CN"/>
              </w:rPr>
              <w:t>5</w:t>
            </w:r>
            <w:r>
              <w:rPr>
                <w:rFonts w:hint="eastAsia" w:cs="宋体"/>
                <w:bCs/>
                <w:color w:val="auto"/>
                <w:szCs w:val="21"/>
              </w:rPr>
              <w:t>）砂土等散体物质运输车辆必须严加管理，运输车辆采取用篷布盖严或加水防护措施，施工结束后，上述影响将随之消失。</w:t>
            </w:r>
          </w:p>
          <w:p w14:paraId="77475CDE">
            <w:pPr>
              <w:spacing w:line="360" w:lineRule="auto"/>
              <w:ind w:firstLine="480" w:firstLineChars="200"/>
              <w:rPr>
                <w:rFonts w:cs="宋体"/>
                <w:bCs/>
                <w:color w:val="auto"/>
                <w:szCs w:val="21"/>
              </w:rPr>
            </w:pPr>
            <w:r>
              <w:rPr>
                <w:rFonts w:hint="eastAsia" w:cs="宋体"/>
                <w:bCs/>
                <w:color w:val="auto"/>
                <w:szCs w:val="21"/>
              </w:rPr>
              <w:t>（</w:t>
            </w:r>
            <w:r>
              <w:rPr>
                <w:rFonts w:hint="eastAsia" w:cs="宋体"/>
                <w:bCs/>
                <w:color w:val="auto"/>
                <w:szCs w:val="21"/>
                <w:lang w:val="en-US" w:eastAsia="zh-CN"/>
              </w:rPr>
              <w:t>6</w:t>
            </w:r>
            <w:r>
              <w:rPr>
                <w:rFonts w:hint="eastAsia" w:cs="宋体"/>
                <w:bCs/>
                <w:color w:val="auto"/>
                <w:szCs w:val="21"/>
              </w:rPr>
              <w:t>）</w:t>
            </w:r>
            <w:r>
              <w:rPr>
                <w:rFonts w:cs="宋体"/>
                <w:bCs/>
                <w:color w:val="auto"/>
                <w:szCs w:val="21"/>
              </w:rPr>
              <w:t>施工产生的建筑垃圾、渣土应当及时清运，不能及时清运的，应当在施工场地内设置临时性密闭堆放设施进行存放或采取其他有效防尘措施。</w:t>
            </w:r>
          </w:p>
          <w:p w14:paraId="5E3D616B">
            <w:pPr>
              <w:spacing w:line="360" w:lineRule="auto"/>
              <w:ind w:firstLine="480" w:firstLineChars="200"/>
              <w:rPr>
                <w:rFonts w:hint="eastAsia" w:cs="宋体"/>
                <w:bCs/>
                <w:color w:val="auto"/>
                <w:szCs w:val="21"/>
              </w:rPr>
            </w:pPr>
            <w:r>
              <w:rPr>
                <w:rFonts w:hint="eastAsia" w:cs="宋体"/>
                <w:bCs/>
                <w:color w:val="auto"/>
                <w:szCs w:val="21"/>
              </w:rPr>
              <w:t>（</w:t>
            </w:r>
            <w:r>
              <w:rPr>
                <w:rFonts w:hint="eastAsia" w:cs="宋体"/>
                <w:bCs/>
                <w:color w:val="auto"/>
                <w:szCs w:val="21"/>
                <w:lang w:val="en-US" w:eastAsia="zh-CN"/>
              </w:rPr>
              <w:t>7</w:t>
            </w:r>
            <w:r>
              <w:rPr>
                <w:rFonts w:hint="eastAsia" w:cs="宋体"/>
                <w:bCs/>
                <w:color w:val="auto"/>
                <w:szCs w:val="21"/>
              </w:rPr>
              <w:t>）</w:t>
            </w:r>
            <w:r>
              <w:rPr>
                <w:rFonts w:hint="eastAsia"/>
                <w:color w:val="auto"/>
              </w:rPr>
              <w:t>加强施工期环境管理，强化施工人员的环保意识，严格执行沿线地方政府和有关部门颁布的有关环境保护及施工建设方面的有关规定。</w:t>
            </w:r>
          </w:p>
          <w:p w14:paraId="50426CAC">
            <w:pPr>
              <w:spacing w:line="360" w:lineRule="auto"/>
              <w:ind w:firstLine="480" w:firstLineChars="200"/>
              <w:rPr>
                <w:rFonts w:cs="宋体"/>
                <w:bCs/>
                <w:color w:val="auto"/>
                <w:szCs w:val="21"/>
              </w:rPr>
            </w:pPr>
            <w:r>
              <w:rPr>
                <w:rFonts w:hint="eastAsia" w:cs="宋体"/>
                <w:bCs/>
                <w:color w:val="auto"/>
                <w:szCs w:val="21"/>
              </w:rPr>
              <w:t>采取上述措施后，施工场界处扬尘满足《大气污染物综合排放标准》（GB16297</w:t>
            </w:r>
            <w:r>
              <w:rPr>
                <w:rFonts w:hint="eastAsia" w:eastAsia="黑体" w:cs="Times New Roman"/>
                <w:color w:val="auto"/>
                <w:sz w:val="24"/>
                <w:szCs w:val="24"/>
                <w:highlight w:val="none"/>
                <w:lang w:val="en-US" w:eastAsia="zh-CN"/>
              </w:rPr>
              <w:t>—</w:t>
            </w:r>
            <w:r>
              <w:rPr>
                <w:rFonts w:hint="eastAsia" w:cs="宋体"/>
                <w:bCs/>
                <w:color w:val="auto"/>
                <w:szCs w:val="21"/>
              </w:rPr>
              <w:t>1996）规定的颗粒物无组织排放监控浓度1.0mg/m</w:t>
            </w:r>
            <w:r>
              <w:rPr>
                <w:rFonts w:hint="eastAsia" w:cs="宋体"/>
                <w:bCs/>
                <w:color w:val="auto"/>
                <w:szCs w:val="21"/>
                <w:vertAlign w:val="superscript"/>
              </w:rPr>
              <w:t>3</w:t>
            </w:r>
            <w:r>
              <w:rPr>
                <w:rFonts w:hint="eastAsia" w:cs="宋体"/>
                <w:bCs/>
                <w:color w:val="auto"/>
                <w:szCs w:val="21"/>
              </w:rPr>
              <w:t>要求。</w:t>
            </w:r>
          </w:p>
          <w:p w14:paraId="13CC1946">
            <w:pPr>
              <w:spacing w:line="360" w:lineRule="auto"/>
              <w:ind w:firstLine="480" w:firstLineChars="200"/>
              <w:rPr>
                <w:rFonts w:cs="宋体"/>
                <w:bCs/>
                <w:color w:val="auto"/>
                <w:szCs w:val="21"/>
              </w:rPr>
            </w:pPr>
            <w:r>
              <w:rPr>
                <w:rFonts w:cs="宋体"/>
                <w:bCs/>
                <w:color w:val="auto"/>
                <w:szCs w:val="21"/>
              </w:rPr>
              <w:t>4</w:t>
            </w:r>
            <w:r>
              <w:rPr>
                <w:rFonts w:hint="eastAsia" w:cs="宋体"/>
                <w:bCs/>
                <w:color w:val="auto"/>
                <w:szCs w:val="21"/>
              </w:rPr>
              <w:t>、水污染防治措施</w:t>
            </w:r>
          </w:p>
          <w:p w14:paraId="0D05BD8B">
            <w:pPr>
              <w:spacing w:line="360" w:lineRule="auto"/>
              <w:ind w:firstLine="480" w:firstLineChars="200"/>
              <w:rPr>
                <w:rFonts w:hint="eastAsia" w:ascii="Times New Roman" w:hAnsi="Times New Roman" w:eastAsia="宋体" w:cs="Times New Roman"/>
                <w:color w:val="auto"/>
                <w:kern w:val="2"/>
                <w:sz w:val="24"/>
                <w:szCs w:val="21"/>
                <w:lang w:val="en-US" w:eastAsia="zh-CN" w:bidi="ar-SA"/>
              </w:rPr>
            </w:pPr>
            <w:r>
              <w:rPr>
                <w:rFonts w:hint="eastAsia" w:cs="Times New Roman"/>
                <w:color w:val="auto"/>
                <w:kern w:val="2"/>
                <w:sz w:val="24"/>
                <w:szCs w:val="21"/>
                <w:lang w:val="en-US" w:eastAsia="zh-CN" w:bidi="ar-SA"/>
              </w:rPr>
              <w:t>（1）生活污水</w:t>
            </w:r>
          </w:p>
          <w:p w14:paraId="11D8D742">
            <w:pPr>
              <w:spacing w:line="360" w:lineRule="auto"/>
              <w:ind w:firstLine="480" w:firstLineChars="200"/>
              <w:rPr>
                <w:rFonts w:hint="eastAsia" w:ascii="Times New Roman" w:hAnsi="Times New Roman" w:eastAsia="宋体" w:cs="Times New Roman"/>
                <w:color w:val="auto"/>
                <w:kern w:val="2"/>
                <w:sz w:val="24"/>
                <w:szCs w:val="21"/>
                <w:lang w:val="en-US" w:eastAsia="zh-CN" w:bidi="ar-SA"/>
              </w:rPr>
            </w:pPr>
            <w:r>
              <w:rPr>
                <w:rFonts w:hint="eastAsia" w:ascii="Times New Roman" w:hAnsi="Times New Roman" w:eastAsia="宋体" w:cs="Times New Roman"/>
                <w:color w:val="auto"/>
                <w:kern w:val="2"/>
                <w:sz w:val="24"/>
                <w:szCs w:val="21"/>
                <w:lang w:val="en-US" w:eastAsia="zh-CN" w:bidi="ar-SA"/>
              </w:rPr>
              <w:t>本工程不设置施工驻地，施工人员食宿租赁附近民宅，生活污水依托当地处置设施。</w:t>
            </w:r>
          </w:p>
          <w:p w14:paraId="6A4BC1F3">
            <w:pPr>
              <w:pStyle w:val="34"/>
              <w:ind w:firstLine="480"/>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rPr>
              <w:t>施工废水</w:t>
            </w:r>
          </w:p>
          <w:p w14:paraId="3971BD42">
            <w:pPr>
              <w:pStyle w:val="34"/>
              <w:ind w:firstLine="480"/>
              <w:rPr>
                <w:rFonts w:hint="eastAsia" w:ascii="Times New Roman" w:hAnsi="Times New Roman" w:eastAsia="宋体" w:cs="Times New Roman"/>
                <w:color w:val="auto"/>
                <w:kern w:val="2"/>
                <w:sz w:val="24"/>
                <w:szCs w:val="21"/>
                <w:lang w:val="en-US" w:eastAsia="zh-CN" w:bidi="ar-SA"/>
              </w:rPr>
            </w:pPr>
            <w:r>
              <w:rPr>
                <w:color w:val="auto"/>
              </w:rPr>
              <w:t>施工生产废水主要为混凝土拌</w:t>
            </w:r>
            <w:r>
              <w:rPr>
                <w:rFonts w:hint="eastAsia"/>
                <w:color w:val="auto"/>
                <w:lang w:eastAsia="zh-CN"/>
              </w:rPr>
              <w:t>和</w:t>
            </w:r>
            <w:r>
              <w:rPr>
                <w:color w:val="auto"/>
              </w:rPr>
              <w:t>等产生的施工废水、施工机械和车辆冲洗废水。混凝土养护和拌和等产生的施工废水经设置的临时沉淀池沉淀处理后，回用于生产或用于施工场地洒水降尘，不外排。施工场地施工机械和车辆清洗废水经施工场地内设置的临时隔油沉淀池集中处理后，回用于生产或用于施工场地洒水降尘，不外排。</w:t>
            </w:r>
          </w:p>
          <w:p w14:paraId="37150BB0">
            <w:pPr>
              <w:pStyle w:val="5"/>
              <w:spacing w:line="360" w:lineRule="auto"/>
              <w:ind w:left="0" w:leftChars="0" w:firstLine="480" w:firstLineChars="200"/>
              <w:rPr>
                <w:color w:val="auto"/>
                <w:szCs w:val="21"/>
              </w:rPr>
            </w:pPr>
            <w:r>
              <w:rPr>
                <w:rFonts w:hint="eastAsia"/>
                <w:color w:val="auto"/>
                <w:szCs w:val="21"/>
              </w:rPr>
              <w:t>5、</w:t>
            </w:r>
            <w:r>
              <w:rPr>
                <w:color w:val="auto"/>
                <w:szCs w:val="21"/>
              </w:rPr>
              <w:t>固体废物污染防治措施</w:t>
            </w:r>
          </w:p>
          <w:p w14:paraId="73644546">
            <w:pPr>
              <w:spacing w:line="360" w:lineRule="auto"/>
              <w:ind w:firstLine="480" w:firstLineChars="200"/>
              <w:rPr>
                <w:color w:val="auto"/>
                <w:szCs w:val="21"/>
              </w:rPr>
            </w:pPr>
            <w:r>
              <w:rPr>
                <w:rFonts w:hint="eastAsia"/>
                <w:color w:val="auto"/>
                <w:szCs w:val="21"/>
              </w:rPr>
              <w:t>（1）</w:t>
            </w:r>
            <w:r>
              <w:rPr>
                <w:color w:val="auto"/>
                <w:szCs w:val="21"/>
              </w:rPr>
              <w:t>生活垃圾</w:t>
            </w:r>
          </w:p>
          <w:p w14:paraId="7F66D266">
            <w:pPr>
              <w:pStyle w:val="5"/>
              <w:spacing w:line="360" w:lineRule="auto"/>
              <w:ind w:left="0" w:leftChars="0" w:firstLine="480" w:firstLineChars="200"/>
              <w:rPr>
                <w:rFonts w:hint="eastAsia" w:eastAsia="宋体"/>
                <w:color w:val="auto"/>
                <w:szCs w:val="21"/>
              </w:rPr>
            </w:pPr>
            <w:r>
              <w:rPr>
                <w:rFonts w:hint="eastAsia" w:eastAsia="宋体"/>
                <w:color w:val="auto"/>
                <w:szCs w:val="21"/>
              </w:rPr>
              <w:t>本工程不设置施工驻地，施工人员食宿租赁附近民宅</w:t>
            </w:r>
            <w:r>
              <w:rPr>
                <w:rFonts w:hint="eastAsia" w:eastAsia="宋体"/>
                <w:color w:val="auto"/>
                <w:szCs w:val="21"/>
                <w:lang w:eastAsia="zh-CN"/>
              </w:rPr>
              <w:t>，生活垃圾依托当地收集和转运设施。</w:t>
            </w:r>
          </w:p>
          <w:p w14:paraId="083B038D">
            <w:pPr>
              <w:spacing w:line="360" w:lineRule="auto"/>
              <w:ind w:firstLine="480" w:firstLineChars="200"/>
              <w:rPr>
                <w:color w:val="auto"/>
                <w:szCs w:val="21"/>
              </w:rPr>
            </w:pPr>
            <w:r>
              <w:rPr>
                <w:rFonts w:hint="eastAsia"/>
                <w:color w:val="auto"/>
                <w:szCs w:val="21"/>
              </w:rPr>
              <w:t>（2）</w:t>
            </w:r>
            <w:r>
              <w:rPr>
                <w:color w:val="auto"/>
                <w:szCs w:val="21"/>
              </w:rPr>
              <w:t>施工弃渣</w:t>
            </w:r>
          </w:p>
          <w:p w14:paraId="2AD821AE">
            <w:pPr>
              <w:spacing w:line="360" w:lineRule="auto"/>
              <w:ind w:firstLine="480" w:firstLineChars="200"/>
              <w:rPr>
                <w:rFonts w:hint="eastAsia"/>
                <w:color w:val="auto"/>
                <w:sz w:val="24"/>
                <w:szCs w:val="21"/>
                <w:highlight w:val="none"/>
                <w:lang w:eastAsia="zh-CN"/>
              </w:rPr>
            </w:pPr>
            <w:r>
              <w:rPr>
                <w:rFonts w:ascii="Times New Roman" w:hAnsi="Times New Roman"/>
                <w:color w:val="auto"/>
                <w:sz w:val="24"/>
                <w:szCs w:val="21"/>
                <w:highlight w:val="none"/>
              </w:rPr>
              <w:t>本</w:t>
            </w:r>
            <w:r>
              <w:rPr>
                <w:rFonts w:hint="eastAsia" w:ascii="Times New Roman" w:hAnsi="Times New Roman"/>
                <w:color w:val="auto"/>
                <w:sz w:val="24"/>
                <w:szCs w:val="21"/>
                <w:highlight w:val="none"/>
              </w:rPr>
              <w:t>项目</w:t>
            </w:r>
            <w:r>
              <w:rPr>
                <w:rFonts w:hint="eastAsia"/>
                <w:color w:val="auto"/>
                <w:sz w:val="24"/>
                <w:szCs w:val="21"/>
                <w:highlight w:val="none"/>
                <w:lang w:eastAsia="zh-CN"/>
              </w:rPr>
              <w:t>全线挖方全部纵向利用于路基填筑，全线无弃土。</w:t>
            </w:r>
          </w:p>
          <w:p w14:paraId="33AE9620">
            <w:pPr>
              <w:spacing w:line="360" w:lineRule="auto"/>
              <w:ind w:firstLine="480" w:firstLineChars="200"/>
              <w:rPr>
                <w:rFonts w:hint="eastAsia"/>
                <w:color w:val="auto"/>
              </w:rPr>
            </w:pPr>
            <w:r>
              <w:rPr>
                <w:rFonts w:hint="eastAsia"/>
                <w:color w:val="auto"/>
              </w:rPr>
              <w:t>6、风险防范措施</w:t>
            </w:r>
          </w:p>
          <w:p w14:paraId="272E2EC2">
            <w:pPr>
              <w:pStyle w:val="5"/>
              <w:spacing w:line="360" w:lineRule="auto"/>
              <w:ind w:left="0" w:leftChars="0" w:firstLine="480" w:firstLineChars="200"/>
              <w:rPr>
                <w:rFonts w:hint="eastAsia"/>
                <w:color w:val="auto"/>
              </w:rPr>
            </w:pPr>
            <w:r>
              <w:rPr>
                <w:rFonts w:hint="eastAsia"/>
                <w:color w:val="auto"/>
              </w:rPr>
              <w:t>（1）</w:t>
            </w:r>
            <w:r>
              <w:rPr>
                <w:color w:val="auto"/>
              </w:rPr>
              <w:t>施工</w:t>
            </w:r>
            <w:r>
              <w:rPr>
                <w:rFonts w:hint="eastAsia"/>
                <w:color w:val="auto"/>
                <w:lang w:eastAsia="zh-CN"/>
              </w:rPr>
              <w:t>期间</w:t>
            </w:r>
            <w:r>
              <w:rPr>
                <w:color w:val="auto"/>
              </w:rPr>
              <w:t>将在施工区内建立防火及火灾警报系统，严格执行野外用火</w:t>
            </w:r>
            <w:r>
              <w:rPr>
                <w:rFonts w:hint="eastAsia"/>
                <w:color w:val="auto"/>
              </w:rPr>
              <w:t>。</w:t>
            </w:r>
          </w:p>
          <w:p w14:paraId="702C49E2">
            <w:pPr>
              <w:pStyle w:val="5"/>
              <w:spacing w:line="360" w:lineRule="auto"/>
              <w:ind w:left="0" w:leftChars="0" w:firstLine="480" w:firstLineChars="200"/>
              <w:rPr>
                <w:color w:val="auto"/>
              </w:rPr>
            </w:pPr>
            <w:r>
              <w:rPr>
                <w:rFonts w:hint="eastAsia"/>
                <w:color w:val="auto"/>
              </w:rPr>
              <w:t>（2）</w:t>
            </w:r>
            <w:r>
              <w:rPr>
                <w:color w:val="auto"/>
              </w:rPr>
              <w:t>对施工人员进行防火宣传教育，并严格规范和限制施工人员的野外活动，严禁施工人员私自野外用火，</w:t>
            </w:r>
            <w:r>
              <w:rPr>
                <w:rFonts w:hint="eastAsia"/>
                <w:color w:val="auto"/>
              </w:rPr>
              <w:t>做好</w:t>
            </w:r>
            <w:r>
              <w:rPr>
                <w:color w:val="auto"/>
              </w:rPr>
              <w:t>吸烟和生活用火等火源管理，严格控制易燃易爆器材的使用</w:t>
            </w:r>
            <w:r>
              <w:rPr>
                <w:rFonts w:hint="eastAsia"/>
                <w:color w:val="auto"/>
              </w:rPr>
              <w:t>。</w:t>
            </w:r>
          </w:p>
          <w:p w14:paraId="1D0F99AE">
            <w:pPr>
              <w:pStyle w:val="34"/>
              <w:ind w:firstLine="480"/>
              <w:rPr>
                <w:rFonts w:hint="eastAsia" w:eastAsia="宋体"/>
                <w:color w:val="auto"/>
                <w:highlight w:val="none"/>
                <w:lang w:eastAsia="zh-CN"/>
              </w:rPr>
            </w:pPr>
            <w:r>
              <w:rPr>
                <w:rFonts w:hint="eastAsia"/>
                <w:color w:val="auto"/>
              </w:rPr>
              <w:t>（3）</w:t>
            </w:r>
            <w:r>
              <w:rPr>
                <w:color w:val="auto"/>
              </w:rPr>
              <w:t>应制定风险事故应急预案，以便事故发生时，通过事故鉴别，能及时分别采取针对性措施，控制事故的进一步发展，把事故造成的破坏降至最低程度</w:t>
            </w:r>
            <w:r>
              <w:rPr>
                <w:rFonts w:hint="eastAsia"/>
                <w:color w:val="auto"/>
              </w:rPr>
              <w:t>，并</w:t>
            </w:r>
            <w:r>
              <w:rPr>
                <w:color w:val="auto"/>
              </w:rPr>
              <w:t>建立必要的应急联动机制</w:t>
            </w:r>
            <w:r>
              <w:rPr>
                <w:rFonts w:hint="eastAsia"/>
                <w:color w:val="auto"/>
              </w:rPr>
              <w:t>，加强区域联动。</w:t>
            </w:r>
          </w:p>
        </w:tc>
      </w:tr>
      <w:tr w14:paraId="708CC3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40" w:type="pct"/>
            <w:noWrap w:val="0"/>
            <w:tcMar>
              <w:left w:w="28" w:type="dxa"/>
              <w:right w:w="28" w:type="dxa"/>
            </w:tcMar>
            <w:vAlign w:val="center"/>
          </w:tcPr>
          <w:p w14:paraId="7FD664E1">
            <w:pPr>
              <w:pStyle w:val="38"/>
              <w:rPr>
                <w:color w:val="auto"/>
                <w:highlight w:val="none"/>
              </w:rPr>
            </w:pPr>
            <w:r>
              <w:rPr>
                <w:color w:val="auto"/>
                <w:highlight w:val="none"/>
              </w:rPr>
              <w:t>运营期生态环境保护措施</w:t>
            </w:r>
          </w:p>
        </w:tc>
        <w:tc>
          <w:tcPr>
            <w:tcW w:w="4359" w:type="pct"/>
            <w:noWrap w:val="0"/>
            <w:vAlign w:val="top"/>
          </w:tcPr>
          <w:p w14:paraId="56853175">
            <w:pPr>
              <w:pStyle w:val="34"/>
              <w:ind w:firstLine="480"/>
              <w:rPr>
                <w:color w:val="auto"/>
                <w:highlight w:val="none"/>
              </w:rPr>
            </w:pPr>
            <w:r>
              <w:rPr>
                <w:color w:val="auto"/>
                <w:highlight w:val="none"/>
              </w:rPr>
              <w:t>1、生态保护措施</w:t>
            </w:r>
          </w:p>
          <w:p w14:paraId="24C77A0F">
            <w:pPr>
              <w:ind w:firstLine="480"/>
              <w:rPr>
                <w:rFonts w:hint="eastAsia"/>
                <w:color w:val="auto"/>
                <w:highlight w:val="none"/>
              </w:rPr>
            </w:pPr>
            <w:r>
              <w:rPr>
                <w:rFonts w:hint="eastAsia"/>
                <w:color w:val="auto"/>
                <w:highlight w:val="none"/>
              </w:rPr>
              <w:t>（1）</w:t>
            </w:r>
            <w:r>
              <w:rPr>
                <w:rFonts w:hint="eastAsia"/>
                <w:color w:val="auto"/>
                <w:highlight w:val="none"/>
                <w:lang w:val="en-US" w:eastAsia="zh-CN"/>
              </w:rPr>
              <w:t>工程完工后尽快对公路两侧进行合理科学的绿化，以尽量减少生境破坏对动物的不利影响。</w:t>
            </w:r>
          </w:p>
          <w:p w14:paraId="336E0414">
            <w:pPr>
              <w:ind w:firstLine="480"/>
              <w:rPr>
                <w:rFonts w:hint="eastAsia"/>
                <w:color w:val="auto"/>
                <w:highlight w:val="none"/>
              </w:rPr>
            </w:pPr>
            <w:r>
              <w:rPr>
                <w:rFonts w:hint="eastAsia"/>
                <w:color w:val="auto"/>
                <w:highlight w:val="none"/>
              </w:rPr>
              <w:t>（2）</w:t>
            </w:r>
            <w:r>
              <w:rPr>
                <w:rFonts w:hint="eastAsia"/>
                <w:color w:val="auto"/>
                <w:highlight w:val="none"/>
                <w:lang w:val="en-US" w:eastAsia="zh-CN"/>
              </w:rPr>
              <w:t>加强公路沿线植被恢复措施的养护管理，提高公路路域植被覆盖度。</w:t>
            </w:r>
          </w:p>
          <w:p w14:paraId="046B1820">
            <w:pPr>
              <w:ind w:firstLine="480"/>
              <w:rPr>
                <w:rFonts w:hint="eastAsia"/>
                <w:color w:val="auto"/>
                <w:highlight w:val="none"/>
                <w:lang w:val="en-US" w:eastAsia="zh-CN"/>
              </w:rPr>
            </w:pPr>
            <w:r>
              <w:rPr>
                <w:rFonts w:hint="eastAsia"/>
                <w:color w:val="auto"/>
                <w:highlight w:val="none"/>
              </w:rPr>
              <w:t>（3）</w:t>
            </w:r>
            <w:r>
              <w:rPr>
                <w:rFonts w:hint="eastAsia"/>
                <w:color w:val="auto"/>
                <w:highlight w:val="none"/>
                <w:lang w:val="en-US" w:eastAsia="zh-CN"/>
              </w:rPr>
              <w:t>本项目路线全长42.77km，共设置涵洞12道</w:t>
            </w:r>
            <w:r>
              <w:rPr>
                <w:rFonts w:hint="eastAsia"/>
                <w:color w:val="auto"/>
                <w:lang w:eastAsia="zh-CN"/>
              </w:rPr>
              <w:t>（本次拆除重建</w:t>
            </w:r>
            <w:r>
              <w:rPr>
                <w:rFonts w:hint="eastAsia"/>
                <w:color w:val="auto"/>
                <w:lang w:val="en-US" w:eastAsia="zh-CN"/>
              </w:rPr>
              <w:t>8道</w:t>
            </w:r>
            <w:r>
              <w:rPr>
                <w:rFonts w:hint="eastAsia"/>
                <w:color w:val="auto"/>
                <w:lang w:eastAsia="zh-CN"/>
              </w:rPr>
              <w:t>）</w:t>
            </w:r>
            <w:r>
              <w:rPr>
                <w:rFonts w:hint="eastAsia"/>
                <w:color w:val="auto"/>
                <w:highlight w:val="none"/>
                <w:lang w:val="en-US" w:eastAsia="zh-CN"/>
              </w:rPr>
              <w:t>、4座桥梁（</w:t>
            </w:r>
            <w:r>
              <w:rPr>
                <w:rFonts w:hint="eastAsia"/>
                <w:color w:val="auto"/>
                <w:szCs w:val="21"/>
                <w:lang w:val="en-US" w:eastAsia="zh-CN"/>
              </w:rPr>
              <w:t>全部利用，其中K53+756银龙桥</w:t>
            </w:r>
            <w:r>
              <w:rPr>
                <w:rFonts w:hint="eastAsia"/>
                <w:color w:val="auto"/>
                <w:szCs w:val="21"/>
                <w:lang w:eastAsia="zh-CN"/>
              </w:rPr>
              <w:t>现</w:t>
            </w:r>
            <w:r>
              <w:rPr>
                <w:rFonts w:hint="eastAsia"/>
                <w:color w:val="auto"/>
                <w:szCs w:val="21"/>
                <w:lang w:val="en-US" w:eastAsia="zh-CN"/>
              </w:rPr>
              <w:t>有桥梁护栏破损，本次维修护栏后利用</w:t>
            </w:r>
            <w:r>
              <w:rPr>
                <w:rFonts w:hint="eastAsia"/>
                <w:color w:val="auto"/>
                <w:highlight w:val="none"/>
                <w:lang w:val="en-US" w:eastAsia="zh-CN"/>
              </w:rPr>
              <w:t>），拟设桥涵的数量、间距、尺寸可满足小型兽类及两栖、爬行动物等野生动物及野生保护动物通过的需要，整体上对野生动物的阻隔影响较小。在桥涵区域应重点做好植被恢复工作，营造有利于动物通过的环境，充分发挥其动物通道作用，诱导中小型野生动物顺利通行。</w:t>
            </w:r>
          </w:p>
          <w:p w14:paraId="7159BF85">
            <w:pPr>
              <w:ind w:firstLine="480"/>
              <w:rPr>
                <w:rFonts w:hint="eastAsia"/>
                <w:color w:val="auto"/>
                <w:highlight w:val="none"/>
                <w:lang w:val="en-US" w:eastAsia="zh-CN"/>
              </w:rPr>
            </w:pPr>
            <w:r>
              <w:rPr>
                <w:rFonts w:hint="eastAsia"/>
                <w:color w:val="auto"/>
                <w:highlight w:val="none"/>
                <w:lang w:val="en-US" w:eastAsia="zh-CN"/>
              </w:rPr>
              <w:t>（4）加强公路及桥梁、涵洞的安全运营管理，尤其应加强易燃易爆等危险品运输车辆的管理，制定相应的风险应急措施。</w:t>
            </w:r>
          </w:p>
          <w:p w14:paraId="78674782">
            <w:pPr>
              <w:ind w:firstLine="480"/>
              <w:rPr>
                <w:rFonts w:hint="eastAsia"/>
                <w:color w:val="auto"/>
                <w:highlight w:val="none"/>
                <w:lang w:val="en-US" w:eastAsia="zh-CN"/>
              </w:rPr>
            </w:pPr>
            <w:r>
              <w:rPr>
                <w:rFonts w:hint="eastAsia"/>
                <w:color w:val="auto"/>
                <w:highlight w:val="none"/>
                <w:lang w:val="en-US" w:eastAsia="zh-CN"/>
              </w:rPr>
              <w:t>（5）进一步跟踪调查本公路所设涵洞从数量和长度上是否满足野生动物的通道的需要。涵洞作为通道是否满足两爬类、兽类和陆栖鸟类通过的需要。如不满足，及时调整。</w:t>
            </w:r>
          </w:p>
          <w:p w14:paraId="07D4C025">
            <w:pPr>
              <w:ind w:firstLine="480"/>
              <w:rPr>
                <w:rFonts w:hint="eastAsia"/>
                <w:color w:val="auto"/>
                <w:highlight w:val="none"/>
                <w:lang w:val="en-US" w:eastAsia="zh-CN"/>
              </w:rPr>
            </w:pPr>
            <w:r>
              <w:rPr>
                <w:rFonts w:hint="eastAsia"/>
                <w:color w:val="auto"/>
                <w:highlight w:val="none"/>
                <w:lang w:val="en-US" w:eastAsia="zh-CN"/>
              </w:rPr>
              <w:t>（6）在野生保护动物频繁出没的路段及出入生态敏感区处如森林公园、自然保护区边界处设置宣传警示牌，提醒驾驶人员减速慢行、禁止鸣笛、严禁停靠等标志牌，减轻公路对野生动物及野生保护动物活动的影响。</w:t>
            </w:r>
          </w:p>
          <w:p w14:paraId="3AB171EA">
            <w:pPr>
              <w:ind w:firstLine="480"/>
              <w:rPr>
                <w:rFonts w:hint="eastAsia"/>
                <w:color w:val="auto"/>
                <w:highlight w:val="none"/>
                <w:lang w:val="en-US" w:eastAsia="zh-CN"/>
              </w:rPr>
            </w:pPr>
            <w:r>
              <w:rPr>
                <w:rFonts w:hint="eastAsia"/>
                <w:color w:val="auto"/>
                <w:highlight w:val="none"/>
                <w:lang w:val="en-US" w:eastAsia="zh-CN"/>
              </w:rPr>
              <w:t>（7）运营期继续对评价区内的野生动物，进行跟踪观测和监测，尤其是对保护物种要进行重点监测，对其种群数量及分布区域进行栖息地适宜性分析，内容可根据施工期的观测及监测计划进行适当调整。</w:t>
            </w:r>
          </w:p>
          <w:p w14:paraId="38A2EB6C">
            <w:pPr>
              <w:ind w:firstLine="480"/>
              <w:rPr>
                <w:rFonts w:hint="eastAsia"/>
                <w:color w:val="auto"/>
                <w:highlight w:val="none"/>
                <w:lang w:val="en-US" w:eastAsia="zh-CN"/>
              </w:rPr>
            </w:pPr>
            <w:r>
              <w:rPr>
                <w:rFonts w:hint="eastAsia"/>
                <w:color w:val="auto"/>
                <w:highlight w:val="none"/>
                <w:lang w:val="en-US" w:eastAsia="zh-CN"/>
              </w:rPr>
              <w:t>（8）本项目施工时严格控制施工作业带，保护公路两侧原有林地景观，可根据公路两侧林地情况，在林地稀疏区域设置绿化带，增加林木密度，原有林木和绿化带的设置可降低来往车辆产生的噪声、遮挡车辆灯光，降低噪音、灯光对野生动物造成的不利影响。</w:t>
            </w:r>
          </w:p>
          <w:p w14:paraId="404EEC9D">
            <w:pPr>
              <w:bidi w:val="0"/>
              <w:rPr>
                <w:rFonts w:hint="default"/>
                <w:color w:val="auto"/>
                <w:lang w:val="en-US" w:eastAsia="zh-CN"/>
              </w:rPr>
            </w:pPr>
            <w:r>
              <w:rPr>
                <w:rFonts w:hint="eastAsia"/>
                <w:color w:val="auto"/>
                <w:lang w:val="en-US" w:eastAsia="zh-CN"/>
              </w:rPr>
              <w:t>（9）</w:t>
            </w:r>
            <w:r>
              <w:rPr>
                <w:rFonts w:hint="default"/>
                <w:color w:val="auto"/>
                <w:lang w:val="en-US" w:eastAsia="zh-CN"/>
              </w:rPr>
              <w:t>穿越</w:t>
            </w:r>
            <w:r>
              <w:rPr>
                <w:rFonts w:hint="eastAsia"/>
                <w:color w:val="auto"/>
                <w:lang w:val="en-US" w:eastAsia="zh-CN"/>
              </w:rPr>
              <w:t>敏感区</w:t>
            </w:r>
            <w:r>
              <w:rPr>
                <w:rFonts w:hint="default"/>
                <w:color w:val="auto"/>
                <w:lang w:val="en-US" w:eastAsia="zh-CN"/>
              </w:rPr>
              <w:t>路段设置预告、提醒等标志牌，并</w:t>
            </w:r>
            <w:r>
              <w:rPr>
                <w:rFonts w:hint="eastAsia"/>
                <w:color w:val="auto"/>
                <w:lang w:val="en-US" w:eastAsia="zh-CN"/>
              </w:rPr>
              <w:t>分别</w:t>
            </w:r>
            <w:r>
              <w:rPr>
                <w:rFonts w:hint="default"/>
                <w:color w:val="auto"/>
                <w:lang w:val="en-US" w:eastAsia="zh-CN"/>
              </w:rPr>
              <w:t>注明</w:t>
            </w:r>
            <w:r>
              <w:rPr>
                <w:rFonts w:hint="eastAsia" w:ascii="Times New Roman" w:hAnsi="Times New Roman" w:eastAsia="宋体" w:cs="Times New Roman"/>
                <w:color w:val="auto"/>
                <w:lang w:val="en-US" w:eastAsia="zh-CN"/>
              </w:rPr>
              <w:t>“黑龙江东升省级自然保护区</w:t>
            </w:r>
            <w:r>
              <w:rPr>
                <w:rFonts w:hint="default" w:ascii="Times New Roman" w:hAnsi="Times New Roman" w:eastAsia="宋体" w:cs="Times New Roman"/>
                <w:color w:val="auto"/>
                <w:lang w:val="en-US" w:eastAsia="zh-CN"/>
              </w:rPr>
              <w:t>路段，请谨慎行驶</w:t>
            </w:r>
            <w:r>
              <w:rPr>
                <w:rFonts w:hint="eastAsia" w:ascii="Times New Roman" w:hAnsi="Times New Roman" w:eastAsia="宋体" w:cs="Times New Roman"/>
                <w:color w:val="auto"/>
                <w:lang w:val="en-US" w:eastAsia="zh-CN"/>
              </w:rPr>
              <w:t>”“黑龙江完达山国家级森林公园路段，</w:t>
            </w:r>
            <w:r>
              <w:rPr>
                <w:rFonts w:hint="default" w:ascii="Times New Roman" w:hAnsi="Times New Roman" w:eastAsia="宋体" w:cs="Times New Roman"/>
                <w:color w:val="auto"/>
                <w:lang w:val="en-US" w:eastAsia="zh-CN"/>
              </w:rPr>
              <w:t>请谨慎</w:t>
            </w:r>
            <w:r>
              <w:rPr>
                <w:rFonts w:hint="default"/>
                <w:color w:val="auto"/>
                <w:lang w:val="en-US" w:eastAsia="zh-CN"/>
              </w:rPr>
              <w:t>行驶</w:t>
            </w:r>
            <w:r>
              <w:rPr>
                <w:rFonts w:hint="eastAsia"/>
                <w:color w:val="auto"/>
                <w:lang w:val="en-US" w:eastAsia="zh-CN"/>
              </w:rPr>
              <w:t>”“生态保护红线段，</w:t>
            </w:r>
            <w:r>
              <w:rPr>
                <w:rFonts w:hint="default"/>
                <w:color w:val="auto"/>
                <w:lang w:val="en-US" w:eastAsia="zh-CN"/>
              </w:rPr>
              <w:t>请谨慎行驶</w:t>
            </w:r>
            <w:r>
              <w:rPr>
                <w:rFonts w:hint="eastAsia"/>
                <w:color w:val="auto"/>
                <w:lang w:val="en-US" w:eastAsia="zh-CN"/>
              </w:rPr>
              <w:t>”“</w:t>
            </w:r>
            <w:r>
              <w:rPr>
                <w:rFonts w:hint="default"/>
                <w:color w:val="auto"/>
                <w:lang w:val="en-US" w:eastAsia="zh-CN"/>
              </w:rPr>
              <w:t>减速慢行、禁止鸣笛</w:t>
            </w:r>
            <w:r>
              <w:rPr>
                <w:rFonts w:hint="eastAsia"/>
                <w:color w:val="auto"/>
                <w:lang w:val="en-US" w:eastAsia="zh-CN"/>
              </w:rPr>
              <w:t>”</w:t>
            </w:r>
            <w:r>
              <w:rPr>
                <w:rFonts w:hint="default"/>
                <w:color w:val="auto"/>
                <w:lang w:val="en-US" w:eastAsia="zh-CN"/>
              </w:rPr>
              <w:t>等字样，必要时安装固定测速装置，提醒司机通过该路段时谨慎慢行，降低对野生动物的惊扰。</w:t>
            </w:r>
          </w:p>
          <w:p w14:paraId="6B2D42D5">
            <w:pPr>
              <w:bidi w:val="0"/>
              <w:rPr>
                <w:rFonts w:hint="default"/>
                <w:color w:val="auto"/>
                <w:lang w:val="en-US" w:eastAsia="zh-CN"/>
              </w:rPr>
            </w:pPr>
            <w:r>
              <w:rPr>
                <w:rFonts w:hint="eastAsia"/>
                <w:color w:val="auto"/>
                <w:lang w:val="en-US" w:eastAsia="zh-CN"/>
              </w:rPr>
              <w:t>（10）</w:t>
            </w:r>
            <w:r>
              <w:rPr>
                <w:rFonts w:hint="default"/>
                <w:color w:val="auto"/>
                <w:lang w:val="en-US" w:eastAsia="zh-CN"/>
              </w:rPr>
              <w:t>在穿越</w:t>
            </w:r>
            <w:r>
              <w:rPr>
                <w:rFonts w:hint="eastAsia"/>
                <w:color w:val="auto"/>
                <w:lang w:val="en-US" w:eastAsia="zh-CN"/>
              </w:rPr>
              <w:t>敏感区路段</w:t>
            </w:r>
            <w:r>
              <w:rPr>
                <w:rFonts w:hint="default"/>
                <w:color w:val="auto"/>
                <w:lang w:val="en-US" w:eastAsia="zh-CN"/>
              </w:rPr>
              <w:t>设置反光条、限制车辆使用远光灯，减缓灯光对野生动物的影响。</w:t>
            </w:r>
          </w:p>
          <w:p w14:paraId="74F9C7C3">
            <w:pPr>
              <w:bidi w:val="0"/>
              <w:rPr>
                <w:rFonts w:hint="default"/>
                <w:color w:val="auto"/>
                <w:lang w:val="en-US" w:eastAsia="zh-CN"/>
              </w:rPr>
            </w:pPr>
            <w:r>
              <w:rPr>
                <w:rFonts w:hint="eastAsia"/>
                <w:color w:val="auto"/>
                <w:lang w:val="en-US" w:eastAsia="zh-CN"/>
              </w:rPr>
              <w:t>（11）项目</w:t>
            </w:r>
            <w:r>
              <w:rPr>
                <w:rFonts w:hint="default"/>
                <w:color w:val="auto"/>
                <w:lang w:val="en-US" w:eastAsia="zh-CN"/>
              </w:rPr>
              <w:t>运营单位与野生动物保护主管部门加强合作</w:t>
            </w:r>
            <w:r>
              <w:rPr>
                <w:rFonts w:hint="eastAsia"/>
                <w:color w:val="auto"/>
                <w:lang w:val="en-US" w:eastAsia="zh-CN"/>
              </w:rPr>
              <w:t>，对</w:t>
            </w:r>
            <w:r>
              <w:rPr>
                <w:rFonts w:hint="default"/>
                <w:color w:val="auto"/>
                <w:lang w:val="en-US" w:eastAsia="zh-CN"/>
              </w:rPr>
              <w:t>受伤、迷路、掉队的野生动物实施及时救护。</w:t>
            </w:r>
          </w:p>
          <w:p w14:paraId="69B3A2EB">
            <w:pPr>
              <w:bidi w:val="0"/>
              <w:rPr>
                <w:rFonts w:hint="default"/>
                <w:color w:val="auto"/>
                <w:lang w:val="en-US" w:eastAsia="zh-CN"/>
              </w:rPr>
            </w:pPr>
            <w:r>
              <w:rPr>
                <w:rFonts w:hint="eastAsia"/>
                <w:color w:val="auto"/>
                <w:lang w:val="en-US" w:eastAsia="zh-CN"/>
              </w:rPr>
              <w:t>（12）</w:t>
            </w:r>
            <w:r>
              <w:rPr>
                <w:rFonts w:hint="default"/>
                <w:color w:val="auto"/>
                <w:lang w:val="en-US" w:eastAsia="zh-CN"/>
              </w:rPr>
              <w:t>严格危险品运输车辆的管理，最大限度地减少突发性环境风险事故的发生。</w:t>
            </w:r>
          </w:p>
          <w:p w14:paraId="6C38B1B1">
            <w:pPr>
              <w:ind w:firstLine="480"/>
              <w:rPr>
                <w:rFonts w:hint="eastAsia"/>
                <w:color w:val="auto"/>
                <w:highlight w:val="none"/>
              </w:rPr>
            </w:pPr>
            <w:r>
              <w:rPr>
                <w:rFonts w:hint="eastAsia"/>
                <w:color w:val="auto"/>
                <w:highlight w:val="none"/>
              </w:rPr>
              <w:t>2、环境空气保护措施</w:t>
            </w:r>
          </w:p>
          <w:p w14:paraId="59E9668D">
            <w:pPr>
              <w:ind w:firstLine="480"/>
              <w:rPr>
                <w:rFonts w:hint="eastAsia"/>
                <w:color w:val="auto"/>
                <w:highlight w:val="none"/>
              </w:rPr>
            </w:pPr>
            <w:r>
              <w:rPr>
                <w:rFonts w:hint="eastAsia"/>
                <w:color w:val="auto"/>
                <w:highlight w:val="none"/>
              </w:rPr>
              <w:t>（1）加强公路管理及路面养护，保持公路良好运营状态；加强交通运输车辆管理，禁止尾气严重超标车辆上路行驶。</w:t>
            </w:r>
          </w:p>
          <w:p w14:paraId="1447F940">
            <w:pPr>
              <w:ind w:firstLine="480"/>
              <w:rPr>
                <w:rFonts w:hint="eastAsia"/>
                <w:color w:val="auto"/>
                <w:highlight w:val="none"/>
              </w:rPr>
            </w:pPr>
            <w:r>
              <w:rPr>
                <w:rFonts w:hint="eastAsia"/>
                <w:color w:val="auto"/>
                <w:highlight w:val="none"/>
              </w:rPr>
              <w:t>（2）对于装有易产生扬尘运输车辆要求罩盖篷布，防止运输中飞扬洒落。</w:t>
            </w:r>
          </w:p>
          <w:p w14:paraId="12E5609B">
            <w:pPr>
              <w:ind w:firstLine="480"/>
              <w:rPr>
                <w:rFonts w:hint="eastAsia"/>
                <w:color w:val="auto"/>
                <w:highlight w:val="none"/>
              </w:rPr>
            </w:pPr>
            <w:r>
              <w:rPr>
                <w:rFonts w:hint="eastAsia"/>
                <w:color w:val="auto"/>
                <w:highlight w:val="none"/>
              </w:rPr>
              <w:t>（3）公路两侧种植适宜当地生长的林草，增加沿线植被覆盖率，净化尾气、扬尘等，改善路边景观及行车环境。</w:t>
            </w:r>
          </w:p>
          <w:p w14:paraId="1342969F">
            <w:pPr>
              <w:ind w:firstLine="480"/>
              <w:rPr>
                <w:rFonts w:hint="eastAsia"/>
                <w:color w:val="auto"/>
                <w:highlight w:val="none"/>
              </w:rPr>
            </w:pPr>
            <w:r>
              <w:rPr>
                <w:rFonts w:hint="eastAsia"/>
                <w:color w:val="auto"/>
                <w:highlight w:val="none"/>
              </w:rPr>
              <w:t>3、噪声污染防治措施</w:t>
            </w:r>
          </w:p>
          <w:p w14:paraId="25B173CD">
            <w:pPr>
              <w:rPr>
                <w:rFonts w:hint="eastAsia"/>
                <w:color w:val="auto"/>
                <w:highlight w:val="none"/>
                <w:lang w:val="en-US" w:eastAsia="zh-CN"/>
              </w:rPr>
            </w:pPr>
            <w:r>
              <w:rPr>
                <w:rFonts w:hint="eastAsia"/>
                <w:color w:val="auto"/>
                <w:highlight w:val="none"/>
                <w:lang w:val="en-US" w:eastAsia="zh-CN"/>
              </w:rPr>
              <w:t>（1）对公路进行经常性维护，提高路面平整度，降低公路交通噪声；</w:t>
            </w:r>
          </w:p>
          <w:p w14:paraId="39F59449">
            <w:pPr>
              <w:rPr>
                <w:rFonts w:hint="eastAsia"/>
                <w:color w:val="auto"/>
                <w:highlight w:val="none"/>
                <w:lang w:val="en-US" w:eastAsia="zh-CN"/>
              </w:rPr>
            </w:pPr>
            <w:r>
              <w:rPr>
                <w:rFonts w:hint="eastAsia"/>
                <w:color w:val="auto"/>
                <w:highlight w:val="none"/>
                <w:lang w:val="en-US" w:eastAsia="zh-CN"/>
              </w:rPr>
              <w:t>（2）加强绿化及其日常养护，保持绿化面积，在有效改善城市生态环境的同时，保持一定的降低交通噪声的能力；</w:t>
            </w:r>
          </w:p>
          <w:p w14:paraId="725E16F4">
            <w:pPr>
              <w:rPr>
                <w:rFonts w:hint="eastAsia"/>
                <w:color w:val="auto"/>
                <w:highlight w:val="none"/>
                <w:lang w:val="en-US" w:eastAsia="zh-CN"/>
              </w:rPr>
            </w:pPr>
            <w:r>
              <w:rPr>
                <w:rFonts w:hint="eastAsia"/>
                <w:color w:val="auto"/>
                <w:highlight w:val="none"/>
                <w:lang w:val="en-US" w:eastAsia="zh-CN"/>
              </w:rPr>
              <w:t>（3）预留噪声监测和治理费用，加强公路营运期的跟踪监测工作，视监测结果和噪声超标情况合理采取噪声防治措施，做到交通噪声不扰民；</w:t>
            </w:r>
          </w:p>
          <w:p w14:paraId="45D4E40E">
            <w:pPr>
              <w:spacing w:line="360" w:lineRule="auto"/>
              <w:ind w:firstLine="480" w:firstLineChars="200"/>
              <w:rPr>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4</w:t>
            </w:r>
            <w:r>
              <w:rPr>
                <w:rFonts w:hint="eastAsia" w:ascii="Times New Roman" w:hAnsi="Times New Roman" w:eastAsia="宋体" w:cs="Times New Roman"/>
                <w:color w:val="auto"/>
                <w:highlight w:val="none"/>
                <w:lang w:eastAsia="zh-CN"/>
              </w:rPr>
              <w:t>）</w:t>
            </w:r>
            <w:r>
              <w:rPr>
                <w:rFonts w:hint="default" w:ascii="Times New Roman" w:hAnsi="Times New Roman" w:cs="Times New Roman"/>
                <w:color w:val="auto"/>
                <w:highlight w:val="none"/>
              </w:rPr>
              <w:t>根据噪声衰减规律，动物主要栖息地处交通噪声较小，对动物活动的影响较小。可在经过</w:t>
            </w:r>
            <w:r>
              <w:rPr>
                <w:rFonts w:hint="eastAsia" w:cs="Times New Roman"/>
                <w:color w:val="auto"/>
                <w:highlight w:val="none"/>
                <w:lang w:eastAsia="zh-CN"/>
              </w:rPr>
              <w:t>生态敏感</w:t>
            </w:r>
            <w:r>
              <w:rPr>
                <w:rFonts w:hint="default" w:ascii="Times New Roman" w:hAnsi="Times New Roman" w:cs="Times New Roman"/>
                <w:color w:val="auto"/>
                <w:highlight w:val="none"/>
              </w:rPr>
              <w:t>区路段设置</w:t>
            </w:r>
            <w:r>
              <w:rPr>
                <w:rFonts w:hint="eastAsia"/>
                <w:color w:val="auto"/>
                <w:highlight w:val="none"/>
              </w:rPr>
              <w:t>生态保护警示牌</w:t>
            </w:r>
            <w:r>
              <w:rPr>
                <w:rFonts w:hint="default" w:ascii="Times New Roman" w:hAnsi="Times New Roman" w:cs="Times New Roman"/>
                <w:color w:val="auto"/>
                <w:highlight w:val="none"/>
              </w:rPr>
              <w:t>、禁鸣牌等措施减轻运行期交通噪声对动物的影响</w:t>
            </w:r>
            <w:r>
              <w:rPr>
                <w:rFonts w:hint="eastAsia"/>
                <w:color w:val="auto"/>
                <w:highlight w:val="none"/>
              </w:rPr>
              <w:t>。</w:t>
            </w:r>
          </w:p>
          <w:p w14:paraId="3DCB5712">
            <w:pPr>
              <w:spacing w:line="360" w:lineRule="auto"/>
              <w:ind w:firstLine="480" w:firstLineChars="200"/>
              <w:rPr>
                <w:color w:val="auto"/>
                <w:szCs w:val="21"/>
              </w:rPr>
            </w:pPr>
            <w:r>
              <w:rPr>
                <w:rFonts w:hint="eastAsia"/>
                <w:color w:val="auto"/>
                <w:szCs w:val="21"/>
              </w:rPr>
              <w:t>4、</w:t>
            </w:r>
            <w:r>
              <w:rPr>
                <w:color w:val="auto"/>
                <w:szCs w:val="21"/>
              </w:rPr>
              <w:t>水环境保护措施</w:t>
            </w:r>
          </w:p>
          <w:p w14:paraId="4F0FBA79">
            <w:pPr>
              <w:spacing w:line="360" w:lineRule="auto"/>
              <w:ind w:firstLine="480" w:firstLineChars="200"/>
              <w:rPr>
                <w:color w:val="auto"/>
                <w:szCs w:val="21"/>
              </w:rPr>
            </w:pPr>
            <w:r>
              <w:rPr>
                <w:rFonts w:hint="eastAsia"/>
                <w:color w:val="auto"/>
                <w:szCs w:val="21"/>
              </w:rPr>
              <w:t>（1）</w:t>
            </w:r>
            <w:r>
              <w:rPr>
                <w:color w:val="auto"/>
                <w:szCs w:val="21"/>
              </w:rPr>
              <w:t>完善路面径流收集系统和排水系统，</w:t>
            </w:r>
            <w:r>
              <w:rPr>
                <w:rFonts w:hint="eastAsia"/>
                <w:color w:val="auto"/>
                <w:szCs w:val="21"/>
                <w:lang w:eastAsia="zh-CN"/>
              </w:rPr>
              <w:t>公路</w:t>
            </w:r>
            <w:r>
              <w:rPr>
                <w:color w:val="auto"/>
                <w:szCs w:val="21"/>
              </w:rPr>
              <w:t>排水系统与现有规划的排水系统相协调，路面径流经收集后排入附近河流。并加强公路排水设施的管理</w:t>
            </w:r>
            <w:r>
              <w:rPr>
                <w:rFonts w:hint="eastAsia"/>
                <w:color w:val="auto"/>
                <w:szCs w:val="21"/>
              </w:rPr>
              <w:t>，维持经常性的巡查和养护。</w:t>
            </w:r>
          </w:p>
          <w:p w14:paraId="0AD8FA3D">
            <w:pPr>
              <w:spacing w:line="360" w:lineRule="auto"/>
              <w:ind w:firstLine="480" w:firstLineChars="200"/>
              <w:rPr>
                <w:color w:val="auto"/>
                <w:szCs w:val="21"/>
              </w:rPr>
            </w:pPr>
            <w:r>
              <w:rPr>
                <w:rFonts w:hint="eastAsia"/>
                <w:color w:val="auto"/>
                <w:szCs w:val="21"/>
              </w:rPr>
              <w:t>（</w:t>
            </w:r>
            <w:r>
              <w:rPr>
                <w:color w:val="auto"/>
                <w:szCs w:val="21"/>
              </w:rPr>
              <w:t>2</w:t>
            </w:r>
            <w:r>
              <w:rPr>
                <w:rFonts w:hint="eastAsia"/>
                <w:color w:val="auto"/>
                <w:szCs w:val="21"/>
              </w:rPr>
              <w:t>）加强</w:t>
            </w:r>
            <w:r>
              <w:rPr>
                <w:color w:val="auto"/>
                <w:szCs w:val="21"/>
              </w:rPr>
              <w:t>路面管理和清洁工作，防止生活垃圾等随降水进入雨水排水沟，进而排入附近河道。</w:t>
            </w:r>
          </w:p>
          <w:p w14:paraId="037290BB">
            <w:pPr>
              <w:ind w:firstLine="480"/>
              <w:rPr>
                <w:rFonts w:hint="eastAsia"/>
                <w:color w:val="auto"/>
                <w:highlight w:val="none"/>
              </w:rPr>
            </w:pPr>
            <w:r>
              <w:rPr>
                <w:rFonts w:hint="eastAsia"/>
                <w:color w:val="auto"/>
                <w:highlight w:val="none"/>
                <w:lang w:val="en-US" w:eastAsia="zh-CN"/>
              </w:rPr>
              <w:t>5</w:t>
            </w:r>
            <w:r>
              <w:rPr>
                <w:rFonts w:hint="eastAsia"/>
                <w:color w:val="auto"/>
                <w:highlight w:val="none"/>
              </w:rPr>
              <w:t>、固体废物污染防治措施</w:t>
            </w:r>
          </w:p>
          <w:p w14:paraId="4EACB0CA">
            <w:pPr>
              <w:ind w:firstLine="480"/>
              <w:rPr>
                <w:rFonts w:hint="eastAsia"/>
                <w:color w:val="auto"/>
                <w:highlight w:val="none"/>
              </w:rPr>
            </w:pPr>
            <w:r>
              <w:rPr>
                <w:rFonts w:hint="eastAsia"/>
                <w:color w:val="auto"/>
                <w:highlight w:val="none"/>
              </w:rPr>
              <w:t>运输车辆撒落的运载物、发生交通事故的车辆装载的货物、客车乘客丢弃的物品等固体废物，交由市政部门统一清运。</w:t>
            </w:r>
          </w:p>
          <w:p w14:paraId="47494EC0">
            <w:pPr>
              <w:bidi w:val="0"/>
              <w:rPr>
                <w:rFonts w:hint="eastAsia"/>
                <w:color w:val="auto"/>
                <w:highlight w:val="none"/>
                <w:lang w:val="en-US" w:eastAsia="zh-CN"/>
              </w:rPr>
            </w:pPr>
            <w:r>
              <w:rPr>
                <w:rFonts w:hint="eastAsia"/>
                <w:color w:val="auto"/>
                <w:highlight w:val="none"/>
                <w:lang w:val="en-US" w:eastAsia="zh-CN"/>
              </w:rPr>
              <w:t>6、风险防范措施</w:t>
            </w:r>
          </w:p>
          <w:p w14:paraId="58DC8CFE">
            <w:pPr>
              <w:bidi w:val="0"/>
              <w:rPr>
                <w:rFonts w:hint="eastAsia"/>
                <w:color w:val="auto"/>
                <w:highlight w:val="none"/>
                <w:lang w:val="en-US" w:eastAsia="zh-CN"/>
              </w:rPr>
            </w:pPr>
            <w:r>
              <w:rPr>
                <w:rFonts w:hint="eastAsia"/>
                <w:color w:val="auto"/>
                <w:highlight w:val="none"/>
                <w:lang w:val="en-US" w:eastAsia="zh-CN"/>
              </w:rPr>
              <w:t>本项目环境风险主要为运输危险化学品罐车倾覆、罐体破裂泄漏危险化学品等突发事故导致污染地表水体和土壤环境。为防止突发环境风险事故对地表水体产生影响，本项目评价提出编制突发环境事件应急预案的要求，具体如下：</w:t>
            </w:r>
          </w:p>
          <w:p w14:paraId="5CFE3203">
            <w:pPr>
              <w:bidi w:val="0"/>
              <w:rPr>
                <w:rFonts w:hint="eastAsia"/>
                <w:color w:val="auto"/>
                <w:highlight w:val="none"/>
                <w:lang w:val="en-US" w:eastAsia="zh-CN"/>
              </w:rPr>
            </w:pPr>
            <w:r>
              <w:rPr>
                <w:rFonts w:hint="eastAsia"/>
                <w:color w:val="auto"/>
                <w:highlight w:val="none"/>
                <w:lang w:val="en-US" w:eastAsia="zh-CN"/>
              </w:rPr>
              <w:t>（1）加强环境管理及监督。派专人负责日常巡护工作，配备专业人员负责风险事故处理，预留必要的应急处理设施，定期接受环保部门的监督检查。</w:t>
            </w:r>
          </w:p>
          <w:p w14:paraId="5340542D">
            <w:pPr>
              <w:bidi w:val="0"/>
              <w:rPr>
                <w:rFonts w:hint="eastAsia"/>
                <w:color w:val="auto"/>
                <w:highlight w:val="none"/>
                <w:lang w:val="en-US" w:eastAsia="zh-CN"/>
              </w:rPr>
            </w:pPr>
            <w:r>
              <w:rPr>
                <w:rFonts w:hint="eastAsia"/>
                <w:color w:val="auto"/>
                <w:highlight w:val="none"/>
                <w:lang w:val="en-US" w:eastAsia="zh-CN"/>
              </w:rPr>
              <w:t>（2）运输车辆要有明显标志，应严格执行《</w:t>
            </w:r>
            <w:r>
              <w:rPr>
                <w:rFonts w:hint="eastAsia" w:ascii="宋体" w:hAnsi="宋体" w:eastAsia="宋体" w:cs="宋体"/>
                <w:i w:val="0"/>
                <w:iCs w:val="0"/>
                <w:caps w:val="0"/>
                <w:color w:val="auto"/>
                <w:spacing w:val="0"/>
                <w:sz w:val="24"/>
                <w:szCs w:val="24"/>
                <w:shd w:val="clear" w:fill="FFFFFF"/>
              </w:rPr>
              <w:t>危险化学品安全管理条例</w:t>
            </w:r>
            <w:r>
              <w:rPr>
                <w:rFonts w:hint="eastAsia"/>
                <w:color w:val="auto"/>
                <w:highlight w:val="none"/>
                <w:lang w:val="en-US" w:eastAsia="zh-CN"/>
              </w:rPr>
              <w:t>》等危险品运输的有关规定，对运输危险品车辆实行申报管理制度。车主需填写申报表，主要内容有危险货物执照号码、货物品种等级和编号、收发货人名称、装卸地点、货物特性等。</w:t>
            </w:r>
          </w:p>
          <w:p w14:paraId="75783FED">
            <w:pPr>
              <w:bidi w:val="0"/>
              <w:rPr>
                <w:rFonts w:hint="eastAsia"/>
                <w:color w:val="auto"/>
                <w:highlight w:val="none"/>
                <w:lang w:val="en-US" w:eastAsia="zh-CN"/>
              </w:rPr>
            </w:pPr>
            <w:r>
              <w:rPr>
                <w:rFonts w:hint="eastAsia"/>
                <w:color w:val="auto"/>
                <w:highlight w:val="none"/>
                <w:lang w:val="en-US" w:eastAsia="zh-CN"/>
              </w:rPr>
              <w:t>（3）对申报运输危险品车辆进行“准运证”、“驾驶员证”、“押运员证”和危险品运输行车路单（以下简称“三证一单”）检查，“三证一单”不全车辆将不允许驶上公路；检查运输危险品车辆是否安装GPS定位系统，是否按照危险品运输路线运行；除证件检查外，必要时应对运输危险品车辆进行安全检查。</w:t>
            </w:r>
          </w:p>
          <w:p w14:paraId="28B03AE7">
            <w:pPr>
              <w:bidi w:val="0"/>
              <w:rPr>
                <w:rFonts w:hint="eastAsia"/>
                <w:color w:val="auto"/>
                <w:highlight w:val="none"/>
                <w:lang w:val="en-US" w:eastAsia="zh-CN"/>
              </w:rPr>
            </w:pPr>
            <w:r>
              <w:rPr>
                <w:rFonts w:hint="eastAsia"/>
                <w:color w:val="auto"/>
                <w:highlight w:val="none"/>
                <w:lang w:val="en-US" w:eastAsia="zh-CN"/>
              </w:rPr>
              <w:t>（4）运输危险品车辆必须设置防渗、防漏设施，加强对运输危险品车辆进行的有效管理，定期巡检，在不良天气状况下，如遇暴雨、暴雪、大风、大雾、沙尘暴等不利气象条件时，应禁止危险品运输车辆上路，或者由公路养护管理部门派人协调指挥危险品运输车辆安全通过。</w:t>
            </w:r>
          </w:p>
          <w:p w14:paraId="6B7D4AB3">
            <w:pPr>
              <w:bidi w:val="0"/>
              <w:rPr>
                <w:rFonts w:hint="eastAsia"/>
                <w:color w:val="auto"/>
                <w:highlight w:val="none"/>
                <w:lang w:val="en-US" w:eastAsia="zh-CN"/>
              </w:rPr>
            </w:pPr>
            <w:r>
              <w:rPr>
                <w:rFonts w:hint="eastAsia"/>
                <w:color w:val="auto"/>
                <w:highlight w:val="none"/>
                <w:lang w:val="en-US" w:eastAsia="zh-CN"/>
              </w:rPr>
              <w:t>（5）建立一支现代化的养护队伍，保证公路路面清洁、畅通，降雪后要及时清除路面畅通，减少因积雪导致的交通事故发生。</w:t>
            </w:r>
          </w:p>
          <w:p w14:paraId="18FC386B">
            <w:pPr>
              <w:bidi w:val="0"/>
              <w:rPr>
                <w:rFonts w:hint="default"/>
                <w:color w:val="auto"/>
                <w:highlight w:val="none"/>
                <w:lang w:val="en-US" w:eastAsia="zh-CN"/>
              </w:rPr>
            </w:pPr>
            <w:r>
              <w:rPr>
                <w:rFonts w:hint="eastAsia"/>
                <w:color w:val="auto"/>
                <w:highlight w:val="none"/>
                <w:lang w:val="en-US" w:eastAsia="zh-CN"/>
              </w:rPr>
              <w:t>（6）为了确保发生突发性事故时可以得到及时处置，公路管理部门应在工程运营期建立一支应急消防队伍，在发生风险事故时立即报告铁力市人民政府，并在当地政府部门指挥下，与地方消防、公安和环保部门一起，及时妥善处理好事故。</w:t>
            </w:r>
          </w:p>
        </w:tc>
      </w:tr>
      <w:tr w14:paraId="1A9011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21" w:hRule="atLeast"/>
          <w:jc w:val="center"/>
        </w:trPr>
        <w:tc>
          <w:tcPr>
            <w:tcW w:w="640" w:type="pct"/>
            <w:noWrap w:val="0"/>
            <w:vAlign w:val="center"/>
          </w:tcPr>
          <w:p w14:paraId="7B4827F7">
            <w:pPr>
              <w:pStyle w:val="38"/>
              <w:rPr>
                <w:color w:val="auto"/>
                <w:highlight w:val="none"/>
              </w:rPr>
            </w:pPr>
            <w:r>
              <w:rPr>
                <w:color w:val="auto"/>
                <w:highlight w:val="none"/>
              </w:rPr>
              <w:t>其他</w:t>
            </w:r>
          </w:p>
        </w:tc>
        <w:tc>
          <w:tcPr>
            <w:tcW w:w="4359" w:type="pct"/>
            <w:noWrap w:val="0"/>
            <w:vAlign w:val="center"/>
          </w:tcPr>
          <w:p w14:paraId="03BAC14E">
            <w:pPr>
              <w:ind w:firstLine="480"/>
              <w:rPr>
                <w:rFonts w:hint="eastAsia"/>
                <w:color w:val="auto"/>
              </w:rPr>
            </w:pPr>
            <w:r>
              <w:rPr>
                <w:rFonts w:hint="eastAsia"/>
                <w:color w:val="auto"/>
              </w:rPr>
              <w:t>无</w:t>
            </w:r>
          </w:p>
        </w:tc>
      </w:tr>
      <w:tr w14:paraId="1B9F4F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0" w:type="pct"/>
            <w:noWrap w:val="0"/>
            <w:vAlign w:val="center"/>
          </w:tcPr>
          <w:p w14:paraId="12D4FB52">
            <w:pPr>
              <w:pStyle w:val="38"/>
              <w:rPr>
                <w:color w:val="auto"/>
                <w:highlight w:val="none"/>
              </w:rPr>
            </w:pPr>
            <w:r>
              <w:rPr>
                <w:color w:val="auto"/>
                <w:highlight w:val="none"/>
              </w:rPr>
              <w:t>环保</w:t>
            </w:r>
          </w:p>
          <w:p w14:paraId="286719B2">
            <w:pPr>
              <w:pStyle w:val="38"/>
              <w:rPr>
                <w:color w:val="auto"/>
                <w:highlight w:val="none"/>
              </w:rPr>
            </w:pPr>
            <w:r>
              <w:rPr>
                <w:color w:val="auto"/>
                <w:highlight w:val="none"/>
              </w:rPr>
              <w:t>投资</w:t>
            </w:r>
          </w:p>
        </w:tc>
        <w:tc>
          <w:tcPr>
            <w:tcW w:w="4359" w:type="pct"/>
            <w:noWrap w:val="0"/>
            <w:vAlign w:val="top"/>
          </w:tcPr>
          <w:p w14:paraId="38B9ACA1">
            <w:pPr>
              <w:ind w:firstLine="480"/>
              <w:rPr>
                <w:color w:val="auto"/>
                <w:highlight w:val="none"/>
              </w:rPr>
            </w:pPr>
            <w:r>
              <w:rPr>
                <w:rFonts w:hint="eastAsia"/>
                <w:color w:val="auto"/>
                <w:highlight w:val="none"/>
              </w:rPr>
              <w:t>本项目总投资为</w:t>
            </w:r>
            <w:r>
              <w:rPr>
                <w:rFonts w:hint="eastAsia"/>
                <w:color w:val="auto"/>
                <w:highlight w:val="none"/>
                <w:lang w:val="en-US" w:eastAsia="zh-CN"/>
              </w:rPr>
              <w:t>9461.0305</w:t>
            </w:r>
            <w:r>
              <w:rPr>
                <w:rFonts w:hint="eastAsia"/>
                <w:color w:val="auto"/>
                <w:highlight w:val="none"/>
              </w:rPr>
              <w:t>万元，环保投资总额为</w:t>
            </w:r>
            <w:r>
              <w:rPr>
                <w:rFonts w:hint="eastAsia"/>
                <w:color w:val="auto"/>
                <w:highlight w:val="none"/>
                <w:lang w:val="en-US" w:eastAsia="zh-CN"/>
              </w:rPr>
              <w:t>121</w:t>
            </w:r>
            <w:r>
              <w:rPr>
                <w:rFonts w:hint="eastAsia"/>
                <w:color w:val="auto"/>
                <w:highlight w:val="none"/>
              </w:rPr>
              <w:t>万元，环保投资比例为</w:t>
            </w:r>
            <w:r>
              <w:rPr>
                <w:rFonts w:hint="eastAsia"/>
                <w:color w:val="auto"/>
                <w:highlight w:val="none"/>
                <w:lang w:val="en-US" w:eastAsia="zh-CN"/>
              </w:rPr>
              <w:t>1.28</w:t>
            </w:r>
            <w:r>
              <w:rPr>
                <w:rFonts w:hint="eastAsia"/>
                <w:color w:val="auto"/>
                <w:highlight w:val="none"/>
              </w:rPr>
              <w:t>%，具体的分项投资详见表5-1。</w:t>
            </w:r>
          </w:p>
          <w:p w14:paraId="2396C32A">
            <w:pPr>
              <w:pStyle w:val="28"/>
              <w:rPr>
                <w:color w:val="auto"/>
                <w:highlight w:val="none"/>
              </w:rPr>
            </w:pPr>
            <w:r>
              <w:rPr>
                <w:color w:val="auto"/>
                <w:highlight w:val="none"/>
              </w:rPr>
              <w:t>表5-1 环保投资明细表（单位：万元）</w:t>
            </w:r>
          </w:p>
          <w:tbl>
            <w:tblPr>
              <w:tblStyle w:val="18"/>
              <w:tblW w:w="7305"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72"/>
              <w:gridCol w:w="1275"/>
              <w:gridCol w:w="4405"/>
              <w:gridCol w:w="753"/>
            </w:tblGrid>
            <w:tr w14:paraId="71F04C0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noWrap/>
                  <w:vAlign w:val="center"/>
                </w:tcPr>
                <w:p w14:paraId="54BE4F04">
                  <w:pPr>
                    <w:pStyle w:val="33"/>
                    <w:jc w:val="center"/>
                    <w:rPr>
                      <w:color w:val="auto"/>
                      <w:highlight w:val="none"/>
                    </w:rPr>
                  </w:pPr>
                  <w:r>
                    <w:rPr>
                      <w:color w:val="auto"/>
                      <w:highlight w:val="none"/>
                    </w:rPr>
                    <w:t>时段</w:t>
                  </w:r>
                </w:p>
              </w:tc>
              <w:tc>
                <w:tcPr>
                  <w:tcW w:w="1275" w:type="dxa"/>
                  <w:noWrap/>
                  <w:vAlign w:val="center"/>
                </w:tcPr>
                <w:p w14:paraId="1DF6967E">
                  <w:pPr>
                    <w:pStyle w:val="33"/>
                    <w:jc w:val="center"/>
                    <w:rPr>
                      <w:color w:val="auto"/>
                      <w:highlight w:val="none"/>
                    </w:rPr>
                  </w:pPr>
                  <w:r>
                    <w:rPr>
                      <w:color w:val="auto"/>
                      <w:highlight w:val="none"/>
                    </w:rPr>
                    <w:t>污染源</w:t>
                  </w:r>
                </w:p>
              </w:tc>
              <w:tc>
                <w:tcPr>
                  <w:tcW w:w="4405" w:type="dxa"/>
                  <w:noWrap/>
                  <w:vAlign w:val="center"/>
                </w:tcPr>
                <w:p w14:paraId="26CB770F">
                  <w:pPr>
                    <w:pStyle w:val="33"/>
                    <w:jc w:val="center"/>
                    <w:rPr>
                      <w:color w:val="auto"/>
                      <w:highlight w:val="none"/>
                    </w:rPr>
                  </w:pPr>
                  <w:r>
                    <w:rPr>
                      <w:color w:val="auto"/>
                      <w:highlight w:val="none"/>
                    </w:rPr>
                    <w:t>环保设施名称</w:t>
                  </w:r>
                </w:p>
              </w:tc>
              <w:tc>
                <w:tcPr>
                  <w:tcW w:w="753" w:type="dxa"/>
                  <w:noWrap/>
                  <w:vAlign w:val="center"/>
                </w:tcPr>
                <w:p w14:paraId="0ED0BAA3">
                  <w:pPr>
                    <w:pStyle w:val="33"/>
                    <w:jc w:val="center"/>
                    <w:rPr>
                      <w:color w:val="auto"/>
                      <w:highlight w:val="none"/>
                    </w:rPr>
                  </w:pPr>
                  <w:r>
                    <w:rPr>
                      <w:color w:val="auto"/>
                      <w:highlight w:val="none"/>
                    </w:rPr>
                    <w:t>环保投资</w:t>
                  </w:r>
                </w:p>
              </w:tc>
            </w:tr>
            <w:tr w14:paraId="2D8FDF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restart"/>
                  <w:noWrap/>
                  <w:vAlign w:val="center"/>
                </w:tcPr>
                <w:p w14:paraId="19CE3586">
                  <w:pPr>
                    <w:pStyle w:val="33"/>
                    <w:jc w:val="center"/>
                    <w:rPr>
                      <w:color w:val="auto"/>
                      <w:highlight w:val="none"/>
                    </w:rPr>
                  </w:pPr>
                  <w:r>
                    <w:rPr>
                      <w:color w:val="auto"/>
                      <w:highlight w:val="none"/>
                    </w:rPr>
                    <w:t>施工期</w:t>
                  </w:r>
                </w:p>
              </w:tc>
              <w:tc>
                <w:tcPr>
                  <w:tcW w:w="1275" w:type="dxa"/>
                  <w:vMerge w:val="restart"/>
                  <w:noWrap/>
                  <w:vAlign w:val="center"/>
                </w:tcPr>
                <w:p w14:paraId="5AFC6B72">
                  <w:pPr>
                    <w:pStyle w:val="33"/>
                    <w:jc w:val="center"/>
                    <w:rPr>
                      <w:color w:val="auto"/>
                      <w:highlight w:val="none"/>
                    </w:rPr>
                  </w:pPr>
                  <w:r>
                    <w:rPr>
                      <w:color w:val="auto"/>
                      <w:highlight w:val="none"/>
                    </w:rPr>
                    <w:t>废气</w:t>
                  </w:r>
                </w:p>
              </w:tc>
              <w:tc>
                <w:tcPr>
                  <w:tcW w:w="4405" w:type="dxa"/>
                  <w:noWrap w:val="0"/>
                  <w:vAlign w:val="center"/>
                </w:tcPr>
                <w:p w14:paraId="680256CE">
                  <w:pPr>
                    <w:pStyle w:val="33"/>
                    <w:jc w:val="center"/>
                    <w:rPr>
                      <w:color w:val="auto"/>
                      <w:highlight w:val="none"/>
                    </w:rPr>
                  </w:pPr>
                  <w:r>
                    <w:rPr>
                      <w:color w:val="auto"/>
                      <w:highlight w:val="none"/>
                    </w:rPr>
                    <w:t>临时堆场、建筑材料遮盖、拦挡等措施</w:t>
                  </w:r>
                </w:p>
              </w:tc>
              <w:tc>
                <w:tcPr>
                  <w:tcW w:w="753" w:type="dxa"/>
                  <w:noWrap w:val="0"/>
                  <w:vAlign w:val="center"/>
                </w:tcPr>
                <w:p w14:paraId="79657065">
                  <w:pPr>
                    <w:pStyle w:val="33"/>
                    <w:jc w:val="center"/>
                    <w:rPr>
                      <w:rFonts w:hint="eastAsia" w:eastAsia="宋体"/>
                      <w:color w:val="auto"/>
                      <w:highlight w:val="none"/>
                      <w:lang w:eastAsia="zh-CN"/>
                    </w:rPr>
                  </w:pPr>
                  <w:r>
                    <w:rPr>
                      <w:rFonts w:hint="eastAsia"/>
                      <w:color w:val="auto"/>
                      <w:highlight w:val="none"/>
                      <w:lang w:val="en-US" w:eastAsia="zh-CN"/>
                    </w:rPr>
                    <w:t>9</w:t>
                  </w:r>
                </w:p>
              </w:tc>
            </w:tr>
            <w:tr w14:paraId="2F72F3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3632CC56">
                  <w:pPr>
                    <w:pStyle w:val="33"/>
                    <w:jc w:val="center"/>
                    <w:rPr>
                      <w:color w:val="auto"/>
                      <w:highlight w:val="none"/>
                    </w:rPr>
                  </w:pPr>
                </w:p>
              </w:tc>
              <w:tc>
                <w:tcPr>
                  <w:tcW w:w="1275" w:type="dxa"/>
                  <w:vMerge w:val="continue"/>
                  <w:noWrap/>
                  <w:vAlign w:val="center"/>
                </w:tcPr>
                <w:p w14:paraId="0F43E4A9">
                  <w:pPr>
                    <w:pStyle w:val="33"/>
                    <w:jc w:val="center"/>
                    <w:rPr>
                      <w:color w:val="auto"/>
                      <w:highlight w:val="none"/>
                    </w:rPr>
                  </w:pPr>
                </w:p>
              </w:tc>
              <w:tc>
                <w:tcPr>
                  <w:tcW w:w="4405" w:type="dxa"/>
                  <w:noWrap w:val="0"/>
                  <w:vAlign w:val="center"/>
                </w:tcPr>
                <w:p w14:paraId="5BF49BEE">
                  <w:pPr>
                    <w:pStyle w:val="33"/>
                    <w:jc w:val="center"/>
                    <w:rPr>
                      <w:rFonts w:hint="eastAsia" w:eastAsia="宋体"/>
                      <w:color w:val="auto"/>
                      <w:highlight w:val="none"/>
                      <w:lang w:eastAsia="zh-CN"/>
                    </w:rPr>
                  </w:pPr>
                  <w:r>
                    <w:rPr>
                      <w:rFonts w:hint="eastAsia"/>
                      <w:color w:val="auto"/>
                      <w:highlight w:val="none"/>
                      <w:lang w:eastAsia="zh-CN"/>
                    </w:rPr>
                    <w:t>拌和站布袋除尘器</w:t>
                  </w:r>
                </w:p>
              </w:tc>
              <w:tc>
                <w:tcPr>
                  <w:tcW w:w="753" w:type="dxa"/>
                  <w:noWrap w:val="0"/>
                  <w:vAlign w:val="center"/>
                </w:tcPr>
                <w:p w14:paraId="78078781">
                  <w:pPr>
                    <w:pStyle w:val="33"/>
                    <w:jc w:val="center"/>
                    <w:rPr>
                      <w:rFonts w:hint="default"/>
                      <w:color w:val="auto"/>
                      <w:highlight w:val="none"/>
                      <w:lang w:val="en-US" w:eastAsia="zh-CN"/>
                    </w:rPr>
                  </w:pPr>
                  <w:r>
                    <w:rPr>
                      <w:rFonts w:hint="eastAsia"/>
                      <w:color w:val="auto"/>
                      <w:highlight w:val="none"/>
                      <w:lang w:val="en-US" w:eastAsia="zh-CN"/>
                    </w:rPr>
                    <w:t>3</w:t>
                  </w:r>
                </w:p>
              </w:tc>
            </w:tr>
            <w:tr w14:paraId="04E91D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28A911CA">
                  <w:pPr>
                    <w:pStyle w:val="33"/>
                    <w:jc w:val="center"/>
                    <w:rPr>
                      <w:color w:val="auto"/>
                      <w:highlight w:val="none"/>
                    </w:rPr>
                  </w:pPr>
                </w:p>
              </w:tc>
              <w:tc>
                <w:tcPr>
                  <w:tcW w:w="1275" w:type="dxa"/>
                  <w:vMerge w:val="continue"/>
                  <w:noWrap/>
                  <w:vAlign w:val="center"/>
                </w:tcPr>
                <w:p w14:paraId="5D81108C">
                  <w:pPr>
                    <w:pStyle w:val="33"/>
                    <w:jc w:val="center"/>
                    <w:rPr>
                      <w:color w:val="auto"/>
                      <w:highlight w:val="none"/>
                    </w:rPr>
                  </w:pPr>
                </w:p>
              </w:tc>
              <w:tc>
                <w:tcPr>
                  <w:tcW w:w="4405" w:type="dxa"/>
                  <w:noWrap w:val="0"/>
                  <w:vAlign w:val="center"/>
                </w:tcPr>
                <w:p w14:paraId="41CBBB54">
                  <w:pPr>
                    <w:pStyle w:val="33"/>
                    <w:jc w:val="center"/>
                    <w:rPr>
                      <w:color w:val="auto"/>
                      <w:highlight w:val="none"/>
                    </w:rPr>
                  </w:pPr>
                  <w:r>
                    <w:rPr>
                      <w:color w:val="auto"/>
                      <w:highlight w:val="none"/>
                    </w:rPr>
                    <w:t>洒水车</w:t>
                  </w:r>
                </w:p>
              </w:tc>
              <w:tc>
                <w:tcPr>
                  <w:tcW w:w="753" w:type="dxa"/>
                  <w:noWrap w:val="0"/>
                  <w:vAlign w:val="center"/>
                </w:tcPr>
                <w:p w14:paraId="423FC121">
                  <w:pPr>
                    <w:pStyle w:val="33"/>
                    <w:jc w:val="center"/>
                    <w:rPr>
                      <w:rFonts w:hint="eastAsia" w:eastAsia="宋体"/>
                      <w:color w:val="auto"/>
                      <w:highlight w:val="none"/>
                      <w:lang w:eastAsia="zh-CN"/>
                    </w:rPr>
                  </w:pPr>
                  <w:r>
                    <w:rPr>
                      <w:rFonts w:hint="eastAsia"/>
                      <w:color w:val="auto"/>
                      <w:highlight w:val="none"/>
                      <w:lang w:val="en-US" w:eastAsia="zh-CN"/>
                    </w:rPr>
                    <w:t>3</w:t>
                  </w:r>
                </w:p>
              </w:tc>
            </w:tr>
            <w:tr w14:paraId="52DA05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245156B2">
                  <w:pPr>
                    <w:pStyle w:val="33"/>
                    <w:jc w:val="center"/>
                    <w:rPr>
                      <w:color w:val="auto"/>
                      <w:highlight w:val="none"/>
                    </w:rPr>
                  </w:pPr>
                </w:p>
              </w:tc>
              <w:tc>
                <w:tcPr>
                  <w:tcW w:w="1275" w:type="dxa"/>
                  <w:noWrap/>
                  <w:vAlign w:val="center"/>
                </w:tcPr>
                <w:p w14:paraId="72C74396">
                  <w:pPr>
                    <w:pStyle w:val="33"/>
                    <w:jc w:val="center"/>
                    <w:rPr>
                      <w:rFonts w:hint="eastAsia" w:eastAsia="宋体"/>
                      <w:color w:val="auto"/>
                      <w:highlight w:val="none"/>
                      <w:lang w:eastAsia="zh-CN"/>
                    </w:rPr>
                  </w:pPr>
                  <w:r>
                    <w:rPr>
                      <w:rFonts w:hint="eastAsia"/>
                      <w:color w:val="auto"/>
                      <w:highlight w:val="none"/>
                      <w:lang w:eastAsia="zh-CN"/>
                    </w:rPr>
                    <w:t>废水</w:t>
                  </w:r>
                </w:p>
              </w:tc>
              <w:tc>
                <w:tcPr>
                  <w:tcW w:w="4405" w:type="dxa"/>
                  <w:noWrap w:val="0"/>
                  <w:vAlign w:val="center"/>
                </w:tcPr>
                <w:p w14:paraId="537EAD78">
                  <w:pPr>
                    <w:pStyle w:val="33"/>
                    <w:jc w:val="center"/>
                    <w:rPr>
                      <w:rFonts w:hint="eastAsia" w:eastAsia="宋体"/>
                      <w:color w:val="auto"/>
                      <w:highlight w:val="none"/>
                      <w:lang w:eastAsia="zh-CN"/>
                    </w:rPr>
                  </w:pPr>
                  <w:r>
                    <w:rPr>
                      <w:rFonts w:hint="eastAsia"/>
                      <w:color w:val="auto"/>
                      <w:highlight w:val="none"/>
                      <w:lang w:eastAsia="zh-CN"/>
                    </w:rPr>
                    <w:t>施工</w:t>
                  </w:r>
                  <w:r>
                    <w:rPr>
                      <w:color w:val="auto"/>
                      <w:highlight w:val="none"/>
                    </w:rPr>
                    <w:t>废水</w:t>
                  </w:r>
                  <w:r>
                    <w:rPr>
                      <w:rFonts w:hint="eastAsia"/>
                      <w:color w:val="auto"/>
                      <w:highlight w:val="none"/>
                      <w:lang w:eastAsia="zh-CN"/>
                    </w:rPr>
                    <w:t>隔油</w:t>
                  </w:r>
                  <w:r>
                    <w:rPr>
                      <w:color w:val="auto"/>
                      <w:highlight w:val="none"/>
                    </w:rPr>
                    <w:t>沉淀池</w:t>
                  </w:r>
                </w:p>
              </w:tc>
              <w:tc>
                <w:tcPr>
                  <w:tcW w:w="753" w:type="dxa"/>
                  <w:noWrap w:val="0"/>
                  <w:vAlign w:val="center"/>
                </w:tcPr>
                <w:p w14:paraId="19FD16FD">
                  <w:pPr>
                    <w:pStyle w:val="33"/>
                    <w:jc w:val="center"/>
                    <w:rPr>
                      <w:rFonts w:hint="default"/>
                      <w:color w:val="auto"/>
                      <w:highlight w:val="none"/>
                      <w:lang w:val="en-US" w:eastAsia="zh-CN"/>
                    </w:rPr>
                  </w:pPr>
                  <w:r>
                    <w:rPr>
                      <w:rFonts w:hint="eastAsia"/>
                      <w:color w:val="auto"/>
                      <w:highlight w:val="none"/>
                      <w:lang w:val="en-US" w:eastAsia="zh-CN"/>
                    </w:rPr>
                    <w:t>2</w:t>
                  </w:r>
                </w:p>
              </w:tc>
            </w:tr>
            <w:tr w14:paraId="2B357F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67818BEB">
                  <w:pPr>
                    <w:pStyle w:val="33"/>
                    <w:jc w:val="center"/>
                    <w:rPr>
                      <w:color w:val="auto"/>
                      <w:highlight w:val="none"/>
                    </w:rPr>
                  </w:pPr>
                </w:p>
              </w:tc>
              <w:tc>
                <w:tcPr>
                  <w:tcW w:w="1275" w:type="dxa"/>
                  <w:noWrap/>
                  <w:vAlign w:val="center"/>
                </w:tcPr>
                <w:p w14:paraId="01FC64E0">
                  <w:pPr>
                    <w:pStyle w:val="33"/>
                    <w:jc w:val="center"/>
                    <w:rPr>
                      <w:color w:val="auto"/>
                      <w:highlight w:val="none"/>
                    </w:rPr>
                  </w:pPr>
                  <w:r>
                    <w:rPr>
                      <w:color w:val="auto"/>
                      <w:highlight w:val="none"/>
                    </w:rPr>
                    <w:t>噪声</w:t>
                  </w:r>
                </w:p>
              </w:tc>
              <w:tc>
                <w:tcPr>
                  <w:tcW w:w="4405" w:type="dxa"/>
                  <w:noWrap w:val="0"/>
                  <w:vAlign w:val="center"/>
                </w:tcPr>
                <w:p w14:paraId="14CDEB35">
                  <w:pPr>
                    <w:pStyle w:val="33"/>
                    <w:jc w:val="center"/>
                    <w:rPr>
                      <w:color w:val="auto"/>
                      <w:highlight w:val="none"/>
                    </w:rPr>
                  </w:pPr>
                  <w:r>
                    <w:rPr>
                      <w:rFonts w:hint="eastAsia"/>
                      <w:color w:val="auto"/>
                      <w:highlight w:val="none"/>
                      <w:lang w:eastAsia="zh-CN"/>
                    </w:rPr>
                    <w:t>设置</w:t>
                  </w:r>
                  <w:r>
                    <w:rPr>
                      <w:color w:val="auto"/>
                      <w:highlight w:val="none"/>
                    </w:rPr>
                    <w:t>隔声</w:t>
                  </w:r>
                  <w:r>
                    <w:rPr>
                      <w:rFonts w:hint="eastAsia"/>
                      <w:color w:val="auto"/>
                      <w:lang w:eastAsia="zh-CN"/>
                    </w:rPr>
                    <w:t>、隔尘</w:t>
                  </w:r>
                  <w:r>
                    <w:rPr>
                      <w:color w:val="auto"/>
                      <w:highlight w:val="none"/>
                    </w:rPr>
                    <w:t>挡板</w:t>
                  </w:r>
                </w:p>
              </w:tc>
              <w:tc>
                <w:tcPr>
                  <w:tcW w:w="753" w:type="dxa"/>
                  <w:noWrap w:val="0"/>
                  <w:vAlign w:val="center"/>
                </w:tcPr>
                <w:p w14:paraId="73318021">
                  <w:pPr>
                    <w:pStyle w:val="33"/>
                    <w:jc w:val="center"/>
                    <w:rPr>
                      <w:rFonts w:hint="default" w:eastAsia="宋体"/>
                      <w:color w:val="auto"/>
                      <w:highlight w:val="none"/>
                      <w:lang w:val="en-US" w:eastAsia="zh-CN"/>
                    </w:rPr>
                  </w:pPr>
                  <w:r>
                    <w:rPr>
                      <w:rFonts w:hint="eastAsia"/>
                      <w:color w:val="auto"/>
                      <w:highlight w:val="none"/>
                      <w:lang w:val="en-US" w:eastAsia="zh-CN"/>
                    </w:rPr>
                    <w:t>20</w:t>
                  </w:r>
                </w:p>
              </w:tc>
            </w:tr>
            <w:tr w14:paraId="4C059FD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2AD891B4">
                  <w:pPr>
                    <w:pStyle w:val="33"/>
                    <w:jc w:val="center"/>
                    <w:rPr>
                      <w:color w:val="auto"/>
                      <w:highlight w:val="none"/>
                    </w:rPr>
                  </w:pPr>
                </w:p>
              </w:tc>
              <w:tc>
                <w:tcPr>
                  <w:tcW w:w="1275" w:type="dxa"/>
                  <w:noWrap/>
                  <w:vAlign w:val="center"/>
                </w:tcPr>
                <w:p w14:paraId="60FDD074">
                  <w:pPr>
                    <w:pStyle w:val="33"/>
                    <w:jc w:val="center"/>
                    <w:rPr>
                      <w:color w:val="auto"/>
                      <w:highlight w:val="none"/>
                    </w:rPr>
                  </w:pPr>
                  <w:r>
                    <w:rPr>
                      <w:color w:val="auto"/>
                      <w:highlight w:val="none"/>
                    </w:rPr>
                    <w:t>生态环境</w:t>
                  </w:r>
                </w:p>
              </w:tc>
              <w:tc>
                <w:tcPr>
                  <w:tcW w:w="4405" w:type="dxa"/>
                  <w:noWrap/>
                  <w:vAlign w:val="center"/>
                </w:tcPr>
                <w:p w14:paraId="2C7C747F">
                  <w:pPr>
                    <w:pStyle w:val="33"/>
                    <w:jc w:val="center"/>
                    <w:rPr>
                      <w:color w:val="auto"/>
                      <w:highlight w:val="none"/>
                    </w:rPr>
                  </w:pPr>
                  <w:r>
                    <w:rPr>
                      <w:color w:val="auto"/>
                      <w:highlight w:val="none"/>
                    </w:rPr>
                    <w:t>临时占地平整及恢复地表植被</w:t>
                  </w:r>
                </w:p>
              </w:tc>
              <w:tc>
                <w:tcPr>
                  <w:tcW w:w="753" w:type="dxa"/>
                  <w:noWrap w:val="0"/>
                  <w:vAlign w:val="center"/>
                </w:tcPr>
                <w:p w14:paraId="616BED13">
                  <w:pPr>
                    <w:pStyle w:val="33"/>
                    <w:jc w:val="center"/>
                    <w:rPr>
                      <w:rFonts w:hint="default" w:eastAsia="宋体"/>
                      <w:color w:val="auto"/>
                      <w:highlight w:val="none"/>
                      <w:lang w:val="en-US" w:eastAsia="zh-CN"/>
                    </w:rPr>
                  </w:pPr>
                  <w:r>
                    <w:rPr>
                      <w:rFonts w:hint="eastAsia"/>
                      <w:color w:val="auto"/>
                      <w:highlight w:val="none"/>
                      <w:lang w:val="en-US" w:eastAsia="zh-CN"/>
                    </w:rPr>
                    <w:t>30</w:t>
                  </w:r>
                </w:p>
              </w:tc>
            </w:tr>
            <w:tr w14:paraId="61EA2C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restart"/>
                  <w:noWrap/>
                  <w:vAlign w:val="center"/>
                </w:tcPr>
                <w:p w14:paraId="000FB813">
                  <w:pPr>
                    <w:pStyle w:val="33"/>
                    <w:jc w:val="center"/>
                    <w:rPr>
                      <w:color w:val="auto"/>
                      <w:highlight w:val="none"/>
                    </w:rPr>
                  </w:pPr>
                  <w:r>
                    <w:rPr>
                      <w:color w:val="auto"/>
                      <w:highlight w:val="none"/>
                    </w:rPr>
                    <w:t>运营期</w:t>
                  </w:r>
                </w:p>
              </w:tc>
              <w:tc>
                <w:tcPr>
                  <w:tcW w:w="1275" w:type="dxa"/>
                  <w:noWrap/>
                  <w:vAlign w:val="center"/>
                </w:tcPr>
                <w:p w14:paraId="132CE903">
                  <w:pPr>
                    <w:pStyle w:val="33"/>
                    <w:jc w:val="center"/>
                    <w:rPr>
                      <w:color w:val="auto"/>
                      <w:highlight w:val="none"/>
                    </w:rPr>
                  </w:pPr>
                  <w:r>
                    <w:rPr>
                      <w:color w:val="auto"/>
                      <w:highlight w:val="none"/>
                    </w:rPr>
                    <w:t>噪声</w:t>
                  </w:r>
                </w:p>
              </w:tc>
              <w:tc>
                <w:tcPr>
                  <w:tcW w:w="4405" w:type="dxa"/>
                  <w:noWrap/>
                  <w:vAlign w:val="center"/>
                </w:tcPr>
                <w:p w14:paraId="0240DF60">
                  <w:pPr>
                    <w:pStyle w:val="33"/>
                    <w:jc w:val="center"/>
                    <w:rPr>
                      <w:color w:val="auto"/>
                      <w:highlight w:val="none"/>
                    </w:rPr>
                  </w:pPr>
                  <w:r>
                    <w:rPr>
                      <w:color w:val="auto"/>
                      <w:highlight w:val="none"/>
                    </w:rPr>
                    <w:t>安装</w:t>
                  </w:r>
                  <w:r>
                    <w:rPr>
                      <w:rFonts w:hint="eastAsia"/>
                      <w:color w:val="auto"/>
                      <w:highlight w:val="none"/>
                      <w:lang w:eastAsia="zh-CN"/>
                    </w:rPr>
                    <w:t>减速慢行、</w:t>
                  </w:r>
                  <w:r>
                    <w:rPr>
                      <w:color w:val="auto"/>
                      <w:highlight w:val="none"/>
                    </w:rPr>
                    <w:t>禁止鸣笛标志</w:t>
                  </w:r>
                </w:p>
              </w:tc>
              <w:tc>
                <w:tcPr>
                  <w:tcW w:w="753" w:type="dxa"/>
                  <w:noWrap w:val="0"/>
                  <w:vAlign w:val="center"/>
                </w:tcPr>
                <w:p w14:paraId="3AB0CFF1">
                  <w:pPr>
                    <w:pStyle w:val="33"/>
                    <w:jc w:val="center"/>
                    <w:rPr>
                      <w:rFonts w:hint="eastAsia" w:eastAsia="宋体"/>
                      <w:color w:val="auto"/>
                      <w:highlight w:val="none"/>
                      <w:lang w:eastAsia="zh-CN"/>
                    </w:rPr>
                  </w:pPr>
                  <w:r>
                    <w:rPr>
                      <w:rFonts w:hint="eastAsia"/>
                      <w:color w:val="auto"/>
                      <w:highlight w:val="none"/>
                      <w:lang w:val="en-US" w:eastAsia="zh-CN"/>
                    </w:rPr>
                    <w:t>3</w:t>
                  </w:r>
                </w:p>
              </w:tc>
            </w:tr>
            <w:tr w14:paraId="7533ED5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09196CB9">
                  <w:pPr>
                    <w:pStyle w:val="33"/>
                    <w:jc w:val="center"/>
                    <w:rPr>
                      <w:color w:val="auto"/>
                      <w:highlight w:val="none"/>
                    </w:rPr>
                  </w:pPr>
                </w:p>
              </w:tc>
              <w:tc>
                <w:tcPr>
                  <w:tcW w:w="1275" w:type="dxa"/>
                  <w:noWrap/>
                  <w:vAlign w:val="center"/>
                </w:tcPr>
                <w:p w14:paraId="12791FBB">
                  <w:pPr>
                    <w:pStyle w:val="33"/>
                    <w:jc w:val="center"/>
                    <w:rPr>
                      <w:color w:val="auto"/>
                      <w:highlight w:val="none"/>
                    </w:rPr>
                  </w:pPr>
                  <w:r>
                    <w:rPr>
                      <w:color w:val="auto"/>
                      <w:highlight w:val="none"/>
                    </w:rPr>
                    <w:t>生态环境</w:t>
                  </w:r>
                </w:p>
              </w:tc>
              <w:tc>
                <w:tcPr>
                  <w:tcW w:w="4405" w:type="dxa"/>
                  <w:noWrap/>
                  <w:vAlign w:val="center"/>
                </w:tcPr>
                <w:p w14:paraId="2FD96293">
                  <w:pPr>
                    <w:pStyle w:val="33"/>
                    <w:jc w:val="center"/>
                    <w:rPr>
                      <w:rFonts w:hint="eastAsia" w:eastAsia="宋体"/>
                      <w:color w:val="auto"/>
                      <w:highlight w:val="none"/>
                      <w:lang w:eastAsia="zh-CN"/>
                    </w:rPr>
                  </w:pPr>
                  <w:r>
                    <w:rPr>
                      <w:rFonts w:hint="eastAsia"/>
                      <w:color w:val="auto"/>
                      <w:highlight w:val="none"/>
                      <w:lang w:eastAsia="zh-CN"/>
                    </w:rPr>
                    <w:t>生态敏感区段安装生态保护警示牌</w:t>
                  </w:r>
                </w:p>
              </w:tc>
              <w:tc>
                <w:tcPr>
                  <w:tcW w:w="753" w:type="dxa"/>
                  <w:noWrap w:val="0"/>
                  <w:vAlign w:val="center"/>
                </w:tcPr>
                <w:p w14:paraId="55E1E25C">
                  <w:pPr>
                    <w:pStyle w:val="33"/>
                    <w:jc w:val="center"/>
                    <w:rPr>
                      <w:rFonts w:hint="eastAsia" w:eastAsia="宋体"/>
                      <w:color w:val="auto"/>
                      <w:highlight w:val="none"/>
                      <w:lang w:eastAsia="zh-CN"/>
                    </w:rPr>
                  </w:pPr>
                  <w:r>
                    <w:rPr>
                      <w:rFonts w:hint="eastAsia"/>
                      <w:color w:val="auto"/>
                      <w:highlight w:val="none"/>
                      <w:lang w:val="en-US" w:eastAsia="zh-CN"/>
                    </w:rPr>
                    <w:t>4</w:t>
                  </w:r>
                </w:p>
              </w:tc>
            </w:tr>
            <w:tr w14:paraId="101F56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6FF5C8CA">
                  <w:pPr>
                    <w:pStyle w:val="33"/>
                    <w:jc w:val="center"/>
                    <w:rPr>
                      <w:color w:val="auto"/>
                      <w:highlight w:val="none"/>
                    </w:rPr>
                  </w:pPr>
                </w:p>
              </w:tc>
              <w:tc>
                <w:tcPr>
                  <w:tcW w:w="1275" w:type="dxa"/>
                  <w:vMerge w:val="restart"/>
                  <w:noWrap/>
                  <w:vAlign w:val="center"/>
                </w:tcPr>
                <w:p w14:paraId="7CB41BDC">
                  <w:pPr>
                    <w:pStyle w:val="33"/>
                    <w:jc w:val="center"/>
                    <w:rPr>
                      <w:color w:val="auto"/>
                      <w:highlight w:val="none"/>
                    </w:rPr>
                  </w:pPr>
                  <w:r>
                    <w:rPr>
                      <w:color w:val="auto"/>
                      <w:highlight w:val="none"/>
                    </w:rPr>
                    <w:t>其他</w:t>
                  </w:r>
                </w:p>
              </w:tc>
              <w:tc>
                <w:tcPr>
                  <w:tcW w:w="4405" w:type="dxa"/>
                  <w:noWrap/>
                  <w:vAlign w:val="center"/>
                </w:tcPr>
                <w:p w14:paraId="3E6242F4">
                  <w:pPr>
                    <w:pStyle w:val="33"/>
                    <w:jc w:val="center"/>
                    <w:rPr>
                      <w:color w:val="auto"/>
                      <w:highlight w:val="none"/>
                    </w:rPr>
                  </w:pPr>
                  <w:r>
                    <w:rPr>
                      <w:color w:val="auto"/>
                      <w:highlight w:val="none"/>
                    </w:rPr>
                    <w:t>环境保护工程设计</w:t>
                  </w:r>
                </w:p>
              </w:tc>
              <w:tc>
                <w:tcPr>
                  <w:tcW w:w="753" w:type="dxa"/>
                  <w:noWrap w:val="0"/>
                  <w:vAlign w:val="center"/>
                </w:tcPr>
                <w:p w14:paraId="196A808C">
                  <w:pPr>
                    <w:pStyle w:val="33"/>
                    <w:jc w:val="center"/>
                    <w:rPr>
                      <w:rFonts w:hint="default" w:eastAsia="宋体"/>
                      <w:color w:val="auto"/>
                      <w:highlight w:val="none"/>
                      <w:lang w:val="en-US" w:eastAsia="zh-CN"/>
                    </w:rPr>
                  </w:pPr>
                  <w:r>
                    <w:rPr>
                      <w:rFonts w:hint="eastAsia"/>
                      <w:color w:val="auto"/>
                      <w:highlight w:val="none"/>
                      <w:lang w:val="en-US" w:eastAsia="zh-CN"/>
                    </w:rPr>
                    <w:t>10</w:t>
                  </w:r>
                </w:p>
              </w:tc>
            </w:tr>
            <w:tr w14:paraId="6FF173C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4924871A">
                  <w:pPr>
                    <w:pStyle w:val="33"/>
                    <w:jc w:val="center"/>
                    <w:rPr>
                      <w:color w:val="auto"/>
                      <w:highlight w:val="none"/>
                    </w:rPr>
                  </w:pPr>
                </w:p>
              </w:tc>
              <w:tc>
                <w:tcPr>
                  <w:tcW w:w="1275" w:type="dxa"/>
                  <w:vMerge w:val="continue"/>
                  <w:noWrap/>
                  <w:vAlign w:val="center"/>
                </w:tcPr>
                <w:p w14:paraId="4086F468">
                  <w:pPr>
                    <w:pStyle w:val="33"/>
                    <w:jc w:val="center"/>
                    <w:rPr>
                      <w:color w:val="auto"/>
                      <w:highlight w:val="none"/>
                    </w:rPr>
                  </w:pPr>
                </w:p>
              </w:tc>
              <w:tc>
                <w:tcPr>
                  <w:tcW w:w="4405" w:type="dxa"/>
                  <w:noWrap/>
                  <w:vAlign w:val="center"/>
                </w:tcPr>
                <w:p w14:paraId="5A2A2EB7">
                  <w:pPr>
                    <w:pStyle w:val="33"/>
                    <w:jc w:val="center"/>
                    <w:rPr>
                      <w:color w:val="auto"/>
                      <w:highlight w:val="none"/>
                    </w:rPr>
                  </w:pPr>
                  <w:r>
                    <w:rPr>
                      <w:color w:val="auto"/>
                      <w:highlight w:val="none"/>
                    </w:rPr>
                    <w:t>环境监测</w:t>
                  </w:r>
                </w:p>
              </w:tc>
              <w:tc>
                <w:tcPr>
                  <w:tcW w:w="753" w:type="dxa"/>
                  <w:noWrap w:val="0"/>
                  <w:vAlign w:val="center"/>
                </w:tcPr>
                <w:p w14:paraId="600CEF8D">
                  <w:pPr>
                    <w:pStyle w:val="33"/>
                    <w:jc w:val="center"/>
                    <w:rPr>
                      <w:rFonts w:hint="default" w:eastAsia="宋体"/>
                      <w:color w:val="auto"/>
                      <w:highlight w:val="none"/>
                      <w:lang w:val="en-US" w:eastAsia="zh-CN"/>
                    </w:rPr>
                  </w:pPr>
                  <w:r>
                    <w:rPr>
                      <w:rFonts w:hint="eastAsia"/>
                      <w:color w:val="auto"/>
                      <w:highlight w:val="none"/>
                      <w:lang w:val="en-US" w:eastAsia="zh-CN"/>
                    </w:rPr>
                    <w:t>10</w:t>
                  </w:r>
                </w:p>
              </w:tc>
            </w:tr>
            <w:tr w14:paraId="20270C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53CF36F1">
                  <w:pPr>
                    <w:pStyle w:val="33"/>
                    <w:jc w:val="center"/>
                    <w:rPr>
                      <w:color w:val="auto"/>
                      <w:highlight w:val="none"/>
                    </w:rPr>
                  </w:pPr>
                </w:p>
              </w:tc>
              <w:tc>
                <w:tcPr>
                  <w:tcW w:w="1275" w:type="dxa"/>
                  <w:vMerge w:val="continue"/>
                  <w:noWrap/>
                  <w:vAlign w:val="center"/>
                </w:tcPr>
                <w:p w14:paraId="78B71DA2">
                  <w:pPr>
                    <w:pStyle w:val="33"/>
                    <w:jc w:val="center"/>
                    <w:rPr>
                      <w:color w:val="auto"/>
                      <w:highlight w:val="none"/>
                    </w:rPr>
                  </w:pPr>
                </w:p>
              </w:tc>
              <w:tc>
                <w:tcPr>
                  <w:tcW w:w="4405" w:type="dxa"/>
                  <w:noWrap/>
                  <w:vAlign w:val="center"/>
                </w:tcPr>
                <w:p w14:paraId="0385E82A">
                  <w:pPr>
                    <w:pStyle w:val="33"/>
                    <w:jc w:val="center"/>
                    <w:rPr>
                      <w:color w:val="auto"/>
                      <w:highlight w:val="none"/>
                    </w:rPr>
                  </w:pPr>
                  <w:r>
                    <w:rPr>
                      <w:color w:val="auto"/>
                      <w:highlight w:val="none"/>
                    </w:rPr>
                    <w:t>宣传教育</w:t>
                  </w:r>
                </w:p>
              </w:tc>
              <w:tc>
                <w:tcPr>
                  <w:tcW w:w="753" w:type="dxa"/>
                  <w:noWrap w:val="0"/>
                  <w:vAlign w:val="center"/>
                </w:tcPr>
                <w:p w14:paraId="1836B4DE">
                  <w:pPr>
                    <w:pStyle w:val="33"/>
                    <w:jc w:val="center"/>
                    <w:rPr>
                      <w:rFonts w:hint="eastAsia" w:eastAsia="宋体"/>
                      <w:color w:val="auto"/>
                      <w:highlight w:val="none"/>
                      <w:lang w:eastAsia="zh-CN"/>
                    </w:rPr>
                  </w:pPr>
                  <w:r>
                    <w:rPr>
                      <w:rFonts w:hint="eastAsia"/>
                      <w:color w:val="auto"/>
                      <w:highlight w:val="none"/>
                      <w:lang w:val="en-US" w:eastAsia="zh-CN"/>
                    </w:rPr>
                    <w:t>2</w:t>
                  </w:r>
                </w:p>
              </w:tc>
            </w:tr>
            <w:tr w14:paraId="327CE45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3147E797">
                  <w:pPr>
                    <w:pStyle w:val="33"/>
                    <w:jc w:val="center"/>
                    <w:rPr>
                      <w:color w:val="auto"/>
                      <w:highlight w:val="none"/>
                    </w:rPr>
                  </w:pPr>
                </w:p>
              </w:tc>
              <w:tc>
                <w:tcPr>
                  <w:tcW w:w="1275" w:type="dxa"/>
                  <w:vMerge w:val="continue"/>
                  <w:noWrap/>
                  <w:vAlign w:val="center"/>
                </w:tcPr>
                <w:p w14:paraId="130A8166">
                  <w:pPr>
                    <w:pStyle w:val="33"/>
                    <w:jc w:val="center"/>
                    <w:rPr>
                      <w:color w:val="auto"/>
                      <w:highlight w:val="none"/>
                    </w:rPr>
                  </w:pPr>
                </w:p>
              </w:tc>
              <w:tc>
                <w:tcPr>
                  <w:tcW w:w="4405" w:type="dxa"/>
                  <w:noWrap/>
                  <w:vAlign w:val="center"/>
                </w:tcPr>
                <w:p w14:paraId="10E94483">
                  <w:pPr>
                    <w:pStyle w:val="33"/>
                    <w:jc w:val="center"/>
                    <w:rPr>
                      <w:color w:val="auto"/>
                      <w:highlight w:val="none"/>
                    </w:rPr>
                  </w:pPr>
                  <w:r>
                    <w:rPr>
                      <w:color w:val="auto"/>
                      <w:highlight w:val="none"/>
                    </w:rPr>
                    <w:t>环境保护管理</w:t>
                  </w:r>
                </w:p>
              </w:tc>
              <w:tc>
                <w:tcPr>
                  <w:tcW w:w="753" w:type="dxa"/>
                  <w:noWrap w:val="0"/>
                  <w:vAlign w:val="center"/>
                </w:tcPr>
                <w:p w14:paraId="5C2A18B8">
                  <w:pPr>
                    <w:pStyle w:val="33"/>
                    <w:jc w:val="center"/>
                    <w:rPr>
                      <w:rFonts w:hint="eastAsia" w:eastAsia="宋体"/>
                      <w:color w:val="auto"/>
                      <w:highlight w:val="none"/>
                      <w:lang w:eastAsia="zh-CN"/>
                    </w:rPr>
                  </w:pPr>
                  <w:r>
                    <w:rPr>
                      <w:rFonts w:hint="eastAsia"/>
                      <w:color w:val="auto"/>
                      <w:highlight w:val="none"/>
                      <w:lang w:val="en-US" w:eastAsia="zh-CN"/>
                    </w:rPr>
                    <w:t>5</w:t>
                  </w:r>
                </w:p>
              </w:tc>
            </w:tr>
            <w:tr w14:paraId="2AA9D3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72" w:type="dxa"/>
                  <w:vMerge w:val="continue"/>
                  <w:noWrap/>
                  <w:vAlign w:val="center"/>
                </w:tcPr>
                <w:p w14:paraId="6924AC1F">
                  <w:pPr>
                    <w:pStyle w:val="33"/>
                    <w:jc w:val="center"/>
                    <w:rPr>
                      <w:color w:val="auto"/>
                      <w:highlight w:val="none"/>
                    </w:rPr>
                  </w:pPr>
                </w:p>
              </w:tc>
              <w:tc>
                <w:tcPr>
                  <w:tcW w:w="1275" w:type="dxa"/>
                  <w:vMerge w:val="continue"/>
                  <w:noWrap/>
                  <w:vAlign w:val="center"/>
                </w:tcPr>
                <w:p w14:paraId="23BA0DF8">
                  <w:pPr>
                    <w:pStyle w:val="33"/>
                    <w:jc w:val="center"/>
                    <w:rPr>
                      <w:color w:val="auto"/>
                      <w:highlight w:val="none"/>
                    </w:rPr>
                  </w:pPr>
                </w:p>
              </w:tc>
              <w:tc>
                <w:tcPr>
                  <w:tcW w:w="4405" w:type="dxa"/>
                  <w:noWrap/>
                  <w:vAlign w:val="center"/>
                </w:tcPr>
                <w:p w14:paraId="353F0980">
                  <w:pPr>
                    <w:pStyle w:val="33"/>
                    <w:jc w:val="center"/>
                    <w:rPr>
                      <w:color w:val="auto"/>
                      <w:highlight w:val="none"/>
                    </w:rPr>
                  </w:pPr>
                  <w:r>
                    <w:rPr>
                      <w:color w:val="auto"/>
                      <w:highlight w:val="none"/>
                    </w:rPr>
                    <w:t>预留噪声监测和治理费用</w:t>
                  </w:r>
                </w:p>
              </w:tc>
              <w:tc>
                <w:tcPr>
                  <w:tcW w:w="753" w:type="dxa"/>
                  <w:noWrap w:val="0"/>
                  <w:vAlign w:val="center"/>
                </w:tcPr>
                <w:p w14:paraId="154AB5DE">
                  <w:pPr>
                    <w:pStyle w:val="33"/>
                    <w:jc w:val="center"/>
                    <w:rPr>
                      <w:rFonts w:hint="default" w:eastAsia="宋体"/>
                      <w:color w:val="auto"/>
                      <w:highlight w:val="none"/>
                      <w:lang w:val="en-US" w:eastAsia="zh-CN"/>
                    </w:rPr>
                  </w:pPr>
                  <w:r>
                    <w:rPr>
                      <w:rFonts w:hint="eastAsia"/>
                      <w:color w:val="auto"/>
                      <w:highlight w:val="none"/>
                      <w:lang w:val="en-US" w:eastAsia="zh-CN"/>
                    </w:rPr>
                    <w:t>20</w:t>
                  </w:r>
                </w:p>
              </w:tc>
            </w:tr>
            <w:tr w14:paraId="103026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552" w:type="dxa"/>
                  <w:gridSpan w:val="3"/>
                  <w:noWrap/>
                  <w:vAlign w:val="center"/>
                </w:tcPr>
                <w:p w14:paraId="396ED3B2">
                  <w:pPr>
                    <w:pStyle w:val="33"/>
                    <w:jc w:val="center"/>
                    <w:rPr>
                      <w:color w:val="auto"/>
                      <w:highlight w:val="none"/>
                    </w:rPr>
                  </w:pPr>
                  <w:r>
                    <w:rPr>
                      <w:color w:val="auto"/>
                      <w:highlight w:val="none"/>
                    </w:rPr>
                    <w:t>合计</w:t>
                  </w:r>
                </w:p>
              </w:tc>
              <w:tc>
                <w:tcPr>
                  <w:tcW w:w="753" w:type="dxa"/>
                  <w:noWrap w:val="0"/>
                  <w:vAlign w:val="center"/>
                </w:tcPr>
                <w:p w14:paraId="4E557108">
                  <w:pPr>
                    <w:pStyle w:val="33"/>
                    <w:jc w:val="center"/>
                    <w:rPr>
                      <w:rFonts w:hint="default" w:eastAsia="宋体"/>
                      <w:color w:val="auto"/>
                      <w:highlight w:val="none"/>
                      <w:lang w:val="en-US" w:eastAsia="zh-CN"/>
                    </w:rPr>
                  </w:pPr>
                  <w:r>
                    <w:rPr>
                      <w:rFonts w:hint="eastAsia"/>
                      <w:color w:val="auto"/>
                      <w:highlight w:val="none"/>
                      <w:lang w:val="en-US" w:eastAsia="zh-CN"/>
                    </w:rPr>
                    <w:t>121</w:t>
                  </w:r>
                </w:p>
              </w:tc>
            </w:tr>
          </w:tbl>
          <w:p w14:paraId="4ED22859">
            <w:pPr>
              <w:ind w:left="0" w:leftChars="0" w:firstLine="0" w:firstLineChars="0"/>
              <w:rPr>
                <w:color w:val="auto"/>
                <w:highlight w:val="none"/>
              </w:rPr>
            </w:pPr>
          </w:p>
          <w:p w14:paraId="2CC512FE">
            <w:pPr>
              <w:pStyle w:val="9"/>
              <w:rPr>
                <w:color w:val="auto"/>
              </w:rPr>
            </w:pPr>
          </w:p>
        </w:tc>
      </w:tr>
    </w:tbl>
    <w:p w14:paraId="2CEA1B30">
      <w:pPr>
        <w:ind w:firstLine="480"/>
        <w:rPr>
          <w:color w:val="auto"/>
          <w:highlight w:val="none"/>
        </w:rPr>
        <w:sectPr>
          <w:pgSz w:w="11907" w:h="16840"/>
          <w:pgMar w:top="1440" w:right="1797" w:bottom="1440" w:left="1797" w:header="851" w:footer="1077" w:gutter="0"/>
          <w:pgBorders>
            <w:top w:val="none" w:sz="0" w:space="0"/>
            <w:left w:val="none" w:sz="0" w:space="0"/>
            <w:bottom w:val="none" w:sz="0" w:space="0"/>
            <w:right w:val="none" w:sz="0" w:space="0"/>
          </w:pgBorders>
          <w:cols w:space="720" w:num="1"/>
          <w:docGrid w:linePitch="312" w:charSpace="0"/>
        </w:sectPr>
      </w:pPr>
    </w:p>
    <w:p w14:paraId="3555FA4A">
      <w:pPr>
        <w:pStyle w:val="31"/>
        <w:rPr>
          <w:color w:val="auto"/>
          <w:highlight w:val="none"/>
        </w:rPr>
      </w:pPr>
      <w:bookmarkStart w:id="13" w:name="_Toc20872"/>
      <w:bookmarkStart w:id="14" w:name="_Toc6724"/>
      <w:r>
        <w:rPr>
          <w:color w:val="auto"/>
          <w:highlight w:val="none"/>
        </w:rPr>
        <w:t>六、生态环境保护措施监督检查清单</w:t>
      </w:r>
      <w:bookmarkEnd w:id="13"/>
      <w:bookmarkEnd w:id="14"/>
    </w:p>
    <w:tbl>
      <w:tblPr>
        <w:tblStyle w:val="1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326"/>
        <w:gridCol w:w="2502"/>
        <w:gridCol w:w="1290"/>
        <w:gridCol w:w="1905"/>
        <w:gridCol w:w="1499"/>
      </w:tblGrid>
      <w:tr w14:paraId="187739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777" w:type="pct"/>
            <w:vMerge w:val="restart"/>
            <w:tcBorders>
              <w:tl2br w:val="single" w:color="auto" w:sz="4" w:space="0"/>
            </w:tcBorders>
            <w:noWrap w:val="0"/>
            <w:vAlign w:val="top"/>
          </w:tcPr>
          <w:p w14:paraId="2A54C8C8">
            <w:pPr>
              <w:keepNext w:val="0"/>
              <w:keepLines w:val="0"/>
              <w:pageBreakBefore w:val="0"/>
              <w:widowControl w:val="0"/>
              <w:kinsoku/>
              <w:wordWrap w:val="0"/>
              <w:overflowPunct/>
              <w:topLinePunct w:val="0"/>
              <w:autoSpaceDE/>
              <w:autoSpaceDN/>
              <w:bidi w:val="0"/>
              <w:adjustRightInd w:val="0"/>
              <w:snapToGrid w:val="0"/>
              <w:spacing w:before="72" w:beforeLines="30"/>
              <w:jc w:val="center"/>
              <w:textAlignment w:val="auto"/>
              <w:rPr>
                <w:rFonts w:hint="eastAsia" w:ascii="Times New Roman" w:hAnsi="Times New Roman" w:eastAsia="宋体" w:cs="宋体"/>
                <w:color w:val="auto"/>
                <w:sz w:val="21"/>
                <w:szCs w:val="21"/>
                <w:highlight w:val="none"/>
              </w:rPr>
            </w:pPr>
            <w:bookmarkStart w:id="15" w:name="_Toc15029"/>
            <w:r>
              <w:rPr>
                <w:rFonts w:hint="eastAsia" w:ascii="Times New Roman" w:hAnsi="Times New Roman" w:eastAsia="宋体" w:cs="宋体"/>
                <w:color w:val="auto"/>
                <w:sz w:val="21"/>
                <w:szCs w:val="21"/>
                <w:highlight w:val="none"/>
              </w:rPr>
              <w:t>内容</w:t>
            </w:r>
            <w:bookmarkEnd w:id="15"/>
          </w:p>
          <w:p w14:paraId="6C43B3F0">
            <w:pPr>
              <w:keepNext w:val="0"/>
              <w:keepLines w:val="0"/>
              <w:pageBreakBefore w:val="0"/>
              <w:widowControl w:val="0"/>
              <w:kinsoku/>
              <w:wordWrap w:val="0"/>
              <w:overflowPunct/>
              <w:topLinePunct w:val="0"/>
              <w:autoSpaceDE/>
              <w:autoSpaceDN/>
              <w:bidi w:val="0"/>
              <w:adjustRightInd w:val="0"/>
              <w:snapToGrid w:val="0"/>
              <w:spacing w:line="14" w:lineRule="auto"/>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 xml:space="preserve">  </w:t>
            </w:r>
          </w:p>
          <w:p w14:paraId="2EF7845E">
            <w:pPr>
              <w:keepNext w:val="0"/>
              <w:keepLines w:val="0"/>
              <w:pageBreakBefore w:val="0"/>
              <w:widowControl w:val="0"/>
              <w:kinsoku/>
              <w:wordWrap w:val="0"/>
              <w:overflowPunct/>
              <w:topLinePunct w:val="0"/>
              <w:autoSpaceDE/>
              <w:autoSpaceDN/>
              <w:bidi w:val="0"/>
              <w:adjustRightInd w:val="0"/>
              <w:snapToGrid w:val="0"/>
              <w:ind w:left="0" w:leftChars="0" w:firstLine="0" w:firstLineChars="0"/>
              <w:textAlignment w:val="auto"/>
              <w:rPr>
                <w:rFonts w:hint="eastAsia" w:ascii="Times New Roman" w:hAnsi="Times New Roman" w:eastAsia="宋体" w:cs="宋体"/>
                <w:color w:val="auto"/>
                <w:sz w:val="21"/>
                <w:szCs w:val="21"/>
                <w:highlight w:val="none"/>
              </w:rPr>
            </w:pPr>
            <w:bookmarkStart w:id="16" w:name="_Toc21021"/>
            <w:r>
              <w:rPr>
                <w:rFonts w:hint="eastAsia" w:ascii="Times New Roman" w:hAnsi="Times New Roman" w:eastAsia="宋体" w:cs="宋体"/>
                <w:color w:val="auto"/>
                <w:sz w:val="21"/>
                <w:szCs w:val="21"/>
                <w:highlight w:val="none"/>
              </w:rPr>
              <w:t>要素</w:t>
            </w:r>
            <w:bookmarkEnd w:id="16"/>
          </w:p>
        </w:tc>
        <w:tc>
          <w:tcPr>
            <w:tcW w:w="2224" w:type="pct"/>
            <w:gridSpan w:val="2"/>
            <w:noWrap w:val="0"/>
            <w:vAlign w:val="center"/>
          </w:tcPr>
          <w:p w14:paraId="2B23CE9A">
            <w:pPr>
              <w:pStyle w:val="38"/>
              <w:keepNext w:val="0"/>
              <w:keepLines w:val="0"/>
              <w:pageBreakBefore w:val="0"/>
              <w:widowControl w:val="0"/>
              <w:kinsoku/>
              <w:wordWrap w:val="0"/>
              <w:overflowPunct/>
              <w:topLinePunct w:val="0"/>
              <w:autoSpaceDE/>
              <w:autoSpaceDN/>
              <w:bidi w:val="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施工期</w:t>
            </w:r>
          </w:p>
        </w:tc>
        <w:tc>
          <w:tcPr>
            <w:tcW w:w="1997" w:type="pct"/>
            <w:gridSpan w:val="2"/>
            <w:noWrap w:val="0"/>
            <w:vAlign w:val="center"/>
          </w:tcPr>
          <w:p w14:paraId="3548BAAA">
            <w:pPr>
              <w:pStyle w:val="38"/>
              <w:keepNext w:val="0"/>
              <w:keepLines w:val="0"/>
              <w:pageBreakBefore w:val="0"/>
              <w:widowControl w:val="0"/>
              <w:kinsoku/>
              <w:wordWrap w:val="0"/>
              <w:overflowPunct/>
              <w:topLinePunct w:val="0"/>
              <w:autoSpaceDE/>
              <w:autoSpaceDN/>
              <w:bidi w:val="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运营期</w:t>
            </w:r>
          </w:p>
        </w:tc>
      </w:tr>
      <w:tr w14:paraId="7B2F76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777" w:type="pct"/>
            <w:vMerge w:val="continue"/>
            <w:noWrap w:val="0"/>
            <w:vAlign w:val="top"/>
          </w:tcPr>
          <w:p w14:paraId="46382672">
            <w:pPr>
              <w:keepNext w:val="0"/>
              <w:keepLines w:val="0"/>
              <w:pageBreakBefore w:val="0"/>
              <w:widowControl w:val="0"/>
              <w:kinsoku/>
              <w:wordWrap w:val="0"/>
              <w:overflowPunct/>
              <w:topLinePunct w:val="0"/>
              <w:autoSpaceDE/>
              <w:autoSpaceDN/>
              <w:bidi w:val="0"/>
              <w:adjustRightInd w:val="0"/>
              <w:snapToGrid w:val="0"/>
              <w:jc w:val="center"/>
              <w:textAlignment w:val="auto"/>
              <w:outlineLvl w:val="0"/>
              <w:rPr>
                <w:rFonts w:hint="eastAsia" w:ascii="Times New Roman" w:hAnsi="Times New Roman" w:eastAsia="宋体" w:cs="宋体"/>
                <w:color w:val="auto"/>
                <w:sz w:val="21"/>
                <w:szCs w:val="21"/>
                <w:highlight w:val="none"/>
              </w:rPr>
            </w:pPr>
          </w:p>
        </w:tc>
        <w:tc>
          <w:tcPr>
            <w:tcW w:w="1467" w:type="pct"/>
            <w:noWrap w:val="0"/>
            <w:vAlign w:val="center"/>
          </w:tcPr>
          <w:p w14:paraId="1F84461E">
            <w:pPr>
              <w:pStyle w:val="38"/>
              <w:keepNext w:val="0"/>
              <w:keepLines w:val="0"/>
              <w:pageBreakBefore w:val="0"/>
              <w:widowControl w:val="0"/>
              <w:kinsoku/>
              <w:wordWrap w:val="0"/>
              <w:overflowPunct/>
              <w:topLinePunct w:val="0"/>
              <w:autoSpaceDE/>
              <w:autoSpaceDN/>
              <w:bidi w:val="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环境保护措施</w:t>
            </w:r>
          </w:p>
        </w:tc>
        <w:tc>
          <w:tcPr>
            <w:tcW w:w="756" w:type="pct"/>
            <w:noWrap w:val="0"/>
            <w:vAlign w:val="center"/>
          </w:tcPr>
          <w:p w14:paraId="14E4D49E">
            <w:pPr>
              <w:pStyle w:val="38"/>
              <w:keepNext w:val="0"/>
              <w:keepLines w:val="0"/>
              <w:pageBreakBefore w:val="0"/>
              <w:widowControl w:val="0"/>
              <w:kinsoku/>
              <w:wordWrap w:val="0"/>
              <w:overflowPunct/>
              <w:topLinePunct w:val="0"/>
              <w:autoSpaceDE/>
              <w:autoSpaceDN/>
              <w:bidi w:val="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验收要求</w:t>
            </w:r>
          </w:p>
        </w:tc>
        <w:tc>
          <w:tcPr>
            <w:tcW w:w="1117" w:type="pct"/>
            <w:noWrap w:val="0"/>
            <w:vAlign w:val="center"/>
          </w:tcPr>
          <w:p w14:paraId="5D62E305">
            <w:pPr>
              <w:pStyle w:val="38"/>
              <w:keepNext w:val="0"/>
              <w:keepLines w:val="0"/>
              <w:pageBreakBefore w:val="0"/>
              <w:widowControl w:val="0"/>
              <w:kinsoku/>
              <w:wordWrap w:val="0"/>
              <w:overflowPunct/>
              <w:topLinePunct w:val="0"/>
              <w:autoSpaceDE/>
              <w:autoSpaceDN/>
              <w:bidi w:val="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环境保护措施</w:t>
            </w:r>
          </w:p>
        </w:tc>
        <w:tc>
          <w:tcPr>
            <w:tcW w:w="879" w:type="pct"/>
            <w:noWrap w:val="0"/>
            <w:vAlign w:val="center"/>
          </w:tcPr>
          <w:p w14:paraId="05A1D271">
            <w:pPr>
              <w:pStyle w:val="38"/>
              <w:keepNext w:val="0"/>
              <w:keepLines w:val="0"/>
              <w:pageBreakBefore w:val="0"/>
              <w:widowControl w:val="0"/>
              <w:kinsoku/>
              <w:wordWrap w:val="0"/>
              <w:overflowPunct/>
              <w:topLinePunct w:val="0"/>
              <w:autoSpaceDE/>
              <w:autoSpaceDN/>
              <w:bidi w:val="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验收要求</w:t>
            </w:r>
          </w:p>
        </w:tc>
      </w:tr>
      <w:tr w14:paraId="0C1F2A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5B5FDD41">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lang w:eastAsia="zh-CN"/>
              </w:rPr>
            </w:pPr>
            <w:r>
              <w:rPr>
                <w:rFonts w:hint="eastAsia" w:cs="宋体"/>
                <w:color w:val="auto"/>
                <w:sz w:val="21"/>
                <w:szCs w:val="21"/>
                <w:highlight w:val="none"/>
                <w:lang w:eastAsia="zh-CN"/>
              </w:rPr>
              <w:t>陆生生态</w:t>
            </w:r>
          </w:p>
        </w:tc>
        <w:tc>
          <w:tcPr>
            <w:tcW w:w="1467" w:type="pct"/>
            <w:noWrap w:val="0"/>
            <w:vAlign w:val="center"/>
          </w:tcPr>
          <w:p w14:paraId="1C991D05">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Times New Roman"/>
                <w:color w:val="auto"/>
                <w:sz w:val="21"/>
                <w:highlight w:val="none"/>
                <w:lang w:val="en-US" w:eastAsia="zh-CN"/>
              </w:rPr>
              <w:t>严格按照设计文件确定施工范围；优化施工方案。工程完工后对临时占地进行平整</w:t>
            </w:r>
            <w:r>
              <w:rPr>
                <w:rFonts w:hint="eastAsia" w:cs="Times New Roman"/>
                <w:color w:val="auto"/>
                <w:sz w:val="21"/>
                <w:highlight w:val="none"/>
                <w:lang w:val="en-US" w:eastAsia="zh-CN"/>
              </w:rPr>
              <w:t>，恢复原有地貌</w:t>
            </w:r>
            <w:r>
              <w:rPr>
                <w:rFonts w:hint="eastAsia" w:ascii="Times New Roman" w:hAnsi="Times New Roman" w:eastAsia="宋体" w:cs="Times New Roman"/>
                <w:color w:val="auto"/>
                <w:sz w:val="21"/>
                <w:highlight w:val="none"/>
                <w:lang w:val="en-US" w:eastAsia="zh-CN"/>
              </w:rPr>
              <w:t>；保护野生动物生境多样性；严禁非法捕猎；减少人为干扰及污染；合理安排施工时间</w:t>
            </w:r>
            <w:r>
              <w:rPr>
                <w:rFonts w:hint="eastAsia" w:cs="Times New Roman"/>
                <w:color w:val="auto"/>
                <w:sz w:val="21"/>
                <w:highlight w:val="none"/>
                <w:lang w:val="en-US" w:eastAsia="zh-CN"/>
              </w:rPr>
              <w:t>，</w:t>
            </w:r>
            <w:r>
              <w:rPr>
                <w:rFonts w:hint="eastAsia" w:ascii="Times New Roman" w:hAnsi="Times New Roman" w:eastAsia="宋体"/>
                <w:snapToGrid w:val="0"/>
                <w:color w:val="auto"/>
                <w:kern w:val="0"/>
                <w:sz w:val="21"/>
                <w:szCs w:val="21"/>
                <w:highlight w:val="none"/>
              </w:rPr>
              <w:t>禁止雨天施工。</w:t>
            </w:r>
          </w:p>
        </w:tc>
        <w:tc>
          <w:tcPr>
            <w:tcW w:w="756" w:type="pct"/>
            <w:noWrap w:val="0"/>
            <w:vAlign w:val="center"/>
          </w:tcPr>
          <w:p w14:paraId="65D402DC">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snapToGrid w:val="0"/>
                <w:color w:val="auto"/>
                <w:kern w:val="0"/>
                <w:sz w:val="21"/>
                <w:szCs w:val="21"/>
                <w:highlight w:val="none"/>
              </w:rPr>
              <w:t>临时占地恢复原有地貌；及时对</w:t>
            </w:r>
            <w:r>
              <w:rPr>
                <w:rFonts w:hint="eastAsia"/>
                <w:snapToGrid w:val="0"/>
                <w:color w:val="auto"/>
                <w:kern w:val="0"/>
                <w:sz w:val="21"/>
                <w:szCs w:val="21"/>
                <w:highlight w:val="none"/>
                <w:lang w:eastAsia="zh-CN"/>
              </w:rPr>
              <w:t>公路</w:t>
            </w:r>
            <w:r>
              <w:rPr>
                <w:rFonts w:hint="eastAsia" w:ascii="Times New Roman" w:hAnsi="Times New Roman" w:eastAsia="宋体"/>
                <w:snapToGrid w:val="0"/>
                <w:color w:val="auto"/>
                <w:kern w:val="0"/>
                <w:sz w:val="21"/>
                <w:szCs w:val="21"/>
                <w:highlight w:val="none"/>
              </w:rPr>
              <w:t>两侧边坡进行绿化</w:t>
            </w:r>
          </w:p>
        </w:tc>
        <w:tc>
          <w:tcPr>
            <w:tcW w:w="1117" w:type="pct"/>
            <w:noWrap w:val="0"/>
            <w:vAlign w:val="center"/>
          </w:tcPr>
          <w:p w14:paraId="2E2D716F">
            <w:pPr>
              <w:pStyle w:val="33"/>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s="宋体"/>
                <w:color w:val="auto"/>
                <w:sz w:val="21"/>
                <w:szCs w:val="21"/>
                <w:highlight w:val="none"/>
              </w:rPr>
            </w:pPr>
            <w:r>
              <w:rPr>
                <w:rFonts w:hint="eastAsia"/>
                <w:color w:val="auto"/>
                <w:highlight w:val="none"/>
                <w:lang w:val="en-US" w:eastAsia="zh-CN"/>
              </w:rPr>
              <w:t>工程完工后加强公路沿线植被恢复措施的养护管理，提高公路路域植被覆盖度；</w:t>
            </w:r>
            <w:r>
              <w:rPr>
                <w:rFonts w:hint="eastAsia"/>
                <w:color w:val="auto"/>
                <w:sz w:val="21"/>
                <w:highlight w:val="none"/>
                <w:lang w:val="en-US" w:eastAsia="zh-CN"/>
              </w:rPr>
              <w:t>加强公路及桥梁、涵洞的安全运营管理，进一步跟踪调查本公路所设涵洞从数量和长度上是否满足野生动物的通道的需要；在生态敏感区段设置宣传警示牌。</w:t>
            </w:r>
          </w:p>
        </w:tc>
        <w:tc>
          <w:tcPr>
            <w:tcW w:w="879" w:type="pct"/>
            <w:noWrap w:val="0"/>
            <w:vAlign w:val="center"/>
          </w:tcPr>
          <w:p w14:paraId="62E104F1">
            <w:pPr>
              <w:pStyle w:val="33"/>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s="宋体"/>
                <w:color w:val="auto"/>
                <w:sz w:val="21"/>
                <w:szCs w:val="21"/>
                <w:highlight w:val="none"/>
                <w:lang w:eastAsia="zh-CN"/>
              </w:rPr>
            </w:pPr>
            <w:r>
              <w:rPr>
                <w:rFonts w:ascii="Times New Roman" w:hAnsi="Times New Roman" w:eastAsia="宋体"/>
                <w:color w:val="auto"/>
                <w:sz w:val="21"/>
                <w:highlight w:val="none"/>
              </w:rPr>
              <w:t>绿化工程满足设计要求</w:t>
            </w:r>
            <w:r>
              <w:rPr>
                <w:rFonts w:hint="eastAsia"/>
                <w:color w:val="auto"/>
                <w:sz w:val="21"/>
                <w:highlight w:val="none"/>
                <w:lang w:eastAsia="zh-CN"/>
              </w:rPr>
              <w:t>；</w:t>
            </w:r>
            <w:r>
              <w:rPr>
                <w:rFonts w:ascii="Times New Roman" w:hAnsi="Times New Roman" w:eastAsia="宋体"/>
                <w:color w:val="auto"/>
                <w:sz w:val="21"/>
                <w:highlight w:val="none"/>
              </w:rPr>
              <w:t>植被生长良好、未遭破坏</w:t>
            </w:r>
            <w:r>
              <w:rPr>
                <w:rFonts w:hint="eastAsia"/>
                <w:color w:val="auto"/>
                <w:sz w:val="21"/>
                <w:highlight w:val="none"/>
                <w:lang w:eastAsia="zh-CN"/>
              </w:rPr>
              <w:t>；</w:t>
            </w:r>
            <w:r>
              <w:rPr>
                <w:rFonts w:hint="eastAsia"/>
                <w:color w:val="auto"/>
                <w:sz w:val="21"/>
                <w:szCs w:val="21"/>
                <w:lang w:eastAsia="zh-CN"/>
              </w:rPr>
              <w:t>设置宣传警示牌。</w:t>
            </w:r>
          </w:p>
        </w:tc>
      </w:tr>
      <w:tr w14:paraId="0E9A57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40520F12">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lang w:eastAsia="zh-CN"/>
              </w:rPr>
            </w:pPr>
            <w:r>
              <w:rPr>
                <w:rFonts w:hint="eastAsia" w:cs="宋体"/>
                <w:color w:val="auto"/>
                <w:sz w:val="21"/>
                <w:szCs w:val="21"/>
                <w:lang w:eastAsia="zh-CN"/>
              </w:rPr>
              <w:t>水生生态</w:t>
            </w:r>
          </w:p>
        </w:tc>
        <w:tc>
          <w:tcPr>
            <w:tcW w:w="1467" w:type="pct"/>
            <w:noWrap w:val="0"/>
            <w:vAlign w:val="center"/>
          </w:tcPr>
          <w:p w14:paraId="51881AD4">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ascii="Times New Roman" w:hAnsi="Times New Roman" w:eastAsia="宋体"/>
                <w:color w:val="auto"/>
                <w:sz w:val="21"/>
                <w:szCs w:val="21"/>
              </w:rPr>
              <w:t>/</w:t>
            </w:r>
          </w:p>
        </w:tc>
        <w:tc>
          <w:tcPr>
            <w:tcW w:w="756" w:type="pct"/>
            <w:noWrap w:val="0"/>
            <w:vAlign w:val="center"/>
          </w:tcPr>
          <w:p w14:paraId="7354A5E6">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ascii="Times New Roman" w:hAnsi="Times New Roman" w:eastAsia="宋体"/>
                <w:color w:val="auto"/>
                <w:sz w:val="21"/>
                <w:szCs w:val="21"/>
              </w:rPr>
              <w:t>/</w:t>
            </w:r>
          </w:p>
        </w:tc>
        <w:tc>
          <w:tcPr>
            <w:tcW w:w="1117" w:type="pct"/>
            <w:noWrap w:val="0"/>
            <w:vAlign w:val="center"/>
          </w:tcPr>
          <w:p w14:paraId="56759016">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ascii="Times New Roman" w:hAnsi="Times New Roman" w:eastAsia="宋体"/>
                <w:color w:val="auto"/>
                <w:sz w:val="21"/>
                <w:szCs w:val="21"/>
              </w:rPr>
              <w:t>/</w:t>
            </w:r>
          </w:p>
        </w:tc>
        <w:tc>
          <w:tcPr>
            <w:tcW w:w="879" w:type="pct"/>
            <w:noWrap w:val="0"/>
            <w:vAlign w:val="center"/>
          </w:tcPr>
          <w:p w14:paraId="3E0FEB1F">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ascii="Times New Roman" w:hAnsi="Times New Roman" w:eastAsia="宋体"/>
                <w:color w:val="auto"/>
                <w:sz w:val="21"/>
                <w:szCs w:val="21"/>
              </w:rPr>
              <w:t>/</w:t>
            </w:r>
          </w:p>
        </w:tc>
      </w:tr>
      <w:tr w14:paraId="4F282C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562454F6">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rPr>
              <w:t>地表水环境</w:t>
            </w:r>
          </w:p>
        </w:tc>
        <w:tc>
          <w:tcPr>
            <w:tcW w:w="1467" w:type="pct"/>
            <w:noWrap w:val="0"/>
            <w:vAlign w:val="center"/>
          </w:tcPr>
          <w:p w14:paraId="4747291B">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Times New Roman"/>
                <w:color w:val="auto"/>
                <w:sz w:val="21"/>
                <w:highlight w:val="none"/>
                <w:lang w:val="en-US" w:eastAsia="zh-CN"/>
              </w:rPr>
              <w:t>本工程不设置施工驻地，施工人员食宿租赁附近民宅，生活污水依托当地处置设施。</w:t>
            </w:r>
            <w:r>
              <w:rPr>
                <w:color w:val="auto"/>
                <w:sz w:val="21"/>
                <w:szCs w:val="21"/>
              </w:rPr>
              <w:t>混凝土养护和拌和等产生的施工废水经设置的临时沉淀池沉淀处理后，回用于生产或用于施工场地洒水降尘，不外排。施工场地施工机械和车辆清洗废水经施工场地内设置的临时隔油沉淀池集中处理后，回用于生产或用于施工场地洒水降尘，不外排。</w:t>
            </w:r>
          </w:p>
        </w:tc>
        <w:tc>
          <w:tcPr>
            <w:tcW w:w="756" w:type="pct"/>
            <w:noWrap w:val="0"/>
            <w:vAlign w:val="center"/>
          </w:tcPr>
          <w:p w14:paraId="5D77D749">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rPr>
              <w:t>废水不外排</w:t>
            </w:r>
          </w:p>
        </w:tc>
        <w:tc>
          <w:tcPr>
            <w:tcW w:w="1117" w:type="pct"/>
            <w:noWrap w:val="0"/>
            <w:vAlign w:val="center"/>
          </w:tcPr>
          <w:p w14:paraId="51F1CB73">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olor w:val="auto"/>
                <w:sz w:val="21"/>
                <w:szCs w:val="21"/>
              </w:rPr>
            </w:pPr>
            <w:r>
              <w:rPr>
                <w:rFonts w:hint="eastAsia" w:ascii="Times New Roman" w:hAnsi="Times New Roman" w:eastAsia="宋体" w:cs="宋体"/>
                <w:bCs/>
                <w:color w:val="auto"/>
                <w:sz w:val="21"/>
                <w:szCs w:val="21"/>
              </w:rPr>
              <w:t>①</w:t>
            </w:r>
            <w:r>
              <w:rPr>
                <w:rFonts w:ascii="Times New Roman" w:hAnsi="Times New Roman" w:eastAsia="宋体"/>
                <w:color w:val="auto"/>
                <w:sz w:val="21"/>
                <w:szCs w:val="21"/>
              </w:rPr>
              <w:t>完善路面径流收集系统和排水系统，路面径流经</w:t>
            </w:r>
            <w:r>
              <w:rPr>
                <w:rFonts w:hint="eastAsia" w:ascii="Times New Roman" w:hAnsi="Times New Roman" w:eastAsia="宋体"/>
                <w:color w:val="auto"/>
                <w:sz w:val="21"/>
                <w:szCs w:val="21"/>
                <w:lang w:val="en-US" w:eastAsia="zh-CN"/>
              </w:rPr>
              <w:t>汇集</w:t>
            </w:r>
            <w:r>
              <w:rPr>
                <w:rFonts w:ascii="Times New Roman" w:hAnsi="Times New Roman" w:eastAsia="宋体"/>
                <w:color w:val="auto"/>
                <w:sz w:val="21"/>
                <w:szCs w:val="21"/>
              </w:rPr>
              <w:t>后排入附近河流。</w:t>
            </w:r>
          </w:p>
          <w:p w14:paraId="3D40F90E">
            <w:pPr>
              <w:pStyle w:val="5"/>
              <w:keepNext w:val="0"/>
              <w:keepLines w:val="0"/>
              <w:pageBreakBefore w:val="0"/>
              <w:widowControl w:val="0"/>
              <w:kinsoku/>
              <w:wordWrap w:val="0"/>
              <w:overflowPunct/>
              <w:topLinePunct w:val="0"/>
              <w:autoSpaceDE/>
              <w:autoSpaceDN/>
              <w:bidi w:val="0"/>
              <w:spacing w:line="240" w:lineRule="auto"/>
              <w:ind w:left="0" w:leftChars="0" w:firstLine="0" w:firstLineChars="0"/>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bCs/>
                <w:color w:val="auto"/>
                <w:sz w:val="21"/>
                <w:szCs w:val="21"/>
              </w:rPr>
              <w:t>②</w:t>
            </w:r>
            <w:r>
              <w:rPr>
                <w:rFonts w:hint="eastAsia" w:ascii="Times New Roman" w:hAnsi="Times New Roman" w:eastAsia="宋体" w:cs="Times New Roman"/>
                <w:color w:val="auto"/>
                <w:kern w:val="2"/>
                <w:sz w:val="21"/>
                <w:szCs w:val="21"/>
                <w:lang w:val="en-US" w:eastAsia="zh-CN" w:bidi="ar-SA"/>
              </w:rPr>
              <w:t>加强</w:t>
            </w:r>
            <w:r>
              <w:rPr>
                <w:rFonts w:ascii="Times New Roman" w:hAnsi="Times New Roman" w:eastAsia="宋体" w:cs="Times New Roman"/>
                <w:color w:val="auto"/>
                <w:kern w:val="2"/>
                <w:sz w:val="21"/>
                <w:szCs w:val="21"/>
                <w:lang w:val="en-US" w:eastAsia="zh-CN" w:bidi="ar-SA"/>
              </w:rPr>
              <w:t>路面管理和清洁工作，防止生活垃圾等随降水进入雨水排水沟，进而排入附近河道</w:t>
            </w:r>
            <w:r>
              <w:rPr>
                <w:rFonts w:hint="eastAsia" w:ascii="Times New Roman" w:hAnsi="Times New Roman" w:eastAsia="宋体"/>
                <w:color w:val="auto"/>
                <w:sz w:val="21"/>
                <w:szCs w:val="21"/>
              </w:rPr>
              <w:t>。</w:t>
            </w:r>
          </w:p>
        </w:tc>
        <w:tc>
          <w:tcPr>
            <w:tcW w:w="879" w:type="pct"/>
            <w:noWrap w:val="0"/>
            <w:vAlign w:val="center"/>
          </w:tcPr>
          <w:p w14:paraId="68EF9187">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rPr>
              <w:t>路面径流收集系统和排水系统建设满足设计要求。</w:t>
            </w:r>
          </w:p>
        </w:tc>
      </w:tr>
      <w:tr w14:paraId="60F2EA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6F320369">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地下水及土壤环境</w:t>
            </w:r>
          </w:p>
        </w:tc>
        <w:tc>
          <w:tcPr>
            <w:tcW w:w="1467" w:type="pct"/>
            <w:noWrap w:val="0"/>
            <w:vAlign w:val="center"/>
          </w:tcPr>
          <w:p w14:paraId="0EFEC865">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highlight w:val="none"/>
              </w:rPr>
              <w:t>/</w:t>
            </w:r>
          </w:p>
        </w:tc>
        <w:tc>
          <w:tcPr>
            <w:tcW w:w="756" w:type="pct"/>
            <w:noWrap w:val="0"/>
            <w:vAlign w:val="center"/>
          </w:tcPr>
          <w:p w14:paraId="187CF733">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highlight w:val="none"/>
              </w:rPr>
              <w:t>/</w:t>
            </w:r>
          </w:p>
        </w:tc>
        <w:tc>
          <w:tcPr>
            <w:tcW w:w="1117" w:type="pct"/>
            <w:noWrap w:val="0"/>
            <w:vAlign w:val="center"/>
          </w:tcPr>
          <w:p w14:paraId="6F01EA36">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highlight w:val="none"/>
              </w:rPr>
              <w:t>/</w:t>
            </w:r>
          </w:p>
        </w:tc>
        <w:tc>
          <w:tcPr>
            <w:tcW w:w="879" w:type="pct"/>
            <w:noWrap w:val="0"/>
            <w:vAlign w:val="center"/>
          </w:tcPr>
          <w:p w14:paraId="4BB4055E">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highlight w:val="none"/>
              </w:rPr>
              <w:t>/</w:t>
            </w:r>
          </w:p>
        </w:tc>
      </w:tr>
      <w:tr w14:paraId="3DE764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65021219">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声环境</w:t>
            </w:r>
          </w:p>
        </w:tc>
        <w:tc>
          <w:tcPr>
            <w:tcW w:w="1467" w:type="pct"/>
            <w:noWrap w:val="0"/>
            <w:vAlign w:val="center"/>
          </w:tcPr>
          <w:p w14:paraId="22AFC439">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①施工路段采取修建临时隔声挡板等相应的隔声降噪措施，隔声挡板高度不低于3.0m；采用低噪声设备施工；禁止在夜间（22</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00～次日6</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00）进行施工作业，但因抢修、抢险作业或生产工艺要求及其他特殊情况必须连续作业的除外；因生产工艺要求及其他特殊情况须在夜间进行施工作业的，应当事前取得建设行政主管部门的夜间施工意见书，取得夜间进行施工作业的证明，并提前公告附近的居民。</w:t>
            </w:r>
          </w:p>
          <w:p w14:paraId="15255D7F">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②采用低噪声设备，临时工程布设远离敏感点。对噪声较大的机械</w:t>
            </w:r>
            <w:r>
              <w:rPr>
                <w:rFonts w:hint="eastAsia" w:cs="Times New Roman"/>
                <w:color w:val="auto"/>
                <w:sz w:val="21"/>
                <w:szCs w:val="21"/>
                <w:highlight w:val="none"/>
                <w:lang w:val="en-US" w:eastAsia="zh-CN"/>
              </w:rPr>
              <w:t>采取</w:t>
            </w:r>
            <w:r>
              <w:rPr>
                <w:rFonts w:hint="eastAsia" w:ascii="Times New Roman" w:hAnsi="Times New Roman" w:eastAsia="宋体" w:cs="Times New Roman"/>
                <w:color w:val="auto"/>
                <w:sz w:val="21"/>
                <w:szCs w:val="21"/>
                <w:highlight w:val="none"/>
                <w:lang w:val="en-US" w:eastAsia="zh-CN"/>
              </w:rPr>
              <w:t>移动式隔声屏等措施，并加强机械保养使其处于良好的运转状态，对产生强噪声的设备必须安排在白天使用。</w:t>
            </w:r>
          </w:p>
          <w:p w14:paraId="65336F73">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③施工单位严格执行</w:t>
            </w:r>
            <w:r>
              <w:rPr>
                <w:rFonts w:hint="eastAsia" w:cs="Times New Roman"/>
                <w:color w:val="auto"/>
                <w:sz w:val="21"/>
                <w:szCs w:val="21"/>
                <w:highlight w:val="none"/>
                <w:lang w:val="en-US" w:eastAsia="zh-CN"/>
              </w:rPr>
              <w:t>《建筑施工噪声排放标准》（GB 12523</w:t>
            </w:r>
            <w:r>
              <w:rPr>
                <w:rFonts w:hint="eastAsia" w:eastAsia="黑体" w:cs="Times New Roman"/>
                <w:color w:val="auto"/>
                <w:sz w:val="24"/>
                <w:szCs w:val="24"/>
                <w:highlight w:val="none"/>
                <w:lang w:val="en-US" w:eastAsia="zh-CN"/>
              </w:rPr>
              <w:t>—</w:t>
            </w:r>
            <w:r>
              <w:rPr>
                <w:rFonts w:hint="eastAsia" w:cs="Times New Roman"/>
                <w:color w:val="auto"/>
                <w:sz w:val="21"/>
                <w:szCs w:val="21"/>
                <w:highlight w:val="none"/>
                <w:lang w:val="en-US" w:eastAsia="zh-CN"/>
              </w:rPr>
              <w:t>2025）</w:t>
            </w:r>
            <w:r>
              <w:rPr>
                <w:rFonts w:hint="eastAsia" w:ascii="Times New Roman" w:hAnsi="Times New Roman" w:eastAsia="宋体" w:cs="Times New Roman"/>
                <w:color w:val="auto"/>
                <w:sz w:val="21"/>
                <w:szCs w:val="21"/>
                <w:highlight w:val="none"/>
                <w:lang w:val="en-US" w:eastAsia="zh-CN"/>
              </w:rPr>
              <w:t>的规定，积极采取各种噪声控制措施如尽量采用低噪施工设备，部分高噪设备进行突击作业，优化施工时间并搭建隔音棚，合理疏导进入施工区的车辆，减少运输交通噪声等。</w:t>
            </w:r>
          </w:p>
          <w:p w14:paraId="046E2298">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④运输车辆在城镇内应减速慢行，禁止使用高音喇叭，并在运输时间上加以限制，早06</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00以前、晚21</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00以后应禁止施工运输。</w:t>
            </w:r>
          </w:p>
        </w:tc>
        <w:tc>
          <w:tcPr>
            <w:tcW w:w="756" w:type="pct"/>
            <w:noWrap w:val="0"/>
            <w:vAlign w:val="center"/>
          </w:tcPr>
          <w:p w14:paraId="70FB7260">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olor w:val="auto"/>
                <w:sz w:val="21"/>
                <w:szCs w:val="21"/>
                <w:highlight w:val="none"/>
              </w:rPr>
              <w:t>施工噪声满足</w:t>
            </w:r>
            <w:r>
              <w:rPr>
                <w:rFonts w:hint="eastAsia"/>
                <w:color w:val="auto"/>
                <w:sz w:val="21"/>
                <w:szCs w:val="21"/>
                <w:highlight w:val="none"/>
                <w:lang w:eastAsia="zh-CN"/>
              </w:rPr>
              <w:t>《建筑施工噪声排放标准》（GB 12523-2025）</w:t>
            </w:r>
          </w:p>
        </w:tc>
        <w:tc>
          <w:tcPr>
            <w:tcW w:w="1117" w:type="pct"/>
            <w:noWrap w:val="0"/>
            <w:vAlign w:val="center"/>
          </w:tcPr>
          <w:p w14:paraId="4C2F76DF">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①对</w:t>
            </w:r>
            <w:r>
              <w:rPr>
                <w:rFonts w:hint="eastAsia" w:cs="Times New Roman"/>
                <w:color w:val="auto"/>
                <w:sz w:val="21"/>
                <w:szCs w:val="21"/>
                <w:highlight w:val="none"/>
                <w:lang w:val="en-US" w:eastAsia="zh-CN"/>
              </w:rPr>
              <w:t>公路</w:t>
            </w:r>
            <w:r>
              <w:rPr>
                <w:rFonts w:hint="eastAsia" w:ascii="Times New Roman" w:hAnsi="Times New Roman" w:eastAsia="宋体" w:cs="Times New Roman"/>
                <w:color w:val="auto"/>
                <w:sz w:val="21"/>
                <w:szCs w:val="21"/>
                <w:highlight w:val="none"/>
                <w:lang w:val="en-US" w:eastAsia="zh-CN"/>
              </w:rPr>
              <w:t>进行经常性维护，提高路面平整度，降低</w:t>
            </w:r>
            <w:r>
              <w:rPr>
                <w:rFonts w:hint="eastAsia" w:cs="Times New Roman"/>
                <w:color w:val="auto"/>
                <w:sz w:val="21"/>
                <w:szCs w:val="21"/>
                <w:highlight w:val="none"/>
                <w:lang w:val="en-US" w:eastAsia="zh-CN"/>
              </w:rPr>
              <w:t>公路</w:t>
            </w:r>
            <w:r>
              <w:rPr>
                <w:rFonts w:hint="eastAsia" w:ascii="Times New Roman" w:hAnsi="Times New Roman" w:eastAsia="宋体" w:cs="Times New Roman"/>
                <w:color w:val="auto"/>
                <w:sz w:val="21"/>
                <w:szCs w:val="21"/>
                <w:highlight w:val="none"/>
                <w:lang w:val="en-US" w:eastAsia="zh-CN"/>
              </w:rPr>
              <w:t>交通噪声；②加强绿化及其日常养护，保持绿化面积，在有效改善城市生态环境的同时，保持一定的降低交通噪声的能力；③预留噪声监测和治理费用，加强道路营运期的跟踪监测工作，视监测结果和噪声超标情况合理采取噪声防治措施，做到交通噪声不扰民；</w:t>
            </w:r>
            <w:r>
              <w:rPr>
                <w:rFonts w:hint="eastAsia" w:ascii="Times New Roman" w:hAnsi="Times New Roman" w:eastAsia="宋体" w:cs="Times New Roman"/>
                <w:color w:val="auto"/>
                <w:sz w:val="21"/>
                <w:szCs w:val="21"/>
                <w:highlight w:val="none"/>
                <w:lang w:eastAsia="zh-CN"/>
              </w:rPr>
              <w:t>④</w:t>
            </w:r>
            <w:r>
              <w:rPr>
                <w:rFonts w:hint="default" w:ascii="Times New Roman" w:hAnsi="Times New Roman" w:eastAsia="宋体" w:cs="Times New Roman"/>
                <w:color w:val="auto"/>
                <w:sz w:val="21"/>
                <w:szCs w:val="21"/>
                <w:highlight w:val="none"/>
              </w:rPr>
              <w:t>交通噪声影响根据对陆生动物的影响分析，大多数动物尤其是鸟类对噪声较为敏感，过强的噪声会影响其繁殖、声音交流等。</w:t>
            </w:r>
            <w:r>
              <w:rPr>
                <w:rFonts w:hint="default" w:ascii="Times New Roman" w:hAnsi="Times New Roman" w:eastAsia="宋体" w:cs="Times New Roman"/>
                <w:color w:val="auto"/>
                <w:kern w:val="2"/>
                <w:sz w:val="21"/>
                <w:szCs w:val="21"/>
                <w:highlight w:val="none"/>
                <w:lang w:val="en-US" w:eastAsia="zh-CN" w:bidi="ar-SA"/>
              </w:rPr>
              <w:t>本项目设计阶段在</w:t>
            </w:r>
            <w:r>
              <w:rPr>
                <w:rFonts w:hint="eastAsia" w:ascii="Times New Roman" w:hAnsi="Times New Roman" w:eastAsia="宋体" w:cs="Times New Roman"/>
                <w:color w:val="auto"/>
                <w:kern w:val="2"/>
                <w:sz w:val="21"/>
                <w:szCs w:val="21"/>
                <w:highlight w:val="none"/>
                <w:lang w:val="en-US" w:eastAsia="zh-CN" w:bidi="ar-SA"/>
              </w:rPr>
              <w:t>K30+150至K30+350、K41+800至K43+020两段</w:t>
            </w:r>
            <w:r>
              <w:rPr>
                <w:rFonts w:hint="default" w:ascii="Times New Roman" w:hAnsi="Times New Roman" w:cs="Times New Roman"/>
                <w:snapToGrid w:val="0"/>
                <w:color w:val="auto"/>
                <w:kern w:val="0"/>
                <w:sz w:val="21"/>
                <w:szCs w:val="21"/>
                <w:highlight w:val="none"/>
              </w:rPr>
              <w:t>采取限速</w:t>
            </w:r>
            <w:r>
              <w:rPr>
                <w:rFonts w:hint="eastAsia" w:ascii="Times New Roman" w:hAnsi="Times New Roman" w:cs="Times New Roman"/>
                <w:snapToGrid w:val="0"/>
                <w:color w:val="auto"/>
                <w:kern w:val="0"/>
                <w:sz w:val="21"/>
                <w:szCs w:val="21"/>
                <w:highlight w:val="none"/>
                <w:lang w:val="en-US" w:eastAsia="zh-CN"/>
              </w:rPr>
              <w:t>2</w:t>
            </w:r>
            <w:r>
              <w:rPr>
                <w:rFonts w:hint="default" w:ascii="Times New Roman" w:hAnsi="Times New Roman" w:cs="Times New Roman"/>
                <w:snapToGrid w:val="0"/>
                <w:color w:val="auto"/>
                <w:kern w:val="0"/>
                <w:sz w:val="21"/>
                <w:szCs w:val="21"/>
                <w:highlight w:val="none"/>
              </w:rPr>
              <w:t>0km/h措施</w:t>
            </w:r>
            <w:r>
              <w:rPr>
                <w:rFonts w:hint="eastAsia" w:ascii="Times New Roman" w:hAnsi="Times New Roman" w:cs="Times New Roman"/>
                <w:snapToGrid w:val="0"/>
                <w:color w:val="auto"/>
                <w:kern w:val="0"/>
                <w:sz w:val="21"/>
                <w:szCs w:val="21"/>
                <w:highlight w:val="none"/>
                <w:lang w:eastAsia="zh-CN"/>
              </w:rPr>
              <w:t>，采取降速措施后</w:t>
            </w:r>
            <w:r>
              <w:rPr>
                <w:rFonts w:hint="eastAsia" w:cs="Times New Roman"/>
                <w:snapToGrid w:val="0"/>
                <w:color w:val="auto"/>
                <w:kern w:val="0"/>
                <w:sz w:val="21"/>
                <w:szCs w:val="21"/>
                <w:highlight w:val="none"/>
                <w:lang w:eastAsia="zh-CN"/>
              </w:rPr>
              <w:t>，</w:t>
            </w:r>
            <w:r>
              <w:rPr>
                <w:rFonts w:hint="default" w:ascii="Times New Roman" w:hAnsi="Times New Roman" w:cs="Times New Roman"/>
                <w:color w:val="auto"/>
                <w:sz w:val="21"/>
                <w:szCs w:val="21"/>
                <w:highlight w:val="none"/>
              </w:rPr>
              <w:t>运营期各路段声功能区达标情况较好。</w:t>
            </w:r>
            <w:r>
              <w:rPr>
                <w:rFonts w:hint="default" w:ascii="Times New Roman" w:hAnsi="Times New Roman" w:eastAsia="宋体" w:cs="Times New Roman"/>
                <w:color w:val="auto"/>
                <w:sz w:val="21"/>
                <w:szCs w:val="21"/>
                <w:highlight w:val="none"/>
              </w:rPr>
              <w:t>根据噪声衰减规律，动物主要栖息地处交通噪声较小，对动物活动的影响较小。</w:t>
            </w:r>
            <w:r>
              <w:rPr>
                <w:rFonts w:hint="default" w:ascii="Times New Roman" w:hAnsi="Times New Roman" w:cs="Times New Roman"/>
                <w:color w:val="auto"/>
                <w:kern w:val="0"/>
                <w:sz w:val="21"/>
                <w:szCs w:val="21"/>
                <w:highlight w:val="none"/>
                <w:lang w:eastAsia="zh-CN"/>
              </w:rPr>
              <w:t>在</w:t>
            </w:r>
            <w:r>
              <w:rPr>
                <w:rFonts w:hint="default" w:ascii="Times New Roman" w:hAnsi="Times New Roman" w:cs="Times New Roman"/>
                <w:color w:val="auto"/>
                <w:kern w:val="0"/>
                <w:sz w:val="21"/>
                <w:szCs w:val="21"/>
                <w:highlight w:val="none"/>
              </w:rPr>
              <w:t>敏感目标</w:t>
            </w:r>
            <w:r>
              <w:rPr>
                <w:rFonts w:hint="default" w:ascii="Times New Roman" w:hAnsi="Times New Roman" w:cs="Times New Roman"/>
                <w:color w:val="auto"/>
                <w:kern w:val="0"/>
                <w:sz w:val="21"/>
                <w:szCs w:val="21"/>
                <w:highlight w:val="none"/>
                <w:lang w:eastAsia="zh-CN"/>
              </w:rPr>
              <w:t>处</w:t>
            </w:r>
            <w:r>
              <w:rPr>
                <w:rFonts w:hint="default" w:ascii="Times New Roman" w:hAnsi="Times New Roman" w:cs="Times New Roman"/>
                <w:color w:val="auto"/>
                <w:kern w:val="0"/>
                <w:sz w:val="21"/>
                <w:szCs w:val="21"/>
                <w:highlight w:val="none"/>
              </w:rPr>
              <w:t>设置减速慢行、禁止鸣笛标志</w:t>
            </w:r>
            <w:r>
              <w:rPr>
                <w:rFonts w:hint="default" w:ascii="Times New Roman" w:hAnsi="Times New Roman" w:eastAsia="宋体" w:cs="Times New Roman"/>
                <w:color w:val="auto"/>
                <w:sz w:val="21"/>
                <w:szCs w:val="21"/>
                <w:highlight w:val="none"/>
              </w:rPr>
              <w:t>减轻运行期交通噪声对动物的影响</w:t>
            </w:r>
            <w:r>
              <w:rPr>
                <w:rFonts w:hint="eastAsia" w:ascii="Times New Roman" w:hAnsi="Times New Roman" w:eastAsia="宋体" w:cs="Times New Roman"/>
                <w:color w:val="auto"/>
                <w:sz w:val="21"/>
                <w:szCs w:val="21"/>
                <w:highlight w:val="none"/>
              </w:rPr>
              <w:t>。</w:t>
            </w:r>
          </w:p>
        </w:tc>
        <w:tc>
          <w:tcPr>
            <w:tcW w:w="879" w:type="pct"/>
            <w:noWrap w:val="0"/>
            <w:vAlign w:val="center"/>
          </w:tcPr>
          <w:p w14:paraId="005C9D2D">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rPr>
              <w:t>《声环境质量标准》</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GB3096</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2008</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中</w:t>
            </w:r>
            <w:r>
              <w:rPr>
                <w:rFonts w:hint="eastAsia"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rPr>
              <w:t>类标准</w:t>
            </w:r>
            <w:r>
              <w:rPr>
                <w:rFonts w:hint="eastAsia" w:ascii="Times New Roman" w:hAnsi="Times New Roman" w:eastAsia="宋体" w:cs="Times New Roman"/>
                <w:color w:val="auto"/>
                <w:sz w:val="21"/>
                <w:szCs w:val="21"/>
                <w:highlight w:val="none"/>
                <w:lang w:eastAsia="zh-CN"/>
              </w:rPr>
              <w:t>和《</w:t>
            </w:r>
            <w:r>
              <w:rPr>
                <w:rFonts w:hint="eastAsia" w:ascii="Times New Roman" w:hAnsi="Times New Roman" w:eastAsia="宋体" w:cs="Times New Roman"/>
                <w:color w:val="auto"/>
                <w:sz w:val="21"/>
                <w:szCs w:val="21"/>
                <w:highlight w:val="none"/>
              </w:rPr>
              <w:t>国家环境保护总局文件</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环发</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2003</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94号</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昼间60dB（A）、夜间50dB（A）</w:t>
            </w:r>
            <w:r>
              <w:rPr>
                <w:rFonts w:hint="eastAsia" w:ascii="Times New Roman" w:hAnsi="Times New Roman" w:eastAsia="宋体" w:cs="Times New Roman"/>
                <w:color w:val="auto"/>
                <w:sz w:val="21"/>
                <w:szCs w:val="21"/>
                <w:highlight w:val="none"/>
                <w:lang w:eastAsia="zh-CN"/>
              </w:rPr>
              <w:t>要求</w:t>
            </w:r>
          </w:p>
        </w:tc>
      </w:tr>
      <w:tr w14:paraId="123ADD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3DD03BF4">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rPr>
              <w:t>振动</w:t>
            </w:r>
          </w:p>
        </w:tc>
        <w:tc>
          <w:tcPr>
            <w:tcW w:w="1467" w:type="pct"/>
            <w:noWrap w:val="0"/>
            <w:vAlign w:val="center"/>
          </w:tcPr>
          <w:p w14:paraId="4EC42C04">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rPr>
              <w:t>/</w:t>
            </w:r>
          </w:p>
        </w:tc>
        <w:tc>
          <w:tcPr>
            <w:tcW w:w="756" w:type="pct"/>
            <w:noWrap w:val="0"/>
            <w:vAlign w:val="center"/>
          </w:tcPr>
          <w:p w14:paraId="3964CD6C">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rPr>
              <w:t>/</w:t>
            </w:r>
          </w:p>
        </w:tc>
        <w:tc>
          <w:tcPr>
            <w:tcW w:w="1117" w:type="pct"/>
            <w:noWrap w:val="0"/>
            <w:vAlign w:val="center"/>
          </w:tcPr>
          <w:p w14:paraId="1F6A4490">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rPr>
              <w:t>/</w:t>
            </w:r>
          </w:p>
        </w:tc>
        <w:tc>
          <w:tcPr>
            <w:tcW w:w="879" w:type="pct"/>
            <w:noWrap w:val="0"/>
            <w:vAlign w:val="center"/>
          </w:tcPr>
          <w:p w14:paraId="70532A10">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宋体"/>
                <w:color w:val="auto"/>
                <w:sz w:val="21"/>
                <w:szCs w:val="21"/>
                <w:highlight w:val="none"/>
              </w:rPr>
            </w:pPr>
            <w:r>
              <w:rPr>
                <w:rFonts w:hint="eastAsia" w:ascii="Times New Roman" w:hAnsi="Times New Roman" w:eastAsia="宋体"/>
                <w:color w:val="auto"/>
                <w:sz w:val="21"/>
                <w:szCs w:val="21"/>
              </w:rPr>
              <w:t>/</w:t>
            </w:r>
          </w:p>
        </w:tc>
      </w:tr>
      <w:tr w14:paraId="3B2FC3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5BA8ED13">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大气环境</w:t>
            </w:r>
          </w:p>
        </w:tc>
        <w:tc>
          <w:tcPr>
            <w:tcW w:w="1467" w:type="pct"/>
            <w:noWrap w:val="0"/>
            <w:vAlign w:val="center"/>
          </w:tcPr>
          <w:p w14:paraId="69AA7EB7">
            <w:pPr>
              <w:keepNext w:val="0"/>
              <w:keepLines w:val="0"/>
              <w:pageBreakBefore w:val="0"/>
              <w:widowControl w:val="0"/>
              <w:kinsoku/>
              <w:wordWrap w:val="0"/>
              <w:overflowPunct/>
              <w:topLinePunct w:val="0"/>
              <w:autoSpaceDE/>
              <w:autoSpaceDN/>
              <w:bidi w:val="0"/>
              <w:spacing w:line="240" w:lineRule="auto"/>
              <w:ind w:firstLine="0" w:firstLineChars="0"/>
              <w:textAlignment w:val="auto"/>
              <w:rPr>
                <w:color w:val="auto"/>
                <w:sz w:val="21"/>
                <w:szCs w:val="21"/>
              </w:rPr>
            </w:pPr>
            <w:r>
              <w:rPr>
                <w:rFonts w:hint="eastAsia" w:ascii="宋体" w:hAnsi="宋体" w:cs="宋体"/>
                <w:color w:val="auto"/>
                <w:sz w:val="21"/>
                <w:szCs w:val="21"/>
              </w:rPr>
              <w:t>①</w:t>
            </w:r>
            <w:r>
              <w:rPr>
                <w:color w:val="auto"/>
                <w:sz w:val="21"/>
                <w:szCs w:val="21"/>
              </w:rPr>
              <w:t>本项目</w:t>
            </w:r>
            <w:r>
              <w:rPr>
                <w:rFonts w:hint="eastAsia"/>
                <w:color w:val="auto"/>
                <w:sz w:val="21"/>
                <w:szCs w:val="21"/>
                <w:lang w:eastAsia="zh-CN"/>
              </w:rPr>
              <w:t>拌和站</w:t>
            </w:r>
            <w:r>
              <w:rPr>
                <w:color w:val="auto"/>
                <w:sz w:val="21"/>
                <w:szCs w:val="21"/>
              </w:rPr>
              <w:t>距居民区距离大于300m且位于施工期盛行风向的</w:t>
            </w:r>
            <w:r>
              <w:rPr>
                <w:rFonts w:hint="eastAsia"/>
                <w:color w:val="auto"/>
                <w:sz w:val="21"/>
                <w:szCs w:val="21"/>
                <w:lang w:eastAsia="zh-CN"/>
              </w:rPr>
              <w:t>侧下风向</w:t>
            </w:r>
            <w:r>
              <w:rPr>
                <w:color w:val="auto"/>
                <w:sz w:val="21"/>
                <w:szCs w:val="21"/>
              </w:rPr>
              <w:t>。</w:t>
            </w:r>
            <w:r>
              <w:rPr>
                <w:rFonts w:hint="eastAsia"/>
                <w:color w:val="auto"/>
                <w:sz w:val="21"/>
                <w:szCs w:val="21"/>
                <w:lang w:eastAsia="zh-CN"/>
              </w:rPr>
              <w:t>拌和站</w:t>
            </w:r>
            <w:r>
              <w:rPr>
                <w:color w:val="auto"/>
                <w:sz w:val="21"/>
                <w:szCs w:val="21"/>
              </w:rPr>
              <w:t>采用先进</w:t>
            </w:r>
            <w:r>
              <w:rPr>
                <w:rFonts w:hint="eastAsia"/>
                <w:color w:val="auto"/>
                <w:sz w:val="21"/>
                <w:szCs w:val="21"/>
                <w:lang w:eastAsia="zh-CN"/>
              </w:rPr>
              <w:t>混凝土搅拌</w:t>
            </w:r>
            <w:r>
              <w:rPr>
                <w:color w:val="auto"/>
                <w:sz w:val="21"/>
                <w:szCs w:val="21"/>
              </w:rPr>
              <w:t>设备、密闭设备等措施，并配备除尘器。</w:t>
            </w:r>
          </w:p>
          <w:p w14:paraId="0190A3C5">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olor w:val="auto"/>
                <w:sz w:val="21"/>
                <w:szCs w:val="21"/>
              </w:rPr>
            </w:pPr>
            <w:r>
              <w:rPr>
                <w:rFonts w:hint="eastAsia"/>
                <w:color w:val="auto"/>
                <w:sz w:val="21"/>
                <w:szCs w:val="21"/>
                <w:lang w:eastAsia="zh-CN"/>
              </w:rPr>
              <w:t>②</w:t>
            </w:r>
            <w:r>
              <w:rPr>
                <w:rFonts w:hint="eastAsia" w:ascii="Times New Roman" w:hAnsi="Times New Roman" w:eastAsia="宋体" w:cs="宋体"/>
                <w:bCs/>
                <w:color w:val="auto"/>
                <w:sz w:val="21"/>
                <w:szCs w:val="21"/>
              </w:rPr>
              <w:t>途经</w:t>
            </w:r>
            <w:r>
              <w:rPr>
                <w:rFonts w:hint="eastAsia" w:ascii="Times New Roman" w:hAnsi="Times New Roman" w:eastAsia="宋体" w:cs="宋体"/>
                <w:bCs/>
                <w:color w:val="auto"/>
                <w:sz w:val="21"/>
                <w:szCs w:val="21"/>
                <w:lang w:val="en-US" w:eastAsia="zh-CN"/>
              </w:rPr>
              <w:t>村屯</w:t>
            </w:r>
            <w:r>
              <w:rPr>
                <w:rFonts w:hint="eastAsia" w:ascii="Times New Roman" w:hAnsi="Times New Roman" w:eastAsia="宋体" w:cs="宋体"/>
                <w:bCs/>
                <w:color w:val="auto"/>
                <w:sz w:val="21"/>
                <w:szCs w:val="21"/>
              </w:rPr>
              <w:t>路段设置隔声、隔尘挡板，高度3</w:t>
            </w:r>
            <w:r>
              <w:rPr>
                <w:rFonts w:hint="eastAsia" w:ascii="Times New Roman" w:hAnsi="Times New Roman" w:eastAsia="宋体" w:cs="宋体"/>
                <w:bCs/>
                <w:color w:val="auto"/>
                <w:sz w:val="21"/>
                <w:szCs w:val="21"/>
                <w:lang w:val="en-US" w:eastAsia="zh-CN"/>
              </w:rPr>
              <w:t>.5</w:t>
            </w:r>
            <w:r>
              <w:rPr>
                <w:rFonts w:hint="eastAsia" w:ascii="Times New Roman" w:hAnsi="Times New Roman" w:eastAsia="宋体" w:cs="宋体"/>
                <w:bCs/>
                <w:color w:val="auto"/>
                <w:sz w:val="21"/>
                <w:szCs w:val="21"/>
              </w:rPr>
              <w:t>m。并严禁在挡墙外堆放施工材料、建筑垃圾和渣土。</w:t>
            </w:r>
          </w:p>
          <w:p w14:paraId="7F8DD1A5">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s="宋体"/>
                <w:bCs/>
                <w:color w:val="auto"/>
                <w:sz w:val="21"/>
                <w:szCs w:val="21"/>
              </w:rPr>
            </w:pPr>
            <w:r>
              <w:rPr>
                <w:rFonts w:hint="eastAsia"/>
                <w:color w:val="auto"/>
                <w:sz w:val="21"/>
                <w:szCs w:val="21"/>
                <w:lang w:eastAsia="zh-CN"/>
              </w:rPr>
              <w:t>③</w:t>
            </w:r>
            <w:r>
              <w:rPr>
                <w:rFonts w:hint="eastAsia" w:ascii="Times New Roman" w:hAnsi="Times New Roman" w:eastAsia="宋体" w:cs="宋体"/>
                <w:bCs/>
                <w:color w:val="auto"/>
                <w:sz w:val="21"/>
                <w:szCs w:val="21"/>
              </w:rPr>
              <w:t>路面</w:t>
            </w:r>
            <w:r>
              <w:rPr>
                <w:rFonts w:hint="eastAsia" w:cs="宋体"/>
                <w:bCs/>
                <w:color w:val="auto"/>
                <w:sz w:val="21"/>
                <w:szCs w:val="21"/>
                <w:lang w:eastAsia="zh-CN"/>
              </w:rPr>
              <w:t>水泥</w:t>
            </w:r>
            <w:r>
              <w:rPr>
                <w:rFonts w:hint="eastAsia" w:ascii="Times New Roman" w:hAnsi="Times New Roman" w:eastAsia="宋体" w:cs="宋体"/>
                <w:bCs/>
                <w:color w:val="auto"/>
                <w:sz w:val="21"/>
                <w:szCs w:val="21"/>
              </w:rPr>
              <w:t>混凝土用卡车密封式运至筑路现场，摊铺时应注意对施工人员的劳动防护。</w:t>
            </w:r>
          </w:p>
          <w:p w14:paraId="09872844">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ascii="Times New Roman" w:hAnsi="Times New Roman" w:eastAsia="宋体" w:cs="宋体"/>
                <w:bCs/>
                <w:color w:val="auto"/>
                <w:sz w:val="21"/>
                <w:szCs w:val="21"/>
              </w:rPr>
            </w:pPr>
            <w:r>
              <w:rPr>
                <w:rFonts w:hint="eastAsia"/>
                <w:color w:val="auto"/>
                <w:sz w:val="21"/>
                <w:szCs w:val="21"/>
                <w:lang w:eastAsia="zh-CN"/>
              </w:rPr>
              <w:t>④</w:t>
            </w:r>
            <w:r>
              <w:rPr>
                <w:rFonts w:hint="eastAsia" w:ascii="Times New Roman" w:hAnsi="Times New Roman" w:eastAsia="宋体"/>
                <w:color w:val="auto"/>
                <w:sz w:val="21"/>
                <w:szCs w:val="21"/>
              </w:rPr>
              <w:t>对施工场地、运输</w:t>
            </w:r>
            <w:r>
              <w:rPr>
                <w:rFonts w:hint="eastAsia"/>
                <w:color w:val="auto"/>
                <w:sz w:val="21"/>
                <w:szCs w:val="21"/>
                <w:lang w:eastAsia="zh-CN"/>
              </w:rPr>
              <w:t>公路</w:t>
            </w:r>
            <w:r>
              <w:rPr>
                <w:rFonts w:hint="eastAsia" w:ascii="Times New Roman" w:hAnsi="Times New Roman" w:eastAsia="宋体"/>
                <w:color w:val="auto"/>
                <w:sz w:val="21"/>
                <w:szCs w:val="21"/>
              </w:rPr>
              <w:t>表面采取洒水等方法处理，在干旱大风天气应加强洒水，适当增加洒水次数。</w:t>
            </w:r>
          </w:p>
          <w:p w14:paraId="6565CE19">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ascii="Times New Roman" w:hAnsi="Times New Roman" w:eastAsia="宋体" w:cs="宋体"/>
                <w:bCs/>
                <w:color w:val="auto"/>
                <w:sz w:val="21"/>
                <w:szCs w:val="21"/>
              </w:rPr>
            </w:pPr>
            <w:r>
              <w:rPr>
                <w:rFonts w:hint="eastAsia" w:cs="宋体"/>
                <w:bCs/>
                <w:color w:val="auto"/>
                <w:sz w:val="21"/>
                <w:szCs w:val="21"/>
                <w:lang w:eastAsia="zh-CN"/>
              </w:rPr>
              <w:t>⑤</w:t>
            </w:r>
            <w:r>
              <w:rPr>
                <w:rFonts w:hint="eastAsia" w:ascii="Times New Roman" w:hAnsi="Times New Roman" w:eastAsia="宋体" w:cs="宋体"/>
                <w:bCs/>
                <w:color w:val="auto"/>
                <w:sz w:val="21"/>
                <w:szCs w:val="21"/>
              </w:rPr>
              <w:t>施工避开大风季节，施工单位对施工材料存放应做好防护工作，通过洒水、篷布遮挡等措施防止扬尘产生。</w:t>
            </w:r>
          </w:p>
          <w:p w14:paraId="1C10A71F">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s="宋体"/>
                <w:bCs/>
                <w:color w:val="auto"/>
                <w:sz w:val="21"/>
                <w:szCs w:val="21"/>
              </w:rPr>
            </w:pPr>
            <w:r>
              <w:rPr>
                <w:rFonts w:hint="eastAsia" w:cs="宋体"/>
                <w:bCs/>
                <w:color w:val="auto"/>
                <w:sz w:val="21"/>
                <w:szCs w:val="21"/>
                <w:lang w:eastAsia="zh-CN"/>
              </w:rPr>
              <w:t>⑥</w:t>
            </w:r>
            <w:r>
              <w:rPr>
                <w:rFonts w:hint="eastAsia" w:ascii="Times New Roman" w:hAnsi="Times New Roman" w:eastAsia="宋体" w:cs="宋体"/>
                <w:bCs/>
                <w:color w:val="auto"/>
                <w:sz w:val="21"/>
                <w:szCs w:val="21"/>
              </w:rPr>
              <w:t>砂土等散体物质运输车辆必须严加管理，运输车辆采取用篷布盖严或加水防护措施。</w:t>
            </w:r>
          </w:p>
          <w:p w14:paraId="12E95205">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ascii="Times New Roman" w:hAnsi="Times New Roman" w:eastAsia="宋体" w:cs="宋体"/>
                <w:bCs/>
                <w:color w:val="auto"/>
                <w:sz w:val="21"/>
                <w:szCs w:val="21"/>
              </w:rPr>
            </w:pPr>
            <w:r>
              <w:rPr>
                <w:rFonts w:hint="eastAsia" w:cs="宋体"/>
                <w:bCs/>
                <w:color w:val="auto"/>
                <w:sz w:val="21"/>
                <w:szCs w:val="21"/>
                <w:lang w:eastAsia="zh-CN"/>
              </w:rPr>
              <w:t>⑦</w:t>
            </w:r>
            <w:r>
              <w:rPr>
                <w:rFonts w:ascii="Times New Roman" w:hAnsi="Times New Roman" w:eastAsia="宋体" w:cs="宋体"/>
                <w:bCs/>
                <w:color w:val="auto"/>
                <w:sz w:val="21"/>
                <w:szCs w:val="21"/>
              </w:rPr>
              <w:t>施工产生的建筑垃圾、渣土应当及时清运或采取其他有效防尘措施。</w:t>
            </w:r>
          </w:p>
          <w:p w14:paraId="6CE23DBB">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cs="宋体"/>
                <w:bCs/>
                <w:color w:val="auto"/>
                <w:sz w:val="21"/>
                <w:szCs w:val="21"/>
                <w:lang w:eastAsia="zh-CN"/>
              </w:rPr>
              <w:t>⑧</w:t>
            </w:r>
            <w:r>
              <w:rPr>
                <w:rFonts w:hint="eastAsia" w:ascii="Times New Roman" w:hAnsi="Times New Roman" w:eastAsia="宋体"/>
                <w:color w:val="auto"/>
                <w:sz w:val="21"/>
              </w:rPr>
              <w:t>加强施工期环境管理，强化施工人员的环保意识。开展施工期扬尘监测</w:t>
            </w:r>
            <w:r>
              <w:rPr>
                <w:rFonts w:hint="eastAsia" w:ascii="Times New Roman" w:hAnsi="Times New Roman" w:eastAsia="宋体" w:cs="宋体"/>
                <w:bCs/>
                <w:color w:val="auto"/>
                <w:sz w:val="21"/>
                <w:szCs w:val="21"/>
              </w:rPr>
              <w:t>。</w:t>
            </w:r>
          </w:p>
        </w:tc>
        <w:tc>
          <w:tcPr>
            <w:tcW w:w="756" w:type="pct"/>
            <w:noWrap w:val="0"/>
            <w:vAlign w:val="center"/>
          </w:tcPr>
          <w:p w14:paraId="6D9C5778">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kern w:val="0"/>
                <w:sz w:val="21"/>
                <w:szCs w:val="21"/>
              </w:rPr>
              <w:t>施工期扬尘满足《大气污染物综合排放标准》（GB16297</w:t>
            </w:r>
            <w:r>
              <w:rPr>
                <w:rFonts w:hint="eastAsia" w:eastAsia="黑体" w:cs="Times New Roman"/>
                <w:color w:val="auto"/>
                <w:sz w:val="24"/>
                <w:szCs w:val="24"/>
                <w:highlight w:val="none"/>
                <w:lang w:val="en-US" w:eastAsia="zh-CN"/>
              </w:rPr>
              <w:t>—</w:t>
            </w:r>
            <w:r>
              <w:rPr>
                <w:rFonts w:hint="eastAsia" w:ascii="Times New Roman" w:hAnsi="Times New Roman" w:eastAsia="宋体" w:cs="宋体"/>
                <w:color w:val="auto"/>
                <w:kern w:val="0"/>
                <w:sz w:val="21"/>
                <w:szCs w:val="21"/>
              </w:rPr>
              <w:t>1996）中表2中无组织排放监控浓度限值</w:t>
            </w:r>
          </w:p>
        </w:tc>
        <w:tc>
          <w:tcPr>
            <w:tcW w:w="1117" w:type="pct"/>
            <w:noWrap w:val="0"/>
            <w:vAlign w:val="center"/>
          </w:tcPr>
          <w:p w14:paraId="292928A8">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olor w:val="auto"/>
                <w:sz w:val="21"/>
                <w:szCs w:val="21"/>
              </w:rPr>
            </w:pPr>
            <w:r>
              <w:rPr>
                <w:rFonts w:hint="eastAsia" w:ascii="Times New Roman" w:hAnsi="Times New Roman" w:eastAsia="宋体"/>
                <w:color w:val="auto"/>
                <w:sz w:val="21"/>
                <w:szCs w:val="21"/>
              </w:rPr>
              <w:t>①加强公路管理及路面养护，加强交通运输车辆管理，禁止尾气严重超标车辆上路行驶。</w:t>
            </w:r>
          </w:p>
          <w:p w14:paraId="526794A5">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eastAsia" w:ascii="Times New Roman" w:hAnsi="Times New Roman" w:eastAsia="宋体"/>
                <w:color w:val="auto"/>
                <w:sz w:val="21"/>
                <w:szCs w:val="21"/>
              </w:rPr>
            </w:pPr>
            <w:r>
              <w:rPr>
                <w:rFonts w:hint="eastAsia" w:ascii="Times New Roman" w:hAnsi="Times New Roman" w:eastAsia="宋体"/>
                <w:color w:val="auto"/>
                <w:sz w:val="21"/>
                <w:szCs w:val="21"/>
              </w:rPr>
              <w:t>②对于装有易产生扬尘运输车辆要求罩盖篷布。</w:t>
            </w:r>
          </w:p>
          <w:p w14:paraId="60278986">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③公路两侧种植适宜当地生长的林草，增加沿线植被覆盖率。</w:t>
            </w:r>
          </w:p>
        </w:tc>
        <w:tc>
          <w:tcPr>
            <w:tcW w:w="879" w:type="pct"/>
            <w:noWrap w:val="0"/>
            <w:vAlign w:val="center"/>
          </w:tcPr>
          <w:p w14:paraId="6C706782">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ascii="Times New Roman" w:hAnsi="Times New Roman" w:eastAsia="宋体"/>
                <w:color w:val="auto"/>
                <w:sz w:val="21"/>
              </w:rPr>
              <w:t>环境空气质量执行《环境空气质量标准》</w:t>
            </w:r>
            <w:r>
              <w:rPr>
                <w:rFonts w:hint="eastAsia" w:ascii="Times New Roman" w:hAnsi="Times New Roman" w:eastAsia="宋体"/>
                <w:color w:val="auto"/>
                <w:sz w:val="21"/>
                <w:szCs w:val="21"/>
              </w:rPr>
              <w:t>一级</w:t>
            </w:r>
            <w:r>
              <w:rPr>
                <w:rFonts w:hint="eastAsia"/>
                <w:color w:val="auto"/>
                <w:sz w:val="21"/>
                <w:szCs w:val="21"/>
                <w:lang w:eastAsia="zh-CN"/>
              </w:rPr>
              <w:t>、二级</w:t>
            </w:r>
            <w:r>
              <w:rPr>
                <w:rFonts w:ascii="Times New Roman" w:hAnsi="Times New Roman" w:eastAsia="宋体"/>
                <w:color w:val="auto"/>
                <w:sz w:val="21"/>
              </w:rPr>
              <w:t>标准</w:t>
            </w:r>
          </w:p>
        </w:tc>
      </w:tr>
      <w:tr w14:paraId="3E8E13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0A084171">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固体废物</w:t>
            </w:r>
          </w:p>
        </w:tc>
        <w:tc>
          <w:tcPr>
            <w:tcW w:w="1467" w:type="pct"/>
            <w:noWrap w:val="0"/>
            <w:vAlign w:val="center"/>
          </w:tcPr>
          <w:p w14:paraId="628176E5">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olor w:val="auto"/>
                <w:sz w:val="21"/>
                <w:szCs w:val="21"/>
              </w:rPr>
            </w:pPr>
            <w:r>
              <w:rPr>
                <w:rFonts w:hint="eastAsia" w:ascii="Times New Roman" w:hAnsi="Times New Roman" w:eastAsia="宋体"/>
                <w:color w:val="auto"/>
                <w:sz w:val="21"/>
                <w:szCs w:val="21"/>
              </w:rPr>
              <w:t>①</w:t>
            </w:r>
            <w:r>
              <w:rPr>
                <w:rFonts w:ascii="Times New Roman" w:hAnsi="Times New Roman" w:eastAsia="宋体"/>
                <w:color w:val="auto"/>
                <w:sz w:val="21"/>
                <w:szCs w:val="21"/>
              </w:rPr>
              <w:t>生活垃圾集中收集后，</w:t>
            </w:r>
            <w:r>
              <w:rPr>
                <w:rFonts w:hint="eastAsia" w:ascii="Times New Roman" w:hAnsi="Times New Roman" w:eastAsia="宋体"/>
                <w:color w:val="auto"/>
                <w:sz w:val="21"/>
                <w:szCs w:val="21"/>
              </w:rPr>
              <w:t>运至指定垃圾填埋场处置。</w:t>
            </w:r>
          </w:p>
          <w:p w14:paraId="3A8DC618">
            <w:pPr>
              <w:keepNext w:val="0"/>
              <w:keepLines w:val="0"/>
              <w:pageBreakBefore w:val="0"/>
              <w:widowControl w:val="0"/>
              <w:kinsoku/>
              <w:wordWrap w:val="0"/>
              <w:overflowPunct/>
              <w:topLinePunct w:val="0"/>
              <w:autoSpaceDE/>
              <w:autoSpaceDN/>
              <w:bidi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②</w:t>
            </w:r>
            <w:r>
              <w:rPr>
                <w:rFonts w:ascii="Times New Roman" w:hAnsi="Times New Roman"/>
                <w:color w:val="auto"/>
                <w:sz w:val="21"/>
                <w:szCs w:val="21"/>
                <w:highlight w:val="none"/>
              </w:rPr>
              <w:t>本</w:t>
            </w:r>
            <w:r>
              <w:rPr>
                <w:rFonts w:hint="eastAsia" w:ascii="Times New Roman" w:hAnsi="Times New Roman"/>
                <w:color w:val="auto"/>
                <w:sz w:val="21"/>
                <w:szCs w:val="21"/>
                <w:highlight w:val="none"/>
              </w:rPr>
              <w:t>项目</w:t>
            </w:r>
            <w:r>
              <w:rPr>
                <w:rFonts w:hint="eastAsia"/>
                <w:color w:val="auto"/>
                <w:sz w:val="21"/>
                <w:szCs w:val="21"/>
                <w:highlight w:val="none"/>
                <w:lang w:eastAsia="zh-CN"/>
              </w:rPr>
              <w:t>全线挖方部纵向利用于路基填筑，全线无弃土。</w:t>
            </w:r>
          </w:p>
        </w:tc>
        <w:tc>
          <w:tcPr>
            <w:tcW w:w="756" w:type="pct"/>
            <w:noWrap w:val="0"/>
            <w:vAlign w:val="center"/>
          </w:tcPr>
          <w:p w14:paraId="0EF5C249">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ascii="Times New Roman" w:hAnsi="Times New Roman" w:eastAsia="宋体"/>
                <w:color w:val="auto"/>
                <w:sz w:val="21"/>
              </w:rPr>
              <w:t>固体废物得到妥善处理处置不外排</w:t>
            </w:r>
          </w:p>
        </w:tc>
        <w:tc>
          <w:tcPr>
            <w:tcW w:w="1117" w:type="pct"/>
            <w:noWrap w:val="0"/>
            <w:vAlign w:val="center"/>
          </w:tcPr>
          <w:p w14:paraId="306F047F">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路政部门定期清理道路遗撒垃圾，集中收集，交由市政部门统一清运。</w:t>
            </w:r>
          </w:p>
        </w:tc>
        <w:tc>
          <w:tcPr>
            <w:tcW w:w="879" w:type="pct"/>
            <w:noWrap w:val="0"/>
            <w:vAlign w:val="center"/>
          </w:tcPr>
          <w:p w14:paraId="2E81299A">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ascii="Times New Roman" w:hAnsi="Times New Roman" w:eastAsia="宋体"/>
                <w:color w:val="auto"/>
                <w:sz w:val="21"/>
              </w:rPr>
              <w:t>固体废物得到妥善处理处置不外排</w:t>
            </w:r>
            <w:r>
              <w:rPr>
                <w:rFonts w:hint="eastAsia" w:ascii="Times New Roman" w:hAnsi="Times New Roman" w:eastAsia="宋体"/>
                <w:color w:val="auto"/>
                <w:sz w:val="21"/>
              </w:rPr>
              <w:t>。</w:t>
            </w:r>
          </w:p>
        </w:tc>
      </w:tr>
      <w:tr w14:paraId="7E3E9C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0AC353E3">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电磁环境</w:t>
            </w:r>
          </w:p>
        </w:tc>
        <w:tc>
          <w:tcPr>
            <w:tcW w:w="1467" w:type="pct"/>
            <w:noWrap w:val="0"/>
            <w:vAlign w:val="center"/>
          </w:tcPr>
          <w:p w14:paraId="7498CFF2">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756" w:type="pct"/>
            <w:noWrap w:val="0"/>
            <w:vAlign w:val="center"/>
          </w:tcPr>
          <w:p w14:paraId="67D446D8">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1117" w:type="pct"/>
            <w:noWrap w:val="0"/>
            <w:vAlign w:val="center"/>
          </w:tcPr>
          <w:p w14:paraId="0D2C8843">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879" w:type="pct"/>
            <w:noWrap w:val="0"/>
            <w:vAlign w:val="center"/>
          </w:tcPr>
          <w:p w14:paraId="5D1E90FB">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r>
      <w:tr w14:paraId="009B20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7" w:type="pct"/>
            <w:noWrap w:val="0"/>
            <w:vAlign w:val="center"/>
          </w:tcPr>
          <w:p w14:paraId="15564F1A">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环境风险</w:t>
            </w:r>
          </w:p>
        </w:tc>
        <w:tc>
          <w:tcPr>
            <w:tcW w:w="1467" w:type="pct"/>
            <w:noWrap w:val="0"/>
            <w:vAlign w:val="center"/>
          </w:tcPr>
          <w:p w14:paraId="362FFB29">
            <w:pPr>
              <w:pStyle w:val="5"/>
              <w:keepNext w:val="0"/>
              <w:keepLines w:val="0"/>
              <w:pageBreakBefore w:val="0"/>
              <w:widowControl w:val="0"/>
              <w:kinsoku/>
              <w:wordWrap w:val="0"/>
              <w:overflowPunct/>
              <w:topLinePunct w:val="0"/>
              <w:autoSpaceDE/>
              <w:autoSpaceDN/>
              <w:bidi w:val="0"/>
              <w:adjustRightInd w:val="0"/>
              <w:snapToGrid w:val="0"/>
              <w:spacing w:line="240" w:lineRule="auto"/>
              <w:ind w:left="0" w:leftChars="0" w:firstLine="0" w:firstLineChars="0"/>
              <w:textAlignment w:val="auto"/>
              <w:rPr>
                <w:rFonts w:hint="eastAsia" w:ascii="Times New Roman" w:hAnsi="Times New Roman" w:eastAsia="宋体"/>
                <w:color w:val="auto"/>
                <w:sz w:val="21"/>
              </w:rPr>
            </w:pPr>
            <w:r>
              <w:rPr>
                <w:rFonts w:hint="eastAsia" w:ascii="Times New Roman" w:hAnsi="Times New Roman" w:eastAsia="宋体" w:cs="宋体"/>
                <w:color w:val="auto"/>
                <w:sz w:val="21"/>
              </w:rPr>
              <w:t>①</w:t>
            </w:r>
            <w:r>
              <w:rPr>
                <w:rFonts w:ascii="Times New Roman" w:hAnsi="Times New Roman" w:eastAsia="宋体"/>
                <w:color w:val="auto"/>
                <w:sz w:val="21"/>
              </w:rPr>
              <w:t>在施工区内建立防火及火灾警报系统，严格执行野外用火</w:t>
            </w:r>
            <w:r>
              <w:rPr>
                <w:rFonts w:hint="eastAsia" w:ascii="Times New Roman" w:hAnsi="Times New Roman" w:eastAsia="宋体"/>
                <w:color w:val="auto"/>
                <w:sz w:val="21"/>
              </w:rPr>
              <w:t>。</w:t>
            </w:r>
          </w:p>
          <w:p w14:paraId="0747DDF1">
            <w:pPr>
              <w:pStyle w:val="5"/>
              <w:keepNext w:val="0"/>
              <w:keepLines w:val="0"/>
              <w:pageBreakBefore w:val="0"/>
              <w:widowControl w:val="0"/>
              <w:kinsoku/>
              <w:wordWrap w:val="0"/>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auto"/>
                <w:sz w:val="21"/>
              </w:rPr>
            </w:pPr>
            <w:r>
              <w:rPr>
                <w:rFonts w:hint="eastAsia" w:ascii="Times New Roman" w:hAnsi="Times New Roman" w:eastAsia="宋体" w:cs="宋体"/>
                <w:color w:val="auto"/>
                <w:sz w:val="21"/>
              </w:rPr>
              <w:t>②</w:t>
            </w:r>
            <w:r>
              <w:rPr>
                <w:rFonts w:ascii="Times New Roman" w:hAnsi="Times New Roman" w:eastAsia="宋体"/>
                <w:color w:val="auto"/>
                <w:sz w:val="21"/>
              </w:rPr>
              <w:t>对施工人员进行防火宣传教育，并严格规范和限制施工人员的野外活动，严禁施工人员私自野外用火，</w:t>
            </w:r>
            <w:r>
              <w:rPr>
                <w:rFonts w:hint="eastAsia" w:ascii="Times New Roman" w:hAnsi="Times New Roman" w:eastAsia="宋体"/>
                <w:color w:val="auto"/>
                <w:sz w:val="21"/>
              </w:rPr>
              <w:t>做好</w:t>
            </w:r>
            <w:r>
              <w:rPr>
                <w:rFonts w:ascii="Times New Roman" w:hAnsi="Times New Roman" w:eastAsia="宋体"/>
                <w:color w:val="auto"/>
                <w:sz w:val="21"/>
              </w:rPr>
              <w:t>吸烟和生活用火等火源管理，严格控制易燃易爆器材的使用</w:t>
            </w:r>
            <w:r>
              <w:rPr>
                <w:rFonts w:hint="eastAsia" w:ascii="Times New Roman" w:hAnsi="Times New Roman" w:eastAsia="宋体"/>
                <w:color w:val="auto"/>
                <w:sz w:val="21"/>
              </w:rPr>
              <w:t>。</w:t>
            </w:r>
          </w:p>
          <w:p w14:paraId="08699379">
            <w:pPr>
              <w:pStyle w:val="5"/>
              <w:keepNext w:val="0"/>
              <w:keepLines w:val="0"/>
              <w:pageBreakBefore w:val="0"/>
              <w:widowControl w:val="0"/>
              <w:kinsoku/>
              <w:wordWrap w:val="0"/>
              <w:overflowPunct/>
              <w:topLinePunct w:val="0"/>
              <w:autoSpaceDE/>
              <w:autoSpaceDN/>
              <w:bidi w:val="0"/>
              <w:adjustRightInd w:val="0"/>
              <w:snapToGrid w:val="0"/>
              <w:spacing w:line="240" w:lineRule="auto"/>
              <w:ind w:left="0" w:leftChars="0"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rPr>
              <w:t>③</w:t>
            </w:r>
            <w:r>
              <w:rPr>
                <w:rFonts w:ascii="Times New Roman" w:hAnsi="Times New Roman" w:eastAsia="宋体"/>
                <w:color w:val="auto"/>
                <w:sz w:val="21"/>
              </w:rPr>
              <w:t>应制定风险事故应急预案</w:t>
            </w:r>
            <w:r>
              <w:rPr>
                <w:rFonts w:hint="eastAsia" w:ascii="Times New Roman" w:hAnsi="Times New Roman" w:eastAsia="宋体"/>
                <w:color w:val="auto"/>
                <w:sz w:val="21"/>
              </w:rPr>
              <w:t>。</w:t>
            </w:r>
          </w:p>
        </w:tc>
        <w:tc>
          <w:tcPr>
            <w:tcW w:w="756" w:type="pct"/>
            <w:noWrap w:val="0"/>
            <w:vAlign w:val="center"/>
          </w:tcPr>
          <w:p w14:paraId="5551679D">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确保环境风险最小化</w:t>
            </w:r>
          </w:p>
        </w:tc>
        <w:tc>
          <w:tcPr>
            <w:tcW w:w="1117" w:type="pct"/>
            <w:noWrap w:val="0"/>
            <w:vAlign w:val="center"/>
          </w:tcPr>
          <w:p w14:paraId="1BC62C6D">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rPr>
              <w:t>配备必要环境风险应急材料包括人员防护设备、消防设备、牵引设备、电力照明设备、撇油设备以及应急物资，并对相关人员进行必要的培训和演练。</w:t>
            </w:r>
          </w:p>
        </w:tc>
        <w:tc>
          <w:tcPr>
            <w:tcW w:w="879" w:type="pct"/>
            <w:noWrap w:val="0"/>
            <w:vAlign w:val="center"/>
          </w:tcPr>
          <w:p w14:paraId="018B053B">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auto"/>
                <w:sz w:val="21"/>
                <w:szCs w:val="21"/>
                <w:highlight w:val="none"/>
                <w:lang w:eastAsia="zh-CN"/>
              </w:rPr>
            </w:pPr>
            <w:r>
              <w:rPr>
                <w:rFonts w:hint="eastAsia" w:ascii="Times New Roman" w:hAnsi="Times New Roman" w:eastAsia="宋体" w:cs="宋体"/>
                <w:color w:val="auto"/>
                <w:sz w:val="21"/>
                <w:szCs w:val="21"/>
              </w:rPr>
              <w:t>有应急预案和物资储备。确保环境风险最小化。</w:t>
            </w:r>
          </w:p>
        </w:tc>
      </w:tr>
      <w:tr w14:paraId="73DF8F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777" w:type="pct"/>
            <w:noWrap w:val="0"/>
            <w:vAlign w:val="center"/>
          </w:tcPr>
          <w:p w14:paraId="79D1CFE0">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环境监测</w:t>
            </w:r>
          </w:p>
        </w:tc>
        <w:tc>
          <w:tcPr>
            <w:tcW w:w="1467" w:type="pct"/>
            <w:noWrap w:val="0"/>
            <w:vAlign w:val="center"/>
          </w:tcPr>
          <w:p w14:paraId="2F374B16">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756" w:type="pct"/>
            <w:noWrap w:val="0"/>
            <w:vAlign w:val="center"/>
          </w:tcPr>
          <w:p w14:paraId="3B526981">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1117" w:type="pct"/>
            <w:noWrap w:val="0"/>
            <w:vAlign w:val="center"/>
          </w:tcPr>
          <w:p w14:paraId="33470415">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879" w:type="pct"/>
            <w:noWrap w:val="0"/>
            <w:vAlign w:val="center"/>
          </w:tcPr>
          <w:p w14:paraId="6C355E97">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r>
      <w:tr w14:paraId="36C463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8" w:hRule="atLeast"/>
          <w:jc w:val="center"/>
        </w:trPr>
        <w:tc>
          <w:tcPr>
            <w:tcW w:w="777" w:type="pct"/>
            <w:noWrap w:val="0"/>
            <w:vAlign w:val="center"/>
          </w:tcPr>
          <w:p w14:paraId="334ECB9E">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宋体"/>
                <w:color w:val="auto"/>
                <w:sz w:val="21"/>
                <w:szCs w:val="21"/>
              </w:rPr>
              <w:t>其他</w:t>
            </w:r>
          </w:p>
        </w:tc>
        <w:tc>
          <w:tcPr>
            <w:tcW w:w="1467" w:type="pct"/>
            <w:noWrap w:val="0"/>
            <w:vAlign w:val="center"/>
          </w:tcPr>
          <w:p w14:paraId="50CC98CF">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756" w:type="pct"/>
            <w:noWrap w:val="0"/>
            <w:vAlign w:val="center"/>
          </w:tcPr>
          <w:p w14:paraId="3F7DF9A6">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1117" w:type="pct"/>
            <w:noWrap w:val="0"/>
            <w:vAlign w:val="center"/>
          </w:tcPr>
          <w:p w14:paraId="16AD0105">
            <w:pPr>
              <w:keepNext w:val="0"/>
              <w:keepLines w:val="0"/>
              <w:pageBreakBefore w:val="0"/>
              <w:widowControl w:val="0"/>
              <w:kinsoku/>
              <w:wordWrap w:val="0"/>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c>
          <w:tcPr>
            <w:tcW w:w="879" w:type="pct"/>
            <w:noWrap w:val="0"/>
            <w:vAlign w:val="center"/>
          </w:tcPr>
          <w:p w14:paraId="3A7EED91">
            <w:pPr>
              <w:keepNext w:val="0"/>
              <w:keepLines w:val="0"/>
              <w:pageBreakBefore w:val="0"/>
              <w:widowControl w:val="0"/>
              <w:kinsoku/>
              <w:wordWrap w:val="0"/>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olor w:val="auto"/>
                <w:sz w:val="21"/>
                <w:szCs w:val="21"/>
              </w:rPr>
              <w:t>/</w:t>
            </w:r>
          </w:p>
        </w:tc>
      </w:tr>
    </w:tbl>
    <w:p w14:paraId="5CB0BDCA">
      <w:pPr>
        <w:pStyle w:val="31"/>
        <w:rPr>
          <w:color w:val="auto"/>
          <w:highlight w:val="none"/>
        </w:rPr>
      </w:pPr>
      <w:r>
        <w:rPr>
          <w:color w:val="auto"/>
          <w:highlight w:val="none"/>
        </w:rPr>
        <w:br w:type="page"/>
      </w:r>
      <w:bookmarkStart w:id="17" w:name="_Toc26135"/>
      <w:bookmarkStart w:id="18" w:name="_Toc14541"/>
      <w:r>
        <w:rPr>
          <w:color w:val="auto"/>
          <w:highlight w:val="none"/>
        </w:rPr>
        <w:t>七、结论</w:t>
      </w:r>
      <w:bookmarkEnd w:id="17"/>
      <w:bookmarkEnd w:id="18"/>
    </w:p>
    <w:tbl>
      <w:tblPr>
        <w:tblStyle w:val="1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295EF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189" w:hRule="atLeast"/>
          <w:jc w:val="center"/>
        </w:trPr>
        <w:tc>
          <w:tcPr>
            <w:tcW w:w="5000" w:type="pct"/>
            <w:noWrap w:val="0"/>
            <w:vAlign w:val="top"/>
          </w:tcPr>
          <w:p w14:paraId="5DD603DF">
            <w:pPr>
              <w:pStyle w:val="34"/>
              <w:ind w:firstLine="480"/>
              <w:rPr>
                <w:rFonts w:ascii="宋体" w:hAnsi="宋体" w:cs="宋体"/>
                <w:color w:val="auto"/>
                <w:szCs w:val="21"/>
                <w:highlight w:val="none"/>
              </w:rPr>
            </w:pPr>
            <w:r>
              <w:rPr>
                <w:color w:val="auto"/>
                <w:highlight w:val="none"/>
              </w:rPr>
              <w:t>本项目为基础设施建设项目，本项目的建设符合当前国家产业政策，选线合理。本项目的建设可以进一步促进地方经济发展</w:t>
            </w:r>
            <w:r>
              <w:rPr>
                <w:rFonts w:hint="eastAsia"/>
                <w:color w:val="auto"/>
                <w:highlight w:val="none"/>
                <w:lang w:eastAsia="zh-CN"/>
              </w:rPr>
              <w:t>，</w:t>
            </w:r>
            <w:r>
              <w:rPr>
                <w:color w:val="auto"/>
                <w:highlight w:val="none"/>
              </w:rPr>
              <w:t>本项目建设过程中不可避免</w:t>
            </w:r>
            <w:r>
              <w:rPr>
                <w:rFonts w:hint="eastAsia"/>
                <w:color w:val="auto"/>
                <w:highlight w:val="none"/>
                <w:lang w:eastAsia="zh-CN"/>
              </w:rPr>
              <w:t>地</w:t>
            </w:r>
            <w:r>
              <w:rPr>
                <w:color w:val="auto"/>
                <w:highlight w:val="none"/>
              </w:rPr>
              <w:t>造成一定的生态影响，通过采取相应的生态影响减缓措施及恢复措施以及各项污染防治措施，可使本项目建设对周边生态环境的影响降至最低水平，从生态环境保护角度分析，在严格</w:t>
            </w:r>
            <w:r>
              <w:rPr>
                <w:rFonts w:hint="eastAsia"/>
                <w:color w:val="auto"/>
                <w:highlight w:val="none"/>
                <w:lang w:eastAsia="zh-CN"/>
              </w:rPr>
              <w:t>落实</w:t>
            </w:r>
            <w:r>
              <w:rPr>
                <w:color w:val="auto"/>
                <w:highlight w:val="none"/>
              </w:rPr>
              <w:t>本评价所提出的生态环境保护对策与措施的前提下，本项目的建设是可行的。</w:t>
            </w:r>
          </w:p>
        </w:tc>
      </w:tr>
    </w:tbl>
    <w:p w14:paraId="02038019">
      <w:pPr>
        <w:ind w:firstLine="0" w:firstLineChars="0"/>
        <w:rPr>
          <w:rFonts w:ascii="宋体"/>
          <w:color w:val="auto"/>
          <w:sz w:val="2"/>
          <w:szCs w:val="2"/>
          <w:highlight w:val="none"/>
        </w:rPr>
      </w:pPr>
    </w:p>
    <w:sectPr>
      <w:pgSz w:w="11906" w:h="16838"/>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body>
</w:document>
</file>

<file path=word/customizations.xml><?xml version="1.0" encoding="utf-8"?>
<wne:tcg xmlns:r="http://schemas.openxmlformats.org/officeDocument/2006/relationships" xmlns:wne="http://schemas.microsoft.com/office/word/2006/wordml">
  <wne:keymaps>
    <wne:keymap wne:kcmPrimary="0435">
      <wne:acd wne:acdName="acd0"/>
    </wne:keymap>
  </wne:keymaps>
  <wne:acds>
    <wne:acd wne:argValue="AQAAAAA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C4AEE8D-5CF7-4FD5-8442-F9BE46BAA22C}"/>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2000000000000000000"/>
    <w:charset w:val="86"/>
    <w:family w:val="script"/>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方正楷体_GB2312">
    <w:panose1 w:val="02000000000000000000"/>
    <w:charset w:val="86"/>
    <w:family w:val="auto"/>
    <w:pitch w:val="default"/>
    <w:sig w:usb0="A00002BF" w:usb1="184F6CFA" w:usb2="00000012" w:usb3="00000000" w:csb0="00040001" w:csb1="00000000"/>
    <w:embedRegular r:id="rId2" w:fontKey="{8A26E001-43C0-42E8-84CD-ACCD8832E335}"/>
  </w:font>
  <w:font w:name="方正仿宋_GB2312">
    <w:panose1 w:val="02000000000000000000"/>
    <w:charset w:val="86"/>
    <w:family w:val="auto"/>
    <w:pitch w:val="default"/>
    <w:sig w:usb0="A00002BF" w:usb1="184F6CFA" w:usb2="00000012" w:usb3="00000000" w:csb0="00040001" w:csb1="00000000"/>
    <w:embedRegular r:id="rId3" w:fontKey="{92CB99BD-6863-4396-A64D-9F5C72DDA162}"/>
  </w:font>
  <w:font w:name="Wingdings 2">
    <w:panose1 w:val="05020102010507070707"/>
    <w:charset w:val="02"/>
    <w:family w:val="roman"/>
    <w:pitch w:val="default"/>
    <w:sig w:usb0="00000000" w:usb1="00000000" w:usb2="00000000" w:usb3="00000000" w:csb0="80000000" w:csb1="00000000"/>
    <w:embedRegular r:id="rId4" w:fontKey="{6696E7F2-CB16-4EFE-9DDE-561CBEABE96A}"/>
  </w:font>
  <w:font w:name="楷体">
    <w:panose1 w:val="02010609060101010101"/>
    <w:charset w:val="86"/>
    <w:family w:val="auto"/>
    <w:pitch w:val="default"/>
    <w:sig w:usb0="800002BF" w:usb1="38CF7CFA" w:usb2="00000016" w:usb3="00000000" w:csb0="00040001" w:csb1="00000000"/>
    <w:embedRegular r:id="rId5" w:fontKey="{A39E545F-8796-4462-AEC0-3A7C56F8E67B}"/>
  </w:font>
  <w:font w:name="新宋体">
    <w:panose1 w:val="02010609030101010101"/>
    <w:charset w:val="86"/>
    <w:family w:val="auto"/>
    <w:pitch w:val="default"/>
    <w:sig w:usb0="00000003" w:usb1="288F0000" w:usb2="00000006" w:usb3="00000000" w:csb0="00040001" w:csb1="00000000"/>
    <w:embedRegular r:id="rId6" w:fontKey="{0242FC7A-CA02-4BF5-9534-0EB0124152B8}"/>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345920">
    <w:pPr>
      <w:tabs>
        <w:tab w:val="center" w:pos="4153"/>
        <w:tab w:val="right" w:pos="8306"/>
      </w:tabs>
      <w:ind w:right="360"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F8647">
    <w:pPr>
      <w:framePr w:wrap="around" w:vAnchor="text" w:hAnchor="margin" w:xAlign="outside" w:y="1"/>
      <w:tabs>
        <w:tab w:val="center" w:pos="4153"/>
        <w:tab w:val="right" w:pos="8306"/>
      </w:tabs>
      <w:ind w:firstLine="480"/>
    </w:pPr>
    <w:r>
      <w:fldChar w:fldCharType="begin"/>
    </w:r>
    <w:r>
      <w:instrText xml:space="preserve">PAGE  </w:instrText>
    </w:r>
    <w:r>
      <w:fldChar w:fldCharType="end"/>
    </w:r>
  </w:p>
  <w:p w14:paraId="78FB8601">
    <w:pPr>
      <w:tabs>
        <w:tab w:val="center" w:pos="4153"/>
        <w:tab w:val="right" w:pos="8306"/>
      </w:tabs>
      <w:ind w:right="360"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4E780">
    <w:pPr>
      <w:tabs>
        <w:tab w:val="center" w:pos="4153"/>
        <w:tab w:val="right" w:pos="8306"/>
      </w:tabs>
      <w:ind w:right="360" w:firstLine="48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A63F7D0">
                          <w:pPr>
                            <w:tabs>
                              <w:tab w:val="center" w:pos="4153"/>
                              <w:tab w:val="right" w:pos="8306"/>
                            </w:tabs>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59</w:t>
                          </w:r>
                          <w:r>
                            <w:rPr>
                              <w:sz w:val="21"/>
                              <w:szCs w:val="32"/>
                            </w:rPr>
                            <w:fldChar w:fldCharType="end"/>
                          </w:r>
                        </w:p>
                      </w:txbxContent>
                    </wps:txbx>
                    <wps:bodyPr wrap="none" lIns="0" tIns="0" rIns="0" bIns="0" upright="0">
                      <a:spAutoFit/>
                    </wps:bodyPr>
                  </wps:wsp>
                </a:graphicData>
              </a:graphic>
            </wp:anchor>
          </w:drawing>
        </mc:Choice>
        <mc:Fallback>
          <w:pict>
            <v:shape id="文本框 102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KNgXcPLAQAAnQMAAA4AAAAAAAAAAQAgAAAAHgEAAGRycy9lMm9E&#10;b2MueG1sUEsFBgAAAAAGAAYAWQEAAFsFAAAAAA==&#10;">
              <v:fill on="f" focussize="0,0"/>
              <v:stroke on="f"/>
              <v:imagedata o:title=""/>
              <o:lock v:ext="edit" aspectratio="f"/>
              <v:textbox inset="0mm,0mm,0mm,0mm" style="mso-fit-shape-to-text:t;">
                <w:txbxContent>
                  <w:p w14:paraId="4A63F7D0">
                    <w:pPr>
                      <w:tabs>
                        <w:tab w:val="center" w:pos="4153"/>
                        <w:tab w:val="right" w:pos="8306"/>
                      </w:tabs>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59</w:t>
                    </w:r>
                    <w:r>
                      <w:rPr>
                        <w:sz w:val="21"/>
                        <w:szCs w:val="32"/>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1"/>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20"/>
  <w:hyphenationZone w:val="360"/>
  <w:doNotHyphenateCaps/>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zYWNjMjBjNjRjYWVmYmM5MmJiMDUzNDQ1OTIyOTUifQ=="/>
  </w:docVars>
  <w:rsids>
    <w:rsidRoot w:val="00172A27"/>
    <w:rsid w:val="00001CED"/>
    <w:rsid w:val="00001E67"/>
    <w:rsid w:val="000035A1"/>
    <w:rsid w:val="00003CD8"/>
    <w:rsid w:val="00014965"/>
    <w:rsid w:val="0001523A"/>
    <w:rsid w:val="00016ECB"/>
    <w:rsid w:val="000269F6"/>
    <w:rsid w:val="00031939"/>
    <w:rsid w:val="00032D25"/>
    <w:rsid w:val="0005219D"/>
    <w:rsid w:val="000528A2"/>
    <w:rsid w:val="0005568F"/>
    <w:rsid w:val="0006153D"/>
    <w:rsid w:val="00061B1F"/>
    <w:rsid w:val="000664DB"/>
    <w:rsid w:val="0007127D"/>
    <w:rsid w:val="00071AE5"/>
    <w:rsid w:val="00074783"/>
    <w:rsid w:val="000801E0"/>
    <w:rsid w:val="00082A29"/>
    <w:rsid w:val="0008331D"/>
    <w:rsid w:val="0008382E"/>
    <w:rsid w:val="00083C18"/>
    <w:rsid w:val="00092899"/>
    <w:rsid w:val="000A178E"/>
    <w:rsid w:val="000A557E"/>
    <w:rsid w:val="000B058F"/>
    <w:rsid w:val="000B693F"/>
    <w:rsid w:val="000C09AC"/>
    <w:rsid w:val="000C0A63"/>
    <w:rsid w:val="000C437E"/>
    <w:rsid w:val="000E5F16"/>
    <w:rsid w:val="000F4452"/>
    <w:rsid w:val="000F6DA1"/>
    <w:rsid w:val="000F701B"/>
    <w:rsid w:val="001056A0"/>
    <w:rsid w:val="00115279"/>
    <w:rsid w:val="00117459"/>
    <w:rsid w:val="0011749A"/>
    <w:rsid w:val="0012211A"/>
    <w:rsid w:val="00127A68"/>
    <w:rsid w:val="00140B13"/>
    <w:rsid w:val="00141B68"/>
    <w:rsid w:val="001466DA"/>
    <w:rsid w:val="00154DE1"/>
    <w:rsid w:val="00155B40"/>
    <w:rsid w:val="00157435"/>
    <w:rsid w:val="00163EEA"/>
    <w:rsid w:val="00167A07"/>
    <w:rsid w:val="0017046A"/>
    <w:rsid w:val="001704A3"/>
    <w:rsid w:val="0017504D"/>
    <w:rsid w:val="00177422"/>
    <w:rsid w:val="00184F10"/>
    <w:rsid w:val="00185546"/>
    <w:rsid w:val="0019146B"/>
    <w:rsid w:val="00194398"/>
    <w:rsid w:val="001A7D2A"/>
    <w:rsid w:val="001B574C"/>
    <w:rsid w:val="001B6AD7"/>
    <w:rsid w:val="001C0AF9"/>
    <w:rsid w:val="001C155A"/>
    <w:rsid w:val="001C48C0"/>
    <w:rsid w:val="001D6726"/>
    <w:rsid w:val="001F3347"/>
    <w:rsid w:val="001F4440"/>
    <w:rsid w:val="001F69E4"/>
    <w:rsid w:val="002009D6"/>
    <w:rsid w:val="00206384"/>
    <w:rsid w:val="00206A65"/>
    <w:rsid w:val="00212D31"/>
    <w:rsid w:val="002130C7"/>
    <w:rsid w:val="002218A8"/>
    <w:rsid w:val="0022306D"/>
    <w:rsid w:val="00226574"/>
    <w:rsid w:val="002278EC"/>
    <w:rsid w:val="002357C7"/>
    <w:rsid w:val="002367C4"/>
    <w:rsid w:val="00241732"/>
    <w:rsid w:val="00247343"/>
    <w:rsid w:val="0025679E"/>
    <w:rsid w:val="00260C68"/>
    <w:rsid w:val="002648B0"/>
    <w:rsid w:val="00275271"/>
    <w:rsid w:val="0027535E"/>
    <w:rsid w:val="00275AA6"/>
    <w:rsid w:val="002807D5"/>
    <w:rsid w:val="00282CCD"/>
    <w:rsid w:val="002A168C"/>
    <w:rsid w:val="002A2C48"/>
    <w:rsid w:val="002A3EED"/>
    <w:rsid w:val="002A4A39"/>
    <w:rsid w:val="002A5A17"/>
    <w:rsid w:val="002A6425"/>
    <w:rsid w:val="002B49E2"/>
    <w:rsid w:val="002B7B00"/>
    <w:rsid w:val="002B7C44"/>
    <w:rsid w:val="002C1388"/>
    <w:rsid w:val="002C3C6A"/>
    <w:rsid w:val="002D42DB"/>
    <w:rsid w:val="002E1F3A"/>
    <w:rsid w:val="002E298A"/>
    <w:rsid w:val="002F02A4"/>
    <w:rsid w:val="002F272B"/>
    <w:rsid w:val="002F7C6D"/>
    <w:rsid w:val="003027E4"/>
    <w:rsid w:val="0030332C"/>
    <w:rsid w:val="00312296"/>
    <w:rsid w:val="0031340E"/>
    <w:rsid w:val="00316464"/>
    <w:rsid w:val="0032073A"/>
    <w:rsid w:val="00321D8E"/>
    <w:rsid w:val="00334996"/>
    <w:rsid w:val="00336969"/>
    <w:rsid w:val="00336C52"/>
    <w:rsid w:val="00341B3E"/>
    <w:rsid w:val="00341B42"/>
    <w:rsid w:val="00345154"/>
    <w:rsid w:val="0034560E"/>
    <w:rsid w:val="00350523"/>
    <w:rsid w:val="00352975"/>
    <w:rsid w:val="00356868"/>
    <w:rsid w:val="0036485B"/>
    <w:rsid w:val="00373B0D"/>
    <w:rsid w:val="00376988"/>
    <w:rsid w:val="00381A72"/>
    <w:rsid w:val="003A1948"/>
    <w:rsid w:val="003B152A"/>
    <w:rsid w:val="003B545B"/>
    <w:rsid w:val="003C093F"/>
    <w:rsid w:val="003C44E7"/>
    <w:rsid w:val="003D3EE9"/>
    <w:rsid w:val="003E47FB"/>
    <w:rsid w:val="003E7681"/>
    <w:rsid w:val="003F0809"/>
    <w:rsid w:val="003F1019"/>
    <w:rsid w:val="003F611C"/>
    <w:rsid w:val="003F755C"/>
    <w:rsid w:val="00406F01"/>
    <w:rsid w:val="00411B36"/>
    <w:rsid w:val="004121D7"/>
    <w:rsid w:val="00416D50"/>
    <w:rsid w:val="00417772"/>
    <w:rsid w:val="00420E6A"/>
    <w:rsid w:val="00433CA9"/>
    <w:rsid w:val="0043521D"/>
    <w:rsid w:val="00442024"/>
    <w:rsid w:val="0044254C"/>
    <w:rsid w:val="00443F6A"/>
    <w:rsid w:val="00450A17"/>
    <w:rsid w:val="00456625"/>
    <w:rsid w:val="004613A4"/>
    <w:rsid w:val="00466321"/>
    <w:rsid w:val="004672AF"/>
    <w:rsid w:val="004727B0"/>
    <w:rsid w:val="00480247"/>
    <w:rsid w:val="0048081D"/>
    <w:rsid w:val="0048117E"/>
    <w:rsid w:val="004855F6"/>
    <w:rsid w:val="00486F0C"/>
    <w:rsid w:val="00487B36"/>
    <w:rsid w:val="00494670"/>
    <w:rsid w:val="00497E18"/>
    <w:rsid w:val="004A0EB4"/>
    <w:rsid w:val="004A3823"/>
    <w:rsid w:val="004A59BB"/>
    <w:rsid w:val="004B43A3"/>
    <w:rsid w:val="004B4C49"/>
    <w:rsid w:val="004B58A5"/>
    <w:rsid w:val="004B63D9"/>
    <w:rsid w:val="004C0882"/>
    <w:rsid w:val="004C0C1C"/>
    <w:rsid w:val="004C55BE"/>
    <w:rsid w:val="004D4569"/>
    <w:rsid w:val="004D52E6"/>
    <w:rsid w:val="004E5B30"/>
    <w:rsid w:val="004F0779"/>
    <w:rsid w:val="004F1230"/>
    <w:rsid w:val="004F173F"/>
    <w:rsid w:val="004F177C"/>
    <w:rsid w:val="004F2DCE"/>
    <w:rsid w:val="005039CB"/>
    <w:rsid w:val="0050558F"/>
    <w:rsid w:val="005057E0"/>
    <w:rsid w:val="00506286"/>
    <w:rsid w:val="00510813"/>
    <w:rsid w:val="00511DE0"/>
    <w:rsid w:val="00515431"/>
    <w:rsid w:val="00517F02"/>
    <w:rsid w:val="00524547"/>
    <w:rsid w:val="005258A2"/>
    <w:rsid w:val="00527B99"/>
    <w:rsid w:val="00530F7C"/>
    <w:rsid w:val="00534567"/>
    <w:rsid w:val="00534F43"/>
    <w:rsid w:val="00535A84"/>
    <w:rsid w:val="00536889"/>
    <w:rsid w:val="00542E07"/>
    <w:rsid w:val="00554A7B"/>
    <w:rsid w:val="0055572C"/>
    <w:rsid w:val="0056064F"/>
    <w:rsid w:val="00561B84"/>
    <w:rsid w:val="00571D98"/>
    <w:rsid w:val="005720AE"/>
    <w:rsid w:val="0057725E"/>
    <w:rsid w:val="0058030D"/>
    <w:rsid w:val="00582045"/>
    <w:rsid w:val="00590AE3"/>
    <w:rsid w:val="005918F1"/>
    <w:rsid w:val="005A06B7"/>
    <w:rsid w:val="005A1759"/>
    <w:rsid w:val="005D0369"/>
    <w:rsid w:val="005D53FE"/>
    <w:rsid w:val="005D7A0F"/>
    <w:rsid w:val="005E0438"/>
    <w:rsid w:val="005E1791"/>
    <w:rsid w:val="005E2CE6"/>
    <w:rsid w:val="005E6324"/>
    <w:rsid w:val="005E6DDD"/>
    <w:rsid w:val="005F228B"/>
    <w:rsid w:val="005F29CD"/>
    <w:rsid w:val="005F4DFB"/>
    <w:rsid w:val="005F6CC0"/>
    <w:rsid w:val="00603E5B"/>
    <w:rsid w:val="00604BC8"/>
    <w:rsid w:val="00615B4C"/>
    <w:rsid w:val="00615B5D"/>
    <w:rsid w:val="0062146F"/>
    <w:rsid w:val="006343AF"/>
    <w:rsid w:val="0063634A"/>
    <w:rsid w:val="0064250D"/>
    <w:rsid w:val="006535EB"/>
    <w:rsid w:val="00663016"/>
    <w:rsid w:val="00674605"/>
    <w:rsid w:val="006748B8"/>
    <w:rsid w:val="0068535B"/>
    <w:rsid w:val="0068736E"/>
    <w:rsid w:val="0069290A"/>
    <w:rsid w:val="00697032"/>
    <w:rsid w:val="006975AC"/>
    <w:rsid w:val="006A15FB"/>
    <w:rsid w:val="006A72BF"/>
    <w:rsid w:val="006B332A"/>
    <w:rsid w:val="006B33BD"/>
    <w:rsid w:val="006C3F75"/>
    <w:rsid w:val="006D0F5C"/>
    <w:rsid w:val="006D170E"/>
    <w:rsid w:val="006D6F3B"/>
    <w:rsid w:val="006E06AF"/>
    <w:rsid w:val="006F1789"/>
    <w:rsid w:val="00706C5D"/>
    <w:rsid w:val="007118E6"/>
    <w:rsid w:val="007225C9"/>
    <w:rsid w:val="00735CD7"/>
    <w:rsid w:val="00754034"/>
    <w:rsid w:val="00754BF1"/>
    <w:rsid w:val="00755A30"/>
    <w:rsid w:val="00755E1C"/>
    <w:rsid w:val="00756556"/>
    <w:rsid w:val="0076132B"/>
    <w:rsid w:val="007623AE"/>
    <w:rsid w:val="00770B19"/>
    <w:rsid w:val="00773916"/>
    <w:rsid w:val="00774FA0"/>
    <w:rsid w:val="00776620"/>
    <w:rsid w:val="00777B6D"/>
    <w:rsid w:val="00784855"/>
    <w:rsid w:val="00784F39"/>
    <w:rsid w:val="0078545C"/>
    <w:rsid w:val="007906C4"/>
    <w:rsid w:val="007940EA"/>
    <w:rsid w:val="007967E8"/>
    <w:rsid w:val="007A40C1"/>
    <w:rsid w:val="007A63F2"/>
    <w:rsid w:val="007B68DE"/>
    <w:rsid w:val="007C1857"/>
    <w:rsid w:val="007C514F"/>
    <w:rsid w:val="007D0F95"/>
    <w:rsid w:val="007D7ECB"/>
    <w:rsid w:val="007E25A1"/>
    <w:rsid w:val="007E4BD2"/>
    <w:rsid w:val="007E7145"/>
    <w:rsid w:val="007F3916"/>
    <w:rsid w:val="007F44A8"/>
    <w:rsid w:val="00801179"/>
    <w:rsid w:val="008014E6"/>
    <w:rsid w:val="00802479"/>
    <w:rsid w:val="00805372"/>
    <w:rsid w:val="00805B7B"/>
    <w:rsid w:val="0081293E"/>
    <w:rsid w:val="00814FFB"/>
    <w:rsid w:val="00820568"/>
    <w:rsid w:val="00831A80"/>
    <w:rsid w:val="008332C8"/>
    <w:rsid w:val="00833743"/>
    <w:rsid w:val="008340A4"/>
    <w:rsid w:val="00836799"/>
    <w:rsid w:val="00837028"/>
    <w:rsid w:val="00837131"/>
    <w:rsid w:val="00845F57"/>
    <w:rsid w:val="008521E0"/>
    <w:rsid w:val="008525B0"/>
    <w:rsid w:val="00867CBC"/>
    <w:rsid w:val="00876C30"/>
    <w:rsid w:val="00877017"/>
    <w:rsid w:val="008773C0"/>
    <w:rsid w:val="00880364"/>
    <w:rsid w:val="00886C4C"/>
    <w:rsid w:val="0088711C"/>
    <w:rsid w:val="00892ECF"/>
    <w:rsid w:val="00892F06"/>
    <w:rsid w:val="00894285"/>
    <w:rsid w:val="008A40AE"/>
    <w:rsid w:val="008A4E19"/>
    <w:rsid w:val="008A67C5"/>
    <w:rsid w:val="008B22E1"/>
    <w:rsid w:val="008B3C78"/>
    <w:rsid w:val="008B4AE9"/>
    <w:rsid w:val="008C30AD"/>
    <w:rsid w:val="008D068E"/>
    <w:rsid w:val="008D0F7A"/>
    <w:rsid w:val="008D63BE"/>
    <w:rsid w:val="008E01BE"/>
    <w:rsid w:val="008E0CFF"/>
    <w:rsid w:val="008E5D6B"/>
    <w:rsid w:val="008E689B"/>
    <w:rsid w:val="008E76F0"/>
    <w:rsid w:val="008F15FE"/>
    <w:rsid w:val="008F2A94"/>
    <w:rsid w:val="008F5187"/>
    <w:rsid w:val="008F709C"/>
    <w:rsid w:val="0090312B"/>
    <w:rsid w:val="00904961"/>
    <w:rsid w:val="0091736D"/>
    <w:rsid w:val="00931001"/>
    <w:rsid w:val="00931863"/>
    <w:rsid w:val="00933524"/>
    <w:rsid w:val="0094278D"/>
    <w:rsid w:val="0095308A"/>
    <w:rsid w:val="00955AEE"/>
    <w:rsid w:val="00956781"/>
    <w:rsid w:val="00956F14"/>
    <w:rsid w:val="009620FD"/>
    <w:rsid w:val="0096247A"/>
    <w:rsid w:val="00965F4B"/>
    <w:rsid w:val="00970F8A"/>
    <w:rsid w:val="00971FB5"/>
    <w:rsid w:val="00972D2A"/>
    <w:rsid w:val="00975CC5"/>
    <w:rsid w:val="00976328"/>
    <w:rsid w:val="00976B4E"/>
    <w:rsid w:val="00984458"/>
    <w:rsid w:val="00985283"/>
    <w:rsid w:val="00987322"/>
    <w:rsid w:val="009A0F3B"/>
    <w:rsid w:val="009A72C7"/>
    <w:rsid w:val="009B0897"/>
    <w:rsid w:val="009D0852"/>
    <w:rsid w:val="009D1FBF"/>
    <w:rsid w:val="009E399C"/>
    <w:rsid w:val="009E43C1"/>
    <w:rsid w:val="009E7E95"/>
    <w:rsid w:val="009F116F"/>
    <w:rsid w:val="009F329E"/>
    <w:rsid w:val="009F7ED3"/>
    <w:rsid w:val="00A03607"/>
    <w:rsid w:val="00A047FF"/>
    <w:rsid w:val="00A04FEF"/>
    <w:rsid w:val="00A122CD"/>
    <w:rsid w:val="00A12A32"/>
    <w:rsid w:val="00A14248"/>
    <w:rsid w:val="00A14947"/>
    <w:rsid w:val="00A16F16"/>
    <w:rsid w:val="00A23DC5"/>
    <w:rsid w:val="00A34028"/>
    <w:rsid w:val="00A3472E"/>
    <w:rsid w:val="00A35568"/>
    <w:rsid w:val="00A37056"/>
    <w:rsid w:val="00A41885"/>
    <w:rsid w:val="00A4358F"/>
    <w:rsid w:val="00A46F67"/>
    <w:rsid w:val="00A54AA1"/>
    <w:rsid w:val="00A568FF"/>
    <w:rsid w:val="00A61496"/>
    <w:rsid w:val="00A61833"/>
    <w:rsid w:val="00A624C6"/>
    <w:rsid w:val="00A63CEC"/>
    <w:rsid w:val="00A7031E"/>
    <w:rsid w:val="00A728B1"/>
    <w:rsid w:val="00A763DE"/>
    <w:rsid w:val="00A803D6"/>
    <w:rsid w:val="00A81078"/>
    <w:rsid w:val="00A81282"/>
    <w:rsid w:val="00A8713F"/>
    <w:rsid w:val="00A91167"/>
    <w:rsid w:val="00A9171C"/>
    <w:rsid w:val="00A92FFD"/>
    <w:rsid w:val="00A95975"/>
    <w:rsid w:val="00A9708D"/>
    <w:rsid w:val="00AA0C79"/>
    <w:rsid w:val="00AA2C17"/>
    <w:rsid w:val="00AA4172"/>
    <w:rsid w:val="00AB1914"/>
    <w:rsid w:val="00AB5330"/>
    <w:rsid w:val="00AB7747"/>
    <w:rsid w:val="00AC161C"/>
    <w:rsid w:val="00AC2532"/>
    <w:rsid w:val="00AD1507"/>
    <w:rsid w:val="00AD5A70"/>
    <w:rsid w:val="00AD738B"/>
    <w:rsid w:val="00AE1BF4"/>
    <w:rsid w:val="00AE5D97"/>
    <w:rsid w:val="00AE6794"/>
    <w:rsid w:val="00B01110"/>
    <w:rsid w:val="00B02262"/>
    <w:rsid w:val="00B03CEC"/>
    <w:rsid w:val="00B1209F"/>
    <w:rsid w:val="00B12AD0"/>
    <w:rsid w:val="00B20DF2"/>
    <w:rsid w:val="00B24F30"/>
    <w:rsid w:val="00B31ABF"/>
    <w:rsid w:val="00B335AE"/>
    <w:rsid w:val="00B37CE1"/>
    <w:rsid w:val="00B40ACF"/>
    <w:rsid w:val="00B46BAA"/>
    <w:rsid w:val="00B50B5F"/>
    <w:rsid w:val="00B54128"/>
    <w:rsid w:val="00B55826"/>
    <w:rsid w:val="00B60426"/>
    <w:rsid w:val="00B622DD"/>
    <w:rsid w:val="00B63522"/>
    <w:rsid w:val="00B76F1D"/>
    <w:rsid w:val="00B92A19"/>
    <w:rsid w:val="00B9544C"/>
    <w:rsid w:val="00BA29E9"/>
    <w:rsid w:val="00BB3618"/>
    <w:rsid w:val="00BC0C9E"/>
    <w:rsid w:val="00BC32DC"/>
    <w:rsid w:val="00BD1B51"/>
    <w:rsid w:val="00BD47F6"/>
    <w:rsid w:val="00BE312D"/>
    <w:rsid w:val="00BE3FCA"/>
    <w:rsid w:val="00BF2003"/>
    <w:rsid w:val="00C02019"/>
    <w:rsid w:val="00C05719"/>
    <w:rsid w:val="00C10578"/>
    <w:rsid w:val="00C17D62"/>
    <w:rsid w:val="00C21FDC"/>
    <w:rsid w:val="00C24EE7"/>
    <w:rsid w:val="00C2596A"/>
    <w:rsid w:val="00C271BE"/>
    <w:rsid w:val="00C27425"/>
    <w:rsid w:val="00C31BAE"/>
    <w:rsid w:val="00C328FE"/>
    <w:rsid w:val="00C33A05"/>
    <w:rsid w:val="00C42500"/>
    <w:rsid w:val="00C44074"/>
    <w:rsid w:val="00C4409D"/>
    <w:rsid w:val="00C455BE"/>
    <w:rsid w:val="00C51E5F"/>
    <w:rsid w:val="00C61E4B"/>
    <w:rsid w:val="00C62E3A"/>
    <w:rsid w:val="00C64503"/>
    <w:rsid w:val="00C64A1F"/>
    <w:rsid w:val="00C64BFF"/>
    <w:rsid w:val="00C763C9"/>
    <w:rsid w:val="00C80057"/>
    <w:rsid w:val="00C82C79"/>
    <w:rsid w:val="00C84753"/>
    <w:rsid w:val="00C91611"/>
    <w:rsid w:val="00CA3585"/>
    <w:rsid w:val="00CA3D5A"/>
    <w:rsid w:val="00CA4C7C"/>
    <w:rsid w:val="00CB0183"/>
    <w:rsid w:val="00CB098B"/>
    <w:rsid w:val="00CB1EA3"/>
    <w:rsid w:val="00CB552C"/>
    <w:rsid w:val="00CB6A9E"/>
    <w:rsid w:val="00CC6181"/>
    <w:rsid w:val="00CD2BCD"/>
    <w:rsid w:val="00CD36AA"/>
    <w:rsid w:val="00CD3791"/>
    <w:rsid w:val="00CD65B0"/>
    <w:rsid w:val="00CE02CD"/>
    <w:rsid w:val="00CE10E9"/>
    <w:rsid w:val="00CE4983"/>
    <w:rsid w:val="00CE4F11"/>
    <w:rsid w:val="00D0072E"/>
    <w:rsid w:val="00D02373"/>
    <w:rsid w:val="00D15727"/>
    <w:rsid w:val="00D16332"/>
    <w:rsid w:val="00D24972"/>
    <w:rsid w:val="00D2515E"/>
    <w:rsid w:val="00D308ED"/>
    <w:rsid w:val="00D56178"/>
    <w:rsid w:val="00D56CF0"/>
    <w:rsid w:val="00D56F5C"/>
    <w:rsid w:val="00D704B1"/>
    <w:rsid w:val="00D70B63"/>
    <w:rsid w:val="00D72B92"/>
    <w:rsid w:val="00D72ED4"/>
    <w:rsid w:val="00D73F61"/>
    <w:rsid w:val="00D74EA1"/>
    <w:rsid w:val="00D754C0"/>
    <w:rsid w:val="00D776A2"/>
    <w:rsid w:val="00D801C4"/>
    <w:rsid w:val="00D90836"/>
    <w:rsid w:val="00D948E6"/>
    <w:rsid w:val="00D95896"/>
    <w:rsid w:val="00D95CC6"/>
    <w:rsid w:val="00DA2DA3"/>
    <w:rsid w:val="00DA6615"/>
    <w:rsid w:val="00DA76AE"/>
    <w:rsid w:val="00DB181E"/>
    <w:rsid w:val="00DB1C7A"/>
    <w:rsid w:val="00DB2983"/>
    <w:rsid w:val="00DB343D"/>
    <w:rsid w:val="00DB5579"/>
    <w:rsid w:val="00DB5CFE"/>
    <w:rsid w:val="00DC72A6"/>
    <w:rsid w:val="00DD2113"/>
    <w:rsid w:val="00DD265E"/>
    <w:rsid w:val="00DD633F"/>
    <w:rsid w:val="00DF1930"/>
    <w:rsid w:val="00DF514A"/>
    <w:rsid w:val="00E0358D"/>
    <w:rsid w:val="00E06327"/>
    <w:rsid w:val="00E2064B"/>
    <w:rsid w:val="00E25239"/>
    <w:rsid w:val="00E265B1"/>
    <w:rsid w:val="00E275B0"/>
    <w:rsid w:val="00E412D0"/>
    <w:rsid w:val="00E470B0"/>
    <w:rsid w:val="00E47CDB"/>
    <w:rsid w:val="00E566BC"/>
    <w:rsid w:val="00E60982"/>
    <w:rsid w:val="00E60C8D"/>
    <w:rsid w:val="00E6162F"/>
    <w:rsid w:val="00E6311B"/>
    <w:rsid w:val="00E65D97"/>
    <w:rsid w:val="00E67EFD"/>
    <w:rsid w:val="00E702DC"/>
    <w:rsid w:val="00E71FFB"/>
    <w:rsid w:val="00E76D1D"/>
    <w:rsid w:val="00E806F8"/>
    <w:rsid w:val="00E87752"/>
    <w:rsid w:val="00E8793B"/>
    <w:rsid w:val="00E90F81"/>
    <w:rsid w:val="00E91A6D"/>
    <w:rsid w:val="00E9242D"/>
    <w:rsid w:val="00EB041C"/>
    <w:rsid w:val="00EC5874"/>
    <w:rsid w:val="00ED192D"/>
    <w:rsid w:val="00ED30B4"/>
    <w:rsid w:val="00ED31F5"/>
    <w:rsid w:val="00ED6FC2"/>
    <w:rsid w:val="00EF2759"/>
    <w:rsid w:val="00EF45EB"/>
    <w:rsid w:val="00EF5099"/>
    <w:rsid w:val="00EF5E33"/>
    <w:rsid w:val="00F00075"/>
    <w:rsid w:val="00F07822"/>
    <w:rsid w:val="00F10618"/>
    <w:rsid w:val="00F15C95"/>
    <w:rsid w:val="00F22985"/>
    <w:rsid w:val="00F241AB"/>
    <w:rsid w:val="00F31382"/>
    <w:rsid w:val="00F35829"/>
    <w:rsid w:val="00F35988"/>
    <w:rsid w:val="00F42868"/>
    <w:rsid w:val="00F465A7"/>
    <w:rsid w:val="00F50B7C"/>
    <w:rsid w:val="00F5202D"/>
    <w:rsid w:val="00F52CF6"/>
    <w:rsid w:val="00F54496"/>
    <w:rsid w:val="00F61097"/>
    <w:rsid w:val="00F74345"/>
    <w:rsid w:val="00F74441"/>
    <w:rsid w:val="00F77F30"/>
    <w:rsid w:val="00F82589"/>
    <w:rsid w:val="00F82B19"/>
    <w:rsid w:val="00F90AA7"/>
    <w:rsid w:val="00F9212D"/>
    <w:rsid w:val="00FA301A"/>
    <w:rsid w:val="00FA406A"/>
    <w:rsid w:val="00FA5CB6"/>
    <w:rsid w:val="00FC66AC"/>
    <w:rsid w:val="00FD18F4"/>
    <w:rsid w:val="00FD74B4"/>
    <w:rsid w:val="00FF6FCE"/>
    <w:rsid w:val="00FF7518"/>
    <w:rsid w:val="00FF7FD8"/>
    <w:rsid w:val="0100390C"/>
    <w:rsid w:val="01044658"/>
    <w:rsid w:val="010A06C2"/>
    <w:rsid w:val="01147F82"/>
    <w:rsid w:val="013661E1"/>
    <w:rsid w:val="014324AF"/>
    <w:rsid w:val="014C1394"/>
    <w:rsid w:val="01745955"/>
    <w:rsid w:val="01761069"/>
    <w:rsid w:val="01837443"/>
    <w:rsid w:val="019B4A6A"/>
    <w:rsid w:val="019E174B"/>
    <w:rsid w:val="01A52705"/>
    <w:rsid w:val="01B75DFC"/>
    <w:rsid w:val="01BC3830"/>
    <w:rsid w:val="01BE43DD"/>
    <w:rsid w:val="01D24F80"/>
    <w:rsid w:val="01D416EC"/>
    <w:rsid w:val="01D42739"/>
    <w:rsid w:val="01DA5E9C"/>
    <w:rsid w:val="01EF3980"/>
    <w:rsid w:val="01F23506"/>
    <w:rsid w:val="0208180C"/>
    <w:rsid w:val="02104EE0"/>
    <w:rsid w:val="021F6D1A"/>
    <w:rsid w:val="023150F8"/>
    <w:rsid w:val="023C403F"/>
    <w:rsid w:val="023D2D34"/>
    <w:rsid w:val="02661032"/>
    <w:rsid w:val="02685C0C"/>
    <w:rsid w:val="027F4D04"/>
    <w:rsid w:val="029B7DDF"/>
    <w:rsid w:val="029C12D5"/>
    <w:rsid w:val="02A14397"/>
    <w:rsid w:val="02A14D09"/>
    <w:rsid w:val="02A15AE7"/>
    <w:rsid w:val="02AB5AF9"/>
    <w:rsid w:val="02B21CB2"/>
    <w:rsid w:val="02B56978"/>
    <w:rsid w:val="02B80F6E"/>
    <w:rsid w:val="02BE1E79"/>
    <w:rsid w:val="02BE3A7E"/>
    <w:rsid w:val="02C57005"/>
    <w:rsid w:val="02C73530"/>
    <w:rsid w:val="02D92666"/>
    <w:rsid w:val="02DD029C"/>
    <w:rsid w:val="02F216EB"/>
    <w:rsid w:val="02FC2DE8"/>
    <w:rsid w:val="02FC3065"/>
    <w:rsid w:val="02FC76B4"/>
    <w:rsid w:val="03011BBD"/>
    <w:rsid w:val="03021F3F"/>
    <w:rsid w:val="03031491"/>
    <w:rsid w:val="031C07A5"/>
    <w:rsid w:val="031E020B"/>
    <w:rsid w:val="03232102"/>
    <w:rsid w:val="03381231"/>
    <w:rsid w:val="033D1F0F"/>
    <w:rsid w:val="03547F3F"/>
    <w:rsid w:val="035B4AE9"/>
    <w:rsid w:val="035C4902"/>
    <w:rsid w:val="035E423B"/>
    <w:rsid w:val="03722553"/>
    <w:rsid w:val="037E320E"/>
    <w:rsid w:val="038002F5"/>
    <w:rsid w:val="038500F8"/>
    <w:rsid w:val="039D55F6"/>
    <w:rsid w:val="039F6D34"/>
    <w:rsid w:val="03A67344"/>
    <w:rsid w:val="03A76CE8"/>
    <w:rsid w:val="03B5077B"/>
    <w:rsid w:val="03C20E03"/>
    <w:rsid w:val="03D659E0"/>
    <w:rsid w:val="03E07A24"/>
    <w:rsid w:val="03EF6922"/>
    <w:rsid w:val="03F01D87"/>
    <w:rsid w:val="04051239"/>
    <w:rsid w:val="040845C6"/>
    <w:rsid w:val="04135DCE"/>
    <w:rsid w:val="042279BE"/>
    <w:rsid w:val="04297AD6"/>
    <w:rsid w:val="043233E6"/>
    <w:rsid w:val="04394647"/>
    <w:rsid w:val="043C2443"/>
    <w:rsid w:val="0442138C"/>
    <w:rsid w:val="04426D8D"/>
    <w:rsid w:val="04477A12"/>
    <w:rsid w:val="044F0764"/>
    <w:rsid w:val="046107EB"/>
    <w:rsid w:val="04802A74"/>
    <w:rsid w:val="048102D8"/>
    <w:rsid w:val="04900210"/>
    <w:rsid w:val="04953BB4"/>
    <w:rsid w:val="04A55A49"/>
    <w:rsid w:val="04A8688D"/>
    <w:rsid w:val="04C16348"/>
    <w:rsid w:val="04D453FA"/>
    <w:rsid w:val="04E571B3"/>
    <w:rsid w:val="05065269"/>
    <w:rsid w:val="05070289"/>
    <w:rsid w:val="050D65F7"/>
    <w:rsid w:val="051E4D1A"/>
    <w:rsid w:val="05216546"/>
    <w:rsid w:val="053F716F"/>
    <w:rsid w:val="05476D2B"/>
    <w:rsid w:val="05497C83"/>
    <w:rsid w:val="054B2562"/>
    <w:rsid w:val="055A4D20"/>
    <w:rsid w:val="056A68A7"/>
    <w:rsid w:val="056E7EE0"/>
    <w:rsid w:val="05742AC8"/>
    <w:rsid w:val="058014BF"/>
    <w:rsid w:val="05952F37"/>
    <w:rsid w:val="05A277B6"/>
    <w:rsid w:val="05A43768"/>
    <w:rsid w:val="05AC6D31"/>
    <w:rsid w:val="05E355AA"/>
    <w:rsid w:val="05FB2E11"/>
    <w:rsid w:val="060323C7"/>
    <w:rsid w:val="0607573C"/>
    <w:rsid w:val="061A23CF"/>
    <w:rsid w:val="061C7051"/>
    <w:rsid w:val="061E65E2"/>
    <w:rsid w:val="062E0FB2"/>
    <w:rsid w:val="06323C68"/>
    <w:rsid w:val="06352F05"/>
    <w:rsid w:val="063C16CD"/>
    <w:rsid w:val="063E7D85"/>
    <w:rsid w:val="06471FDD"/>
    <w:rsid w:val="065656F4"/>
    <w:rsid w:val="06762EF2"/>
    <w:rsid w:val="067C5011"/>
    <w:rsid w:val="06846D8D"/>
    <w:rsid w:val="068C5D45"/>
    <w:rsid w:val="069A210C"/>
    <w:rsid w:val="06B2159A"/>
    <w:rsid w:val="06B22791"/>
    <w:rsid w:val="06B33330"/>
    <w:rsid w:val="06B53B71"/>
    <w:rsid w:val="06D373CC"/>
    <w:rsid w:val="06D5137F"/>
    <w:rsid w:val="06E96BF0"/>
    <w:rsid w:val="06F04422"/>
    <w:rsid w:val="06F25E18"/>
    <w:rsid w:val="07012746"/>
    <w:rsid w:val="070659F4"/>
    <w:rsid w:val="070677A2"/>
    <w:rsid w:val="070875E0"/>
    <w:rsid w:val="070D4419"/>
    <w:rsid w:val="070F00C9"/>
    <w:rsid w:val="07101CBA"/>
    <w:rsid w:val="07155C37"/>
    <w:rsid w:val="07293586"/>
    <w:rsid w:val="07295285"/>
    <w:rsid w:val="0729663A"/>
    <w:rsid w:val="072A1DB5"/>
    <w:rsid w:val="073C7FCF"/>
    <w:rsid w:val="07414C7E"/>
    <w:rsid w:val="074402CA"/>
    <w:rsid w:val="074906BD"/>
    <w:rsid w:val="074A31ED"/>
    <w:rsid w:val="0757692D"/>
    <w:rsid w:val="075948A2"/>
    <w:rsid w:val="07677852"/>
    <w:rsid w:val="07770C56"/>
    <w:rsid w:val="07770CA3"/>
    <w:rsid w:val="077E1A2E"/>
    <w:rsid w:val="0784456A"/>
    <w:rsid w:val="078C07EB"/>
    <w:rsid w:val="079B5DEA"/>
    <w:rsid w:val="079F2EA4"/>
    <w:rsid w:val="07A0301B"/>
    <w:rsid w:val="07A1067F"/>
    <w:rsid w:val="07A1092D"/>
    <w:rsid w:val="07DC15D4"/>
    <w:rsid w:val="07DE427B"/>
    <w:rsid w:val="07ED44BE"/>
    <w:rsid w:val="07F97307"/>
    <w:rsid w:val="07FD5ED5"/>
    <w:rsid w:val="08064DBA"/>
    <w:rsid w:val="081D1C8F"/>
    <w:rsid w:val="081D741A"/>
    <w:rsid w:val="0841229E"/>
    <w:rsid w:val="085A276B"/>
    <w:rsid w:val="085D447D"/>
    <w:rsid w:val="087921F6"/>
    <w:rsid w:val="0881185D"/>
    <w:rsid w:val="08A72CFC"/>
    <w:rsid w:val="08B1373D"/>
    <w:rsid w:val="08B16E7F"/>
    <w:rsid w:val="08C72F61"/>
    <w:rsid w:val="08C90A87"/>
    <w:rsid w:val="08D45F32"/>
    <w:rsid w:val="08EA2FAE"/>
    <w:rsid w:val="08EA40C5"/>
    <w:rsid w:val="08ED64C0"/>
    <w:rsid w:val="08F63846"/>
    <w:rsid w:val="08FB0FF2"/>
    <w:rsid w:val="092217DD"/>
    <w:rsid w:val="093A7294"/>
    <w:rsid w:val="093C28DB"/>
    <w:rsid w:val="09487638"/>
    <w:rsid w:val="09641DC0"/>
    <w:rsid w:val="097C1F9D"/>
    <w:rsid w:val="098403FE"/>
    <w:rsid w:val="098721D1"/>
    <w:rsid w:val="099039EA"/>
    <w:rsid w:val="09A3752A"/>
    <w:rsid w:val="09E10052"/>
    <w:rsid w:val="09E57B43"/>
    <w:rsid w:val="09E8771F"/>
    <w:rsid w:val="09F36E1A"/>
    <w:rsid w:val="09F978E8"/>
    <w:rsid w:val="09FC6F64"/>
    <w:rsid w:val="09FE7952"/>
    <w:rsid w:val="0A042CE3"/>
    <w:rsid w:val="0A051F93"/>
    <w:rsid w:val="0A0A0A0E"/>
    <w:rsid w:val="0A2731E7"/>
    <w:rsid w:val="0A3F30FE"/>
    <w:rsid w:val="0A570314"/>
    <w:rsid w:val="0A5A11D0"/>
    <w:rsid w:val="0A7D55DA"/>
    <w:rsid w:val="0A8B33E3"/>
    <w:rsid w:val="0A8D0CF1"/>
    <w:rsid w:val="0AA07F0D"/>
    <w:rsid w:val="0AAD0225"/>
    <w:rsid w:val="0AB26FE6"/>
    <w:rsid w:val="0AC23898"/>
    <w:rsid w:val="0AD067A6"/>
    <w:rsid w:val="0AD90520"/>
    <w:rsid w:val="0ADB7C4B"/>
    <w:rsid w:val="0AF273D4"/>
    <w:rsid w:val="0AF618DB"/>
    <w:rsid w:val="0AFB20FF"/>
    <w:rsid w:val="0B0633AC"/>
    <w:rsid w:val="0B1406A2"/>
    <w:rsid w:val="0B3A3EBE"/>
    <w:rsid w:val="0B505490"/>
    <w:rsid w:val="0B6126F3"/>
    <w:rsid w:val="0B700E9E"/>
    <w:rsid w:val="0B785B6B"/>
    <w:rsid w:val="0B7E029C"/>
    <w:rsid w:val="0B85505B"/>
    <w:rsid w:val="0B8C422C"/>
    <w:rsid w:val="0B8D040B"/>
    <w:rsid w:val="0B8D2240"/>
    <w:rsid w:val="0BB8592A"/>
    <w:rsid w:val="0BBF43C3"/>
    <w:rsid w:val="0BD27BF6"/>
    <w:rsid w:val="0BD45D4F"/>
    <w:rsid w:val="0BE67BA2"/>
    <w:rsid w:val="0BF12A18"/>
    <w:rsid w:val="0BF30C8F"/>
    <w:rsid w:val="0C004AA5"/>
    <w:rsid w:val="0C013EAE"/>
    <w:rsid w:val="0C1401E2"/>
    <w:rsid w:val="0C172E1E"/>
    <w:rsid w:val="0C1E10EA"/>
    <w:rsid w:val="0C324B95"/>
    <w:rsid w:val="0C3A4C51"/>
    <w:rsid w:val="0C3C2B64"/>
    <w:rsid w:val="0C4B53D8"/>
    <w:rsid w:val="0C4F3999"/>
    <w:rsid w:val="0C7305BB"/>
    <w:rsid w:val="0C7E7DDA"/>
    <w:rsid w:val="0C8E2259"/>
    <w:rsid w:val="0C9E4EF0"/>
    <w:rsid w:val="0CA15148"/>
    <w:rsid w:val="0CAA4779"/>
    <w:rsid w:val="0CBB61F2"/>
    <w:rsid w:val="0CC03BFC"/>
    <w:rsid w:val="0CCE4108"/>
    <w:rsid w:val="0CE83E39"/>
    <w:rsid w:val="0CEF17A5"/>
    <w:rsid w:val="0CF71BD9"/>
    <w:rsid w:val="0D103128"/>
    <w:rsid w:val="0D1679F8"/>
    <w:rsid w:val="0D4074FB"/>
    <w:rsid w:val="0D423C21"/>
    <w:rsid w:val="0D500334"/>
    <w:rsid w:val="0D582EF3"/>
    <w:rsid w:val="0D605732"/>
    <w:rsid w:val="0D655386"/>
    <w:rsid w:val="0D6D1FAA"/>
    <w:rsid w:val="0D732BFC"/>
    <w:rsid w:val="0D766D04"/>
    <w:rsid w:val="0D7B090F"/>
    <w:rsid w:val="0D817B82"/>
    <w:rsid w:val="0D8446B5"/>
    <w:rsid w:val="0D88617D"/>
    <w:rsid w:val="0D8C0601"/>
    <w:rsid w:val="0D975B9D"/>
    <w:rsid w:val="0D9F4945"/>
    <w:rsid w:val="0DA1432C"/>
    <w:rsid w:val="0DA61673"/>
    <w:rsid w:val="0DB42B57"/>
    <w:rsid w:val="0DB50E78"/>
    <w:rsid w:val="0DB742A8"/>
    <w:rsid w:val="0DD8176C"/>
    <w:rsid w:val="0DD9599C"/>
    <w:rsid w:val="0DDD75CE"/>
    <w:rsid w:val="0DE40111"/>
    <w:rsid w:val="0DE85E53"/>
    <w:rsid w:val="0DEE3ED5"/>
    <w:rsid w:val="0DEE408A"/>
    <w:rsid w:val="0DF034B8"/>
    <w:rsid w:val="0DF06E13"/>
    <w:rsid w:val="0DF328BD"/>
    <w:rsid w:val="0DF90060"/>
    <w:rsid w:val="0E086284"/>
    <w:rsid w:val="0E0B1B42"/>
    <w:rsid w:val="0E0B5A87"/>
    <w:rsid w:val="0E110D06"/>
    <w:rsid w:val="0E2379B6"/>
    <w:rsid w:val="0E2A72D2"/>
    <w:rsid w:val="0E3A41D5"/>
    <w:rsid w:val="0E49733C"/>
    <w:rsid w:val="0E5D7530"/>
    <w:rsid w:val="0E693476"/>
    <w:rsid w:val="0E806730"/>
    <w:rsid w:val="0EAB2B6B"/>
    <w:rsid w:val="0ED35683"/>
    <w:rsid w:val="0F0F70A7"/>
    <w:rsid w:val="0F13775A"/>
    <w:rsid w:val="0F174AA3"/>
    <w:rsid w:val="0F18046C"/>
    <w:rsid w:val="0F1A028E"/>
    <w:rsid w:val="0F1D44D7"/>
    <w:rsid w:val="0F212E05"/>
    <w:rsid w:val="0F320DCB"/>
    <w:rsid w:val="0F350ABC"/>
    <w:rsid w:val="0F4B72DE"/>
    <w:rsid w:val="0F4C1B92"/>
    <w:rsid w:val="0F4F0B1B"/>
    <w:rsid w:val="0F501F02"/>
    <w:rsid w:val="0F5C607F"/>
    <w:rsid w:val="0F6E36F6"/>
    <w:rsid w:val="0F7F782C"/>
    <w:rsid w:val="0F872F52"/>
    <w:rsid w:val="0F901BD1"/>
    <w:rsid w:val="0F94357C"/>
    <w:rsid w:val="0F9653C4"/>
    <w:rsid w:val="0F9A112B"/>
    <w:rsid w:val="0FB1408E"/>
    <w:rsid w:val="0FB51D65"/>
    <w:rsid w:val="0FC439C2"/>
    <w:rsid w:val="0FCB77DB"/>
    <w:rsid w:val="0FCF7859"/>
    <w:rsid w:val="0FD3338D"/>
    <w:rsid w:val="0FDC69B3"/>
    <w:rsid w:val="0FDE17AA"/>
    <w:rsid w:val="0FDF10D4"/>
    <w:rsid w:val="0FE7187E"/>
    <w:rsid w:val="0FF2435C"/>
    <w:rsid w:val="0FF878BE"/>
    <w:rsid w:val="0FFC3E38"/>
    <w:rsid w:val="10380578"/>
    <w:rsid w:val="10455972"/>
    <w:rsid w:val="10615A49"/>
    <w:rsid w:val="106D2F64"/>
    <w:rsid w:val="107D739E"/>
    <w:rsid w:val="10867F23"/>
    <w:rsid w:val="109202F8"/>
    <w:rsid w:val="10A92A68"/>
    <w:rsid w:val="10AF3DB8"/>
    <w:rsid w:val="10B63710"/>
    <w:rsid w:val="10BE733F"/>
    <w:rsid w:val="10C2298C"/>
    <w:rsid w:val="10D92E19"/>
    <w:rsid w:val="10DC7F66"/>
    <w:rsid w:val="10F2465E"/>
    <w:rsid w:val="110006C9"/>
    <w:rsid w:val="111317B1"/>
    <w:rsid w:val="111B7394"/>
    <w:rsid w:val="111C2F7A"/>
    <w:rsid w:val="11205904"/>
    <w:rsid w:val="11233511"/>
    <w:rsid w:val="11282F4C"/>
    <w:rsid w:val="112D56F0"/>
    <w:rsid w:val="113013DE"/>
    <w:rsid w:val="113E66F8"/>
    <w:rsid w:val="115346CF"/>
    <w:rsid w:val="116972AB"/>
    <w:rsid w:val="11731ED8"/>
    <w:rsid w:val="11752A58"/>
    <w:rsid w:val="117F0602"/>
    <w:rsid w:val="118916FB"/>
    <w:rsid w:val="118F3A89"/>
    <w:rsid w:val="11902592"/>
    <w:rsid w:val="119331C0"/>
    <w:rsid w:val="11A02A7B"/>
    <w:rsid w:val="11DB0E46"/>
    <w:rsid w:val="11E02202"/>
    <w:rsid w:val="11E92B1C"/>
    <w:rsid w:val="11F70F68"/>
    <w:rsid w:val="11F86147"/>
    <w:rsid w:val="11F9796C"/>
    <w:rsid w:val="12026A47"/>
    <w:rsid w:val="120F0147"/>
    <w:rsid w:val="12106795"/>
    <w:rsid w:val="12130FC5"/>
    <w:rsid w:val="12163FE7"/>
    <w:rsid w:val="122B06C2"/>
    <w:rsid w:val="1243375D"/>
    <w:rsid w:val="12443874"/>
    <w:rsid w:val="12456209"/>
    <w:rsid w:val="124B1D10"/>
    <w:rsid w:val="124C3CBC"/>
    <w:rsid w:val="124D44D7"/>
    <w:rsid w:val="125F420A"/>
    <w:rsid w:val="127F331C"/>
    <w:rsid w:val="12876184"/>
    <w:rsid w:val="128C1C6D"/>
    <w:rsid w:val="129739A4"/>
    <w:rsid w:val="129B1B32"/>
    <w:rsid w:val="129C7F02"/>
    <w:rsid w:val="12A4397F"/>
    <w:rsid w:val="12B173A4"/>
    <w:rsid w:val="12C43900"/>
    <w:rsid w:val="12D904C1"/>
    <w:rsid w:val="12EF12A4"/>
    <w:rsid w:val="12F70399"/>
    <w:rsid w:val="12FD1BFF"/>
    <w:rsid w:val="13360078"/>
    <w:rsid w:val="13434E27"/>
    <w:rsid w:val="134442A6"/>
    <w:rsid w:val="13547F36"/>
    <w:rsid w:val="1360648C"/>
    <w:rsid w:val="13632C34"/>
    <w:rsid w:val="1367088A"/>
    <w:rsid w:val="13715F51"/>
    <w:rsid w:val="13753AF9"/>
    <w:rsid w:val="13907FE6"/>
    <w:rsid w:val="13951726"/>
    <w:rsid w:val="13956F89"/>
    <w:rsid w:val="139F590B"/>
    <w:rsid w:val="13C821CB"/>
    <w:rsid w:val="13C911E0"/>
    <w:rsid w:val="13DD5D2E"/>
    <w:rsid w:val="13DF08B6"/>
    <w:rsid w:val="13DF5603"/>
    <w:rsid w:val="13F05A62"/>
    <w:rsid w:val="13FA243C"/>
    <w:rsid w:val="14092680"/>
    <w:rsid w:val="140E7208"/>
    <w:rsid w:val="14267169"/>
    <w:rsid w:val="14293155"/>
    <w:rsid w:val="1432607A"/>
    <w:rsid w:val="14396509"/>
    <w:rsid w:val="1447165C"/>
    <w:rsid w:val="144B7D94"/>
    <w:rsid w:val="1451086A"/>
    <w:rsid w:val="14574AE4"/>
    <w:rsid w:val="14627FE2"/>
    <w:rsid w:val="1473067C"/>
    <w:rsid w:val="14776C9F"/>
    <w:rsid w:val="14787A58"/>
    <w:rsid w:val="14792691"/>
    <w:rsid w:val="148D33A4"/>
    <w:rsid w:val="149E54BE"/>
    <w:rsid w:val="14B17E67"/>
    <w:rsid w:val="14C11377"/>
    <w:rsid w:val="14C173FE"/>
    <w:rsid w:val="14CE1B94"/>
    <w:rsid w:val="14CE4900"/>
    <w:rsid w:val="14E530ED"/>
    <w:rsid w:val="14E93ECA"/>
    <w:rsid w:val="14F00C9E"/>
    <w:rsid w:val="14F1092D"/>
    <w:rsid w:val="14F90859"/>
    <w:rsid w:val="14F94D8F"/>
    <w:rsid w:val="14FA3B77"/>
    <w:rsid w:val="15064E11"/>
    <w:rsid w:val="15075850"/>
    <w:rsid w:val="152C0FBD"/>
    <w:rsid w:val="152F6116"/>
    <w:rsid w:val="1534197E"/>
    <w:rsid w:val="15364D61"/>
    <w:rsid w:val="153876C0"/>
    <w:rsid w:val="15475CE7"/>
    <w:rsid w:val="15655C51"/>
    <w:rsid w:val="1566184E"/>
    <w:rsid w:val="158858A3"/>
    <w:rsid w:val="15A22D8C"/>
    <w:rsid w:val="15A765F4"/>
    <w:rsid w:val="15B62657"/>
    <w:rsid w:val="15BB5158"/>
    <w:rsid w:val="15BC3411"/>
    <w:rsid w:val="15C42845"/>
    <w:rsid w:val="15CE086D"/>
    <w:rsid w:val="15D06566"/>
    <w:rsid w:val="15D372A6"/>
    <w:rsid w:val="15FF7ED9"/>
    <w:rsid w:val="160837A8"/>
    <w:rsid w:val="160F6E35"/>
    <w:rsid w:val="16246D11"/>
    <w:rsid w:val="162E0AC3"/>
    <w:rsid w:val="16343DB8"/>
    <w:rsid w:val="16361726"/>
    <w:rsid w:val="1642632E"/>
    <w:rsid w:val="16516E1C"/>
    <w:rsid w:val="165962C7"/>
    <w:rsid w:val="16700731"/>
    <w:rsid w:val="16763EEB"/>
    <w:rsid w:val="167B55F1"/>
    <w:rsid w:val="16842491"/>
    <w:rsid w:val="168D721F"/>
    <w:rsid w:val="169F388D"/>
    <w:rsid w:val="16AD3796"/>
    <w:rsid w:val="16AD4BCC"/>
    <w:rsid w:val="16DE7DF3"/>
    <w:rsid w:val="16E650F8"/>
    <w:rsid w:val="17002A6B"/>
    <w:rsid w:val="172123D6"/>
    <w:rsid w:val="17292EA9"/>
    <w:rsid w:val="172D7F51"/>
    <w:rsid w:val="172E3778"/>
    <w:rsid w:val="17397720"/>
    <w:rsid w:val="173C6014"/>
    <w:rsid w:val="174B0D9F"/>
    <w:rsid w:val="174C1B02"/>
    <w:rsid w:val="176522C3"/>
    <w:rsid w:val="176F3BD1"/>
    <w:rsid w:val="17735226"/>
    <w:rsid w:val="1776627E"/>
    <w:rsid w:val="17784968"/>
    <w:rsid w:val="177C1C94"/>
    <w:rsid w:val="178169D1"/>
    <w:rsid w:val="17832749"/>
    <w:rsid w:val="1786540A"/>
    <w:rsid w:val="17983900"/>
    <w:rsid w:val="17A07677"/>
    <w:rsid w:val="17A3178F"/>
    <w:rsid w:val="17A64281"/>
    <w:rsid w:val="17AA6D72"/>
    <w:rsid w:val="17AD0312"/>
    <w:rsid w:val="17B5012D"/>
    <w:rsid w:val="17C25ADF"/>
    <w:rsid w:val="17CE288D"/>
    <w:rsid w:val="17D26918"/>
    <w:rsid w:val="17D90540"/>
    <w:rsid w:val="17DB194C"/>
    <w:rsid w:val="17E331AB"/>
    <w:rsid w:val="17F425C2"/>
    <w:rsid w:val="17F86B8C"/>
    <w:rsid w:val="18003D99"/>
    <w:rsid w:val="1800414F"/>
    <w:rsid w:val="18056545"/>
    <w:rsid w:val="181C076B"/>
    <w:rsid w:val="1833371D"/>
    <w:rsid w:val="18357EE7"/>
    <w:rsid w:val="18492359"/>
    <w:rsid w:val="1858668C"/>
    <w:rsid w:val="185E3459"/>
    <w:rsid w:val="186C6B83"/>
    <w:rsid w:val="18720CCA"/>
    <w:rsid w:val="18804FF8"/>
    <w:rsid w:val="188624F1"/>
    <w:rsid w:val="189507C5"/>
    <w:rsid w:val="18B9619D"/>
    <w:rsid w:val="18D0125D"/>
    <w:rsid w:val="18DC65B5"/>
    <w:rsid w:val="19030534"/>
    <w:rsid w:val="19084B5B"/>
    <w:rsid w:val="191D37D2"/>
    <w:rsid w:val="1937087B"/>
    <w:rsid w:val="19387D9F"/>
    <w:rsid w:val="19483C4A"/>
    <w:rsid w:val="194E3914"/>
    <w:rsid w:val="19566367"/>
    <w:rsid w:val="195D67D0"/>
    <w:rsid w:val="19644C42"/>
    <w:rsid w:val="19676E50"/>
    <w:rsid w:val="196A3BC0"/>
    <w:rsid w:val="197310E2"/>
    <w:rsid w:val="19834C82"/>
    <w:rsid w:val="198B7ED4"/>
    <w:rsid w:val="19B32A1A"/>
    <w:rsid w:val="19B35926"/>
    <w:rsid w:val="19BF7295"/>
    <w:rsid w:val="19C0078F"/>
    <w:rsid w:val="19C31F4B"/>
    <w:rsid w:val="19E4422E"/>
    <w:rsid w:val="19E52AA1"/>
    <w:rsid w:val="19F40797"/>
    <w:rsid w:val="1A1C66C0"/>
    <w:rsid w:val="1A255D39"/>
    <w:rsid w:val="1A2B2E0F"/>
    <w:rsid w:val="1A2E4BEE"/>
    <w:rsid w:val="1A42393B"/>
    <w:rsid w:val="1A424257"/>
    <w:rsid w:val="1A432C1F"/>
    <w:rsid w:val="1A442663"/>
    <w:rsid w:val="1A461FED"/>
    <w:rsid w:val="1A4C1518"/>
    <w:rsid w:val="1A4F0ED2"/>
    <w:rsid w:val="1A51635E"/>
    <w:rsid w:val="1A53277C"/>
    <w:rsid w:val="1A577219"/>
    <w:rsid w:val="1A6A2E2E"/>
    <w:rsid w:val="1A823C20"/>
    <w:rsid w:val="1AA84175"/>
    <w:rsid w:val="1AB00722"/>
    <w:rsid w:val="1AB07CF9"/>
    <w:rsid w:val="1AB64489"/>
    <w:rsid w:val="1AC11EED"/>
    <w:rsid w:val="1AC23E42"/>
    <w:rsid w:val="1AD2194F"/>
    <w:rsid w:val="1AD42144"/>
    <w:rsid w:val="1ADA2FC8"/>
    <w:rsid w:val="1ADC0670"/>
    <w:rsid w:val="1AE14356"/>
    <w:rsid w:val="1AE43EB9"/>
    <w:rsid w:val="1B046F80"/>
    <w:rsid w:val="1B100797"/>
    <w:rsid w:val="1B3267B5"/>
    <w:rsid w:val="1B341875"/>
    <w:rsid w:val="1B4F57C2"/>
    <w:rsid w:val="1B5E6C05"/>
    <w:rsid w:val="1B650AE3"/>
    <w:rsid w:val="1B811695"/>
    <w:rsid w:val="1B882A24"/>
    <w:rsid w:val="1B911640"/>
    <w:rsid w:val="1B9E3D36"/>
    <w:rsid w:val="1BA01E2D"/>
    <w:rsid w:val="1BA0516C"/>
    <w:rsid w:val="1BA158D1"/>
    <w:rsid w:val="1BA535D6"/>
    <w:rsid w:val="1BA55384"/>
    <w:rsid w:val="1BAC6712"/>
    <w:rsid w:val="1BB158AD"/>
    <w:rsid w:val="1BC16115"/>
    <w:rsid w:val="1BC25DC8"/>
    <w:rsid w:val="1BCE66B2"/>
    <w:rsid w:val="1C1366CD"/>
    <w:rsid w:val="1C185B56"/>
    <w:rsid w:val="1C312457"/>
    <w:rsid w:val="1C340653"/>
    <w:rsid w:val="1C3E30E2"/>
    <w:rsid w:val="1C3F4120"/>
    <w:rsid w:val="1C4435C6"/>
    <w:rsid w:val="1C444B9D"/>
    <w:rsid w:val="1C4E5A1B"/>
    <w:rsid w:val="1C4F5EF0"/>
    <w:rsid w:val="1C5E7925"/>
    <w:rsid w:val="1C632B49"/>
    <w:rsid w:val="1C6E062E"/>
    <w:rsid w:val="1C7223FD"/>
    <w:rsid w:val="1C7F545B"/>
    <w:rsid w:val="1C887FC8"/>
    <w:rsid w:val="1C907DE2"/>
    <w:rsid w:val="1C9D4496"/>
    <w:rsid w:val="1CA344DF"/>
    <w:rsid w:val="1CA54212"/>
    <w:rsid w:val="1CA7512B"/>
    <w:rsid w:val="1CB01E90"/>
    <w:rsid w:val="1CB23B69"/>
    <w:rsid w:val="1CB47B1D"/>
    <w:rsid w:val="1CBA7C2B"/>
    <w:rsid w:val="1CE80C31"/>
    <w:rsid w:val="1CEB6A59"/>
    <w:rsid w:val="1CFA4894"/>
    <w:rsid w:val="1CFD2714"/>
    <w:rsid w:val="1D01483C"/>
    <w:rsid w:val="1D027990"/>
    <w:rsid w:val="1D252FAB"/>
    <w:rsid w:val="1D267261"/>
    <w:rsid w:val="1D282061"/>
    <w:rsid w:val="1D2F43D4"/>
    <w:rsid w:val="1D3A1AFC"/>
    <w:rsid w:val="1D4666F2"/>
    <w:rsid w:val="1D4B1F5B"/>
    <w:rsid w:val="1D542101"/>
    <w:rsid w:val="1D5F6196"/>
    <w:rsid w:val="1D6132A5"/>
    <w:rsid w:val="1D6A0633"/>
    <w:rsid w:val="1D7757E7"/>
    <w:rsid w:val="1D8E56D5"/>
    <w:rsid w:val="1DA578BD"/>
    <w:rsid w:val="1DA66985"/>
    <w:rsid w:val="1DB4543D"/>
    <w:rsid w:val="1DB918CB"/>
    <w:rsid w:val="1DBB5971"/>
    <w:rsid w:val="1DBB5B35"/>
    <w:rsid w:val="1DBC0763"/>
    <w:rsid w:val="1DC3407B"/>
    <w:rsid w:val="1DC52889"/>
    <w:rsid w:val="1DC72084"/>
    <w:rsid w:val="1DC72FE7"/>
    <w:rsid w:val="1DCD2B9D"/>
    <w:rsid w:val="1DD26069"/>
    <w:rsid w:val="1DED217A"/>
    <w:rsid w:val="1DEE439D"/>
    <w:rsid w:val="1DFB452B"/>
    <w:rsid w:val="1E1176E2"/>
    <w:rsid w:val="1E2C3C00"/>
    <w:rsid w:val="1E2C5846"/>
    <w:rsid w:val="1E2F6AC2"/>
    <w:rsid w:val="1E360ABC"/>
    <w:rsid w:val="1E396257"/>
    <w:rsid w:val="1E3D5D47"/>
    <w:rsid w:val="1E45224C"/>
    <w:rsid w:val="1E4C02A4"/>
    <w:rsid w:val="1E5021CA"/>
    <w:rsid w:val="1E65706D"/>
    <w:rsid w:val="1E74728F"/>
    <w:rsid w:val="1E777800"/>
    <w:rsid w:val="1E7977BC"/>
    <w:rsid w:val="1E7A43DA"/>
    <w:rsid w:val="1E861550"/>
    <w:rsid w:val="1E870959"/>
    <w:rsid w:val="1E97777B"/>
    <w:rsid w:val="1EA121D8"/>
    <w:rsid w:val="1EAC32F3"/>
    <w:rsid w:val="1EB277FE"/>
    <w:rsid w:val="1ED76584"/>
    <w:rsid w:val="1F0A515A"/>
    <w:rsid w:val="1F2C2A25"/>
    <w:rsid w:val="1F3E24C7"/>
    <w:rsid w:val="1F574CD6"/>
    <w:rsid w:val="1F65724C"/>
    <w:rsid w:val="1F6B6BEA"/>
    <w:rsid w:val="1F7E7854"/>
    <w:rsid w:val="1F8467C0"/>
    <w:rsid w:val="1F884DA0"/>
    <w:rsid w:val="1F8B4667"/>
    <w:rsid w:val="1F923E71"/>
    <w:rsid w:val="1FB21FC1"/>
    <w:rsid w:val="1FB5387D"/>
    <w:rsid w:val="1FB90A1C"/>
    <w:rsid w:val="1FCB3530"/>
    <w:rsid w:val="1FCC75E6"/>
    <w:rsid w:val="1FE7539E"/>
    <w:rsid w:val="1FEB1241"/>
    <w:rsid w:val="1FF36B32"/>
    <w:rsid w:val="20115428"/>
    <w:rsid w:val="202A5F3D"/>
    <w:rsid w:val="20397070"/>
    <w:rsid w:val="203C6565"/>
    <w:rsid w:val="204D39A5"/>
    <w:rsid w:val="205D622D"/>
    <w:rsid w:val="206217CF"/>
    <w:rsid w:val="20696A06"/>
    <w:rsid w:val="206C46C2"/>
    <w:rsid w:val="207E664B"/>
    <w:rsid w:val="20815F14"/>
    <w:rsid w:val="20885230"/>
    <w:rsid w:val="208C266E"/>
    <w:rsid w:val="20963CB8"/>
    <w:rsid w:val="20AE6C66"/>
    <w:rsid w:val="20B07FB6"/>
    <w:rsid w:val="20BA379C"/>
    <w:rsid w:val="20D91B6B"/>
    <w:rsid w:val="20DD736E"/>
    <w:rsid w:val="20E50D7C"/>
    <w:rsid w:val="20EB0AE7"/>
    <w:rsid w:val="20F3588E"/>
    <w:rsid w:val="20F87891"/>
    <w:rsid w:val="21050366"/>
    <w:rsid w:val="210675F3"/>
    <w:rsid w:val="210D6AF8"/>
    <w:rsid w:val="211225E9"/>
    <w:rsid w:val="21133454"/>
    <w:rsid w:val="211511D9"/>
    <w:rsid w:val="211E2852"/>
    <w:rsid w:val="21254116"/>
    <w:rsid w:val="212D20A3"/>
    <w:rsid w:val="21353FAA"/>
    <w:rsid w:val="213B74B1"/>
    <w:rsid w:val="213F171D"/>
    <w:rsid w:val="215A2310"/>
    <w:rsid w:val="215A5B26"/>
    <w:rsid w:val="215F5342"/>
    <w:rsid w:val="216435EB"/>
    <w:rsid w:val="2167443E"/>
    <w:rsid w:val="21954CAB"/>
    <w:rsid w:val="21A5207B"/>
    <w:rsid w:val="21A7792B"/>
    <w:rsid w:val="21C02D6D"/>
    <w:rsid w:val="21C36373"/>
    <w:rsid w:val="21C63013"/>
    <w:rsid w:val="21D00C81"/>
    <w:rsid w:val="21D95741"/>
    <w:rsid w:val="21DA647B"/>
    <w:rsid w:val="21DE318A"/>
    <w:rsid w:val="21E0234B"/>
    <w:rsid w:val="21E40C4B"/>
    <w:rsid w:val="21E6673E"/>
    <w:rsid w:val="21E71DEA"/>
    <w:rsid w:val="21EA7F94"/>
    <w:rsid w:val="21EF5B80"/>
    <w:rsid w:val="21F4496F"/>
    <w:rsid w:val="22010E3A"/>
    <w:rsid w:val="221F3DFA"/>
    <w:rsid w:val="222075E8"/>
    <w:rsid w:val="22286F53"/>
    <w:rsid w:val="2228724C"/>
    <w:rsid w:val="223E777F"/>
    <w:rsid w:val="22553F99"/>
    <w:rsid w:val="22576990"/>
    <w:rsid w:val="22627F65"/>
    <w:rsid w:val="227B768C"/>
    <w:rsid w:val="22812B39"/>
    <w:rsid w:val="228F31DD"/>
    <w:rsid w:val="22981C8A"/>
    <w:rsid w:val="229C4EAB"/>
    <w:rsid w:val="229D08A0"/>
    <w:rsid w:val="229D5917"/>
    <w:rsid w:val="22AB649E"/>
    <w:rsid w:val="22B8599C"/>
    <w:rsid w:val="22B92079"/>
    <w:rsid w:val="22BE3CFC"/>
    <w:rsid w:val="22C750B8"/>
    <w:rsid w:val="22C757B8"/>
    <w:rsid w:val="22E05A46"/>
    <w:rsid w:val="22EA1270"/>
    <w:rsid w:val="22F45C38"/>
    <w:rsid w:val="22F504E6"/>
    <w:rsid w:val="22FD3CF7"/>
    <w:rsid w:val="23017C14"/>
    <w:rsid w:val="231217C0"/>
    <w:rsid w:val="231B0E4A"/>
    <w:rsid w:val="231F4E1A"/>
    <w:rsid w:val="23240E85"/>
    <w:rsid w:val="232474D6"/>
    <w:rsid w:val="23251A24"/>
    <w:rsid w:val="232F0744"/>
    <w:rsid w:val="23344974"/>
    <w:rsid w:val="23454C01"/>
    <w:rsid w:val="23531B69"/>
    <w:rsid w:val="235A4CA6"/>
    <w:rsid w:val="235B27CC"/>
    <w:rsid w:val="23636EAA"/>
    <w:rsid w:val="236553F8"/>
    <w:rsid w:val="23690AB1"/>
    <w:rsid w:val="237B0B11"/>
    <w:rsid w:val="238B23D8"/>
    <w:rsid w:val="23957B07"/>
    <w:rsid w:val="23AE0B4E"/>
    <w:rsid w:val="23BC14BC"/>
    <w:rsid w:val="23C15AB0"/>
    <w:rsid w:val="23D36806"/>
    <w:rsid w:val="23D4754D"/>
    <w:rsid w:val="23DE5434"/>
    <w:rsid w:val="23EB635F"/>
    <w:rsid w:val="24036245"/>
    <w:rsid w:val="241237D2"/>
    <w:rsid w:val="2412732E"/>
    <w:rsid w:val="241C01AD"/>
    <w:rsid w:val="242B2542"/>
    <w:rsid w:val="24316936"/>
    <w:rsid w:val="243B4AD7"/>
    <w:rsid w:val="245071DF"/>
    <w:rsid w:val="24523BCF"/>
    <w:rsid w:val="245D3FC8"/>
    <w:rsid w:val="2466767A"/>
    <w:rsid w:val="246E3AC2"/>
    <w:rsid w:val="246F1F69"/>
    <w:rsid w:val="24747E1D"/>
    <w:rsid w:val="24771887"/>
    <w:rsid w:val="247A5D57"/>
    <w:rsid w:val="2480073C"/>
    <w:rsid w:val="248B3DB3"/>
    <w:rsid w:val="249A18B6"/>
    <w:rsid w:val="249B5576"/>
    <w:rsid w:val="24A429AB"/>
    <w:rsid w:val="24A7053D"/>
    <w:rsid w:val="24A8657A"/>
    <w:rsid w:val="24C85C3F"/>
    <w:rsid w:val="24CB73F0"/>
    <w:rsid w:val="24D46493"/>
    <w:rsid w:val="24D47787"/>
    <w:rsid w:val="24F26E40"/>
    <w:rsid w:val="25052271"/>
    <w:rsid w:val="250C6474"/>
    <w:rsid w:val="250F3FB0"/>
    <w:rsid w:val="25114F9E"/>
    <w:rsid w:val="251D6943"/>
    <w:rsid w:val="252D53FE"/>
    <w:rsid w:val="253E5F41"/>
    <w:rsid w:val="255E0F2E"/>
    <w:rsid w:val="256535B5"/>
    <w:rsid w:val="257873C3"/>
    <w:rsid w:val="259207B1"/>
    <w:rsid w:val="25972AEB"/>
    <w:rsid w:val="25BD776E"/>
    <w:rsid w:val="25BE40F2"/>
    <w:rsid w:val="25BF3725"/>
    <w:rsid w:val="25CA3BA8"/>
    <w:rsid w:val="25D23219"/>
    <w:rsid w:val="25D961D0"/>
    <w:rsid w:val="25EB3B3B"/>
    <w:rsid w:val="25EC2D81"/>
    <w:rsid w:val="25F522F4"/>
    <w:rsid w:val="25F62749"/>
    <w:rsid w:val="25FB6422"/>
    <w:rsid w:val="2607029E"/>
    <w:rsid w:val="261074AD"/>
    <w:rsid w:val="26303910"/>
    <w:rsid w:val="264528BD"/>
    <w:rsid w:val="26492DAF"/>
    <w:rsid w:val="264B6E49"/>
    <w:rsid w:val="26546FA9"/>
    <w:rsid w:val="2658285C"/>
    <w:rsid w:val="266C3655"/>
    <w:rsid w:val="26722306"/>
    <w:rsid w:val="26760D12"/>
    <w:rsid w:val="2697382D"/>
    <w:rsid w:val="269B5C35"/>
    <w:rsid w:val="26B27ED4"/>
    <w:rsid w:val="26B476D0"/>
    <w:rsid w:val="26B879EF"/>
    <w:rsid w:val="26B96187"/>
    <w:rsid w:val="26C13330"/>
    <w:rsid w:val="26C2317A"/>
    <w:rsid w:val="26CC7C68"/>
    <w:rsid w:val="26D33051"/>
    <w:rsid w:val="26D7660D"/>
    <w:rsid w:val="26EE1644"/>
    <w:rsid w:val="26EF06E2"/>
    <w:rsid w:val="26EF7DFB"/>
    <w:rsid w:val="26F472C2"/>
    <w:rsid w:val="26F84D05"/>
    <w:rsid w:val="26FC7E22"/>
    <w:rsid w:val="26FD62F2"/>
    <w:rsid w:val="26FE299E"/>
    <w:rsid w:val="270720E7"/>
    <w:rsid w:val="27093A80"/>
    <w:rsid w:val="270C48D0"/>
    <w:rsid w:val="275D4004"/>
    <w:rsid w:val="27602AA7"/>
    <w:rsid w:val="278E13C2"/>
    <w:rsid w:val="27906876"/>
    <w:rsid w:val="27A6429D"/>
    <w:rsid w:val="27AA4DAB"/>
    <w:rsid w:val="27B70259"/>
    <w:rsid w:val="27BB7CDD"/>
    <w:rsid w:val="27D15DD1"/>
    <w:rsid w:val="27D81CA1"/>
    <w:rsid w:val="27D94C4A"/>
    <w:rsid w:val="27F427FC"/>
    <w:rsid w:val="27FE50A0"/>
    <w:rsid w:val="28036518"/>
    <w:rsid w:val="280600C8"/>
    <w:rsid w:val="281210C5"/>
    <w:rsid w:val="282432AE"/>
    <w:rsid w:val="283C0E1E"/>
    <w:rsid w:val="283D6944"/>
    <w:rsid w:val="28425280"/>
    <w:rsid w:val="28444275"/>
    <w:rsid w:val="284877C3"/>
    <w:rsid w:val="284A1BF7"/>
    <w:rsid w:val="28594428"/>
    <w:rsid w:val="28664ED5"/>
    <w:rsid w:val="287C7BEB"/>
    <w:rsid w:val="28957DEB"/>
    <w:rsid w:val="289C74AE"/>
    <w:rsid w:val="28A76295"/>
    <w:rsid w:val="28A90AD1"/>
    <w:rsid w:val="28B07116"/>
    <w:rsid w:val="28B11492"/>
    <w:rsid w:val="28B118DC"/>
    <w:rsid w:val="28B210E0"/>
    <w:rsid w:val="28C130D1"/>
    <w:rsid w:val="28C3509B"/>
    <w:rsid w:val="28C74309"/>
    <w:rsid w:val="28D14723"/>
    <w:rsid w:val="28D510D6"/>
    <w:rsid w:val="28DB3F5E"/>
    <w:rsid w:val="28DC605B"/>
    <w:rsid w:val="28E33487"/>
    <w:rsid w:val="28EC1541"/>
    <w:rsid w:val="28F6522D"/>
    <w:rsid w:val="28FD6EE1"/>
    <w:rsid w:val="29032C29"/>
    <w:rsid w:val="291838D8"/>
    <w:rsid w:val="291A722C"/>
    <w:rsid w:val="291D5C3A"/>
    <w:rsid w:val="29206EB8"/>
    <w:rsid w:val="292B34A1"/>
    <w:rsid w:val="292D69B8"/>
    <w:rsid w:val="2938592D"/>
    <w:rsid w:val="293935AF"/>
    <w:rsid w:val="293B0151"/>
    <w:rsid w:val="295274FD"/>
    <w:rsid w:val="295D53A7"/>
    <w:rsid w:val="295E2F75"/>
    <w:rsid w:val="295F762F"/>
    <w:rsid w:val="29600B3C"/>
    <w:rsid w:val="29604B9E"/>
    <w:rsid w:val="29625D2D"/>
    <w:rsid w:val="29696034"/>
    <w:rsid w:val="296A1CA7"/>
    <w:rsid w:val="296E789C"/>
    <w:rsid w:val="29831926"/>
    <w:rsid w:val="298363D1"/>
    <w:rsid w:val="298C3CA4"/>
    <w:rsid w:val="29916F47"/>
    <w:rsid w:val="299A119F"/>
    <w:rsid w:val="29A46C7B"/>
    <w:rsid w:val="29B42C36"/>
    <w:rsid w:val="29B641A3"/>
    <w:rsid w:val="29B81F8E"/>
    <w:rsid w:val="29BB0699"/>
    <w:rsid w:val="29BB5331"/>
    <w:rsid w:val="29C815C2"/>
    <w:rsid w:val="29CE019B"/>
    <w:rsid w:val="29DE4F5E"/>
    <w:rsid w:val="29E15FE8"/>
    <w:rsid w:val="29E31555"/>
    <w:rsid w:val="29E325E0"/>
    <w:rsid w:val="29E77938"/>
    <w:rsid w:val="29F8727E"/>
    <w:rsid w:val="29FD638B"/>
    <w:rsid w:val="2A014ED6"/>
    <w:rsid w:val="2A0B6CFA"/>
    <w:rsid w:val="2A0D2B76"/>
    <w:rsid w:val="2A156336"/>
    <w:rsid w:val="2A270DF8"/>
    <w:rsid w:val="2A2E29E8"/>
    <w:rsid w:val="2A3512F0"/>
    <w:rsid w:val="2A452503"/>
    <w:rsid w:val="2A462778"/>
    <w:rsid w:val="2A491EB3"/>
    <w:rsid w:val="2A4A08BA"/>
    <w:rsid w:val="2A563AA2"/>
    <w:rsid w:val="2A5B7D43"/>
    <w:rsid w:val="2A631BE1"/>
    <w:rsid w:val="2A6601A2"/>
    <w:rsid w:val="2A662445"/>
    <w:rsid w:val="2A6820B2"/>
    <w:rsid w:val="2A757E5C"/>
    <w:rsid w:val="2A7F4FF2"/>
    <w:rsid w:val="2A866E21"/>
    <w:rsid w:val="2A922F77"/>
    <w:rsid w:val="2A941B30"/>
    <w:rsid w:val="2AA13507"/>
    <w:rsid w:val="2AAA5685"/>
    <w:rsid w:val="2AAC07B7"/>
    <w:rsid w:val="2AB86C38"/>
    <w:rsid w:val="2AC109ED"/>
    <w:rsid w:val="2AC45370"/>
    <w:rsid w:val="2ACA020E"/>
    <w:rsid w:val="2ACF7D27"/>
    <w:rsid w:val="2ADB2B70"/>
    <w:rsid w:val="2ADC41F2"/>
    <w:rsid w:val="2ADE7F6A"/>
    <w:rsid w:val="2AE83B8F"/>
    <w:rsid w:val="2B0771A6"/>
    <w:rsid w:val="2B0B2D29"/>
    <w:rsid w:val="2B15030B"/>
    <w:rsid w:val="2B313A3B"/>
    <w:rsid w:val="2B367DA6"/>
    <w:rsid w:val="2B4329C2"/>
    <w:rsid w:val="2B4C1378"/>
    <w:rsid w:val="2B5D3585"/>
    <w:rsid w:val="2B7679E1"/>
    <w:rsid w:val="2B811891"/>
    <w:rsid w:val="2B9351F9"/>
    <w:rsid w:val="2B9C2993"/>
    <w:rsid w:val="2B9C7658"/>
    <w:rsid w:val="2BA01E26"/>
    <w:rsid w:val="2BA936A8"/>
    <w:rsid w:val="2BB7739E"/>
    <w:rsid w:val="2BBA09D7"/>
    <w:rsid w:val="2BBE52BC"/>
    <w:rsid w:val="2BD22877"/>
    <w:rsid w:val="2BD2488A"/>
    <w:rsid w:val="2BD91045"/>
    <w:rsid w:val="2BDB1707"/>
    <w:rsid w:val="2BDD5AA1"/>
    <w:rsid w:val="2BE772F2"/>
    <w:rsid w:val="2BEF4DB1"/>
    <w:rsid w:val="2BFD3113"/>
    <w:rsid w:val="2C027C88"/>
    <w:rsid w:val="2C047EA4"/>
    <w:rsid w:val="2C114181"/>
    <w:rsid w:val="2C147AEC"/>
    <w:rsid w:val="2C223EC6"/>
    <w:rsid w:val="2C315A5A"/>
    <w:rsid w:val="2C3E306D"/>
    <w:rsid w:val="2C4934E1"/>
    <w:rsid w:val="2C4B41E1"/>
    <w:rsid w:val="2C523988"/>
    <w:rsid w:val="2C544536"/>
    <w:rsid w:val="2C5A203E"/>
    <w:rsid w:val="2C7164A6"/>
    <w:rsid w:val="2C72458A"/>
    <w:rsid w:val="2C80491C"/>
    <w:rsid w:val="2C8132E4"/>
    <w:rsid w:val="2C877DFB"/>
    <w:rsid w:val="2C896DAE"/>
    <w:rsid w:val="2C912855"/>
    <w:rsid w:val="2C956634"/>
    <w:rsid w:val="2CA628E7"/>
    <w:rsid w:val="2CA814CE"/>
    <w:rsid w:val="2CCC07D3"/>
    <w:rsid w:val="2CD14917"/>
    <w:rsid w:val="2CD37DDA"/>
    <w:rsid w:val="2CD634E0"/>
    <w:rsid w:val="2CD9371D"/>
    <w:rsid w:val="2CE66931"/>
    <w:rsid w:val="2CF358DB"/>
    <w:rsid w:val="2CF73BED"/>
    <w:rsid w:val="2CF84537"/>
    <w:rsid w:val="2D0041FB"/>
    <w:rsid w:val="2D0F3675"/>
    <w:rsid w:val="2D104627"/>
    <w:rsid w:val="2D20215E"/>
    <w:rsid w:val="2D210FA3"/>
    <w:rsid w:val="2D2522B5"/>
    <w:rsid w:val="2D3A34FC"/>
    <w:rsid w:val="2D3B5B48"/>
    <w:rsid w:val="2D553597"/>
    <w:rsid w:val="2D587075"/>
    <w:rsid w:val="2D653D1D"/>
    <w:rsid w:val="2D6957C4"/>
    <w:rsid w:val="2D6B42EE"/>
    <w:rsid w:val="2D7A6297"/>
    <w:rsid w:val="2D8B00C8"/>
    <w:rsid w:val="2D9E56F5"/>
    <w:rsid w:val="2DB03710"/>
    <w:rsid w:val="2DC20777"/>
    <w:rsid w:val="2DC54D88"/>
    <w:rsid w:val="2DCC7EF6"/>
    <w:rsid w:val="2DEC299E"/>
    <w:rsid w:val="2DF61A6F"/>
    <w:rsid w:val="2E0308AA"/>
    <w:rsid w:val="2E12247E"/>
    <w:rsid w:val="2E1367D2"/>
    <w:rsid w:val="2E1608ED"/>
    <w:rsid w:val="2E1660EB"/>
    <w:rsid w:val="2E206AEC"/>
    <w:rsid w:val="2E312AA7"/>
    <w:rsid w:val="2E6611AB"/>
    <w:rsid w:val="2E667F96"/>
    <w:rsid w:val="2E704A6D"/>
    <w:rsid w:val="2E7D3F3E"/>
    <w:rsid w:val="2E8226AB"/>
    <w:rsid w:val="2E862DF3"/>
    <w:rsid w:val="2E964C51"/>
    <w:rsid w:val="2EA17C2D"/>
    <w:rsid w:val="2EAE2B92"/>
    <w:rsid w:val="2ECB654F"/>
    <w:rsid w:val="2ED74E40"/>
    <w:rsid w:val="2ED85C4C"/>
    <w:rsid w:val="2EDC6EB7"/>
    <w:rsid w:val="2EE63891"/>
    <w:rsid w:val="2EE753F6"/>
    <w:rsid w:val="2EF56AC4"/>
    <w:rsid w:val="2EF57F78"/>
    <w:rsid w:val="2F0E4A59"/>
    <w:rsid w:val="2F1C1962"/>
    <w:rsid w:val="2F2919D0"/>
    <w:rsid w:val="2F2D4B53"/>
    <w:rsid w:val="2F2E232F"/>
    <w:rsid w:val="2F3276C7"/>
    <w:rsid w:val="2F3945C8"/>
    <w:rsid w:val="2F476654"/>
    <w:rsid w:val="2F661D64"/>
    <w:rsid w:val="2F7056E3"/>
    <w:rsid w:val="2F832C79"/>
    <w:rsid w:val="2F85468E"/>
    <w:rsid w:val="2F9349A5"/>
    <w:rsid w:val="2FA379D4"/>
    <w:rsid w:val="2FAF6379"/>
    <w:rsid w:val="2FB71E59"/>
    <w:rsid w:val="2FB8555B"/>
    <w:rsid w:val="2FBB6ACC"/>
    <w:rsid w:val="2FBE7CB1"/>
    <w:rsid w:val="2FD12EBD"/>
    <w:rsid w:val="2FEB3E48"/>
    <w:rsid w:val="2FEF2D58"/>
    <w:rsid w:val="30054E44"/>
    <w:rsid w:val="30335D48"/>
    <w:rsid w:val="303E7123"/>
    <w:rsid w:val="30494873"/>
    <w:rsid w:val="304B5CBC"/>
    <w:rsid w:val="305321A4"/>
    <w:rsid w:val="30580BC9"/>
    <w:rsid w:val="30585533"/>
    <w:rsid w:val="305E54D0"/>
    <w:rsid w:val="306456D5"/>
    <w:rsid w:val="307229AC"/>
    <w:rsid w:val="30801AC4"/>
    <w:rsid w:val="30803FDA"/>
    <w:rsid w:val="30816873"/>
    <w:rsid w:val="30881880"/>
    <w:rsid w:val="30885806"/>
    <w:rsid w:val="3091087C"/>
    <w:rsid w:val="309C68FD"/>
    <w:rsid w:val="30AB4D93"/>
    <w:rsid w:val="30CF4043"/>
    <w:rsid w:val="30D21697"/>
    <w:rsid w:val="30E233C0"/>
    <w:rsid w:val="30F1626C"/>
    <w:rsid w:val="30FB6A47"/>
    <w:rsid w:val="31131651"/>
    <w:rsid w:val="31193E5D"/>
    <w:rsid w:val="311E2ED7"/>
    <w:rsid w:val="313D6344"/>
    <w:rsid w:val="314932A7"/>
    <w:rsid w:val="31544914"/>
    <w:rsid w:val="31551114"/>
    <w:rsid w:val="31592A40"/>
    <w:rsid w:val="315C449C"/>
    <w:rsid w:val="316A12DE"/>
    <w:rsid w:val="31727625"/>
    <w:rsid w:val="317334B2"/>
    <w:rsid w:val="317E045D"/>
    <w:rsid w:val="31A00FB3"/>
    <w:rsid w:val="31A517E2"/>
    <w:rsid w:val="31AB7B22"/>
    <w:rsid w:val="31AC1DEB"/>
    <w:rsid w:val="31B82709"/>
    <w:rsid w:val="31C75BFC"/>
    <w:rsid w:val="31CE23F2"/>
    <w:rsid w:val="31CE7647"/>
    <w:rsid w:val="31D76A2D"/>
    <w:rsid w:val="31E73A66"/>
    <w:rsid w:val="31EF010A"/>
    <w:rsid w:val="31F75DB5"/>
    <w:rsid w:val="320E1D12"/>
    <w:rsid w:val="321B7CF6"/>
    <w:rsid w:val="32201B46"/>
    <w:rsid w:val="32221084"/>
    <w:rsid w:val="32250904"/>
    <w:rsid w:val="322E09B6"/>
    <w:rsid w:val="322E1CC9"/>
    <w:rsid w:val="322F5D31"/>
    <w:rsid w:val="32400B34"/>
    <w:rsid w:val="32456D38"/>
    <w:rsid w:val="324F39FF"/>
    <w:rsid w:val="32514CE3"/>
    <w:rsid w:val="32616EAD"/>
    <w:rsid w:val="32737B32"/>
    <w:rsid w:val="32794C43"/>
    <w:rsid w:val="328238D1"/>
    <w:rsid w:val="328874AC"/>
    <w:rsid w:val="329E6876"/>
    <w:rsid w:val="32A16441"/>
    <w:rsid w:val="32B065C3"/>
    <w:rsid w:val="32C445C8"/>
    <w:rsid w:val="32D06D32"/>
    <w:rsid w:val="32D77EB3"/>
    <w:rsid w:val="32DB1E15"/>
    <w:rsid w:val="32F02F31"/>
    <w:rsid w:val="33016EEC"/>
    <w:rsid w:val="33087DBE"/>
    <w:rsid w:val="330A3B0F"/>
    <w:rsid w:val="3316226B"/>
    <w:rsid w:val="331F600C"/>
    <w:rsid w:val="332A3A1F"/>
    <w:rsid w:val="332B1B0D"/>
    <w:rsid w:val="3332337C"/>
    <w:rsid w:val="3336623C"/>
    <w:rsid w:val="333A777A"/>
    <w:rsid w:val="3342113B"/>
    <w:rsid w:val="335005D4"/>
    <w:rsid w:val="335E56A9"/>
    <w:rsid w:val="33604C72"/>
    <w:rsid w:val="3384586B"/>
    <w:rsid w:val="33955886"/>
    <w:rsid w:val="339A66C5"/>
    <w:rsid w:val="33B11D70"/>
    <w:rsid w:val="33BF7120"/>
    <w:rsid w:val="33D40EB6"/>
    <w:rsid w:val="33D934D4"/>
    <w:rsid w:val="33E538D7"/>
    <w:rsid w:val="33E83291"/>
    <w:rsid w:val="33EB11D5"/>
    <w:rsid w:val="33F41F82"/>
    <w:rsid w:val="33F46A50"/>
    <w:rsid w:val="33FE2F6A"/>
    <w:rsid w:val="34086058"/>
    <w:rsid w:val="341E6BA4"/>
    <w:rsid w:val="343A34CB"/>
    <w:rsid w:val="344078BE"/>
    <w:rsid w:val="345611ED"/>
    <w:rsid w:val="345745AF"/>
    <w:rsid w:val="34605E94"/>
    <w:rsid w:val="34761214"/>
    <w:rsid w:val="34833F4F"/>
    <w:rsid w:val="348428C3"/>
    <w:rsid w:val="34873898"/>
    <w:rsid w:val="348A4CBF"/>
    <w:rsid w:val="3490763B"/>
    <w:rsid w:val="349F0D00"/>
    <w:rsid w:val="34A07BE8"/>
    <w:rsid w:val="34A55F9D"/>
    <w:rsid w:val="34B75CCA"/>
    <w:rsid w:val="34BF2BBB"/>
    <w:rsid w:val="34C226AB"/>
    <w:rsid w:val="34C957E7"/>
    <w:rsid w:val="34CD748C"/>
    <w:rsid w:val="34E436DE"/>
    <w:rsid w:val="34E575E6"/>
    <w:rsid w:val="35024187"/>
    <w:rsid w:val="350E0D7D"/>
    <w:rsid w:val="353F1F4D"/>
    <w:rsid w:val="35630DFF"/>
    <w:rsid w:val="35674C05"/>
    <w:rsid w:val="3570384B"/>
    <w:rsid w:val="35894EFE"/>
    <w:rsid w:val="35935365"/>
    <w:rsid w:val="35B156CE"/>
    <w:rsid w:val="35BD363D"/>
    <w:rsid w:val="35C0197B"/>
    <w:rsid w:val="35C102F5"/>
    <w:rsid w:val="35C3679B"/>
    <w:rsid w:val="35D20A58"/>
    <w:rsid w:val="35DC779C"/>
    <w:rsid w:val="35DD2DD0"/>
    <w:rsid w:val="35F40894"/>
    <w:rsid w:val="36074A7F"/>
    <w:rsid w:val="36122DEB"/>
    <w:rsid w:val="361A6F31"/>
    <w:rsid w:val="362D624A"/>
    <w:rsid w:val="364A2958"/>
    <w:rsid w:val="364D1A9A"/>
    <w:rsid w:val="364D442C"/>
    <w:rsid w:val="36536DB2"/>
    <w:rsid w:val="365F1412"/>
    <w:rsid w:val="36625508"/>
    <w:rsid w:val="36664FD3"/>
    <w:rsid w:val="367134E1"/>
    <w:rsid w:val="36877051"/>
    <w:rsid w:val="368B78F1"/>
    <w:rsid w:val="36914A2B"/>
    <w:rsid w:val="36923549"/>
    <w:rsid w:val="36A52BA5"/>
    <w:rsid w:val="36B23F70"/>
    <w:rsid w:val="36B75FBF"/>
    <w:rsid w:val="36B91444"/>
    <w:rsid w:val="36C02C1A"/>
    <w:rsid w:val="36C066E4"/>
    <w:rsid w:val="36C6031F"/>
    <w:rsid w:val="36D459B9"/>
    <w:rsid w:val="36E032BC"/>
    <w:rsid w:val="36E24BCA"/>
    <w:rsid w:val="36EA7C97"/>
    <w:rsid w:val="36F47976"/>
    <w:rsid w:val="36FB4891"/>
    <w:rsid w:val="36FE72C1"/>
    <w:rsid w:val="370D2F60"/>
    <w:rsid w:val="370D413C"/>
    <w:rsid w:val="3724008B"/>
    <w:rsid w:val="37436ACA"/>
    <w:rsid w:val="37585548"/>
    <w:rsid w:val="375D2ED3"/>
    <w:rsid w:val="376D2DA2"/>
    <w:rsid w:val="376E6B1A"/>
    <w:rsid w:val="377F423C"/>
    <w:rsid w:val="37977E1F"/>
    <w:rsid w:val="37B24C58"/>
    <w:rsid w:val="37C52BF9"/>
    <w:rsid w:val="37C60704"/>
    <w:rsid w:val="37EE26B2"/>
    <w:rsid w:val="380B6117"/>
    <w:rsid w:val="38323966"/>
    <w:rsid w:val="38336AE5"/>
    <w:rsid w:val="383E64EC"/>
    <w:rsid w:val="38432800"/>
    <w:rsid w:val="384358B1"/>
    <w:rsid w:val="3851592F"/>
    <w:rsid w:val="38523EA9"/>
    <w:rsid w:val="386F7324"/>
    <w:rsid w:val="388365F5"/>
    <w:rsid w:val="388C54AA"/>
    <w:rsid w:val="389A337B"/>
    <w:rsid w:val="38B341A0"/>
    <w:rsid w:val="38C20B2E"/>
    <w:rsid w:val="38CC3AF8"/>
    <w:rsid w:val="38D17360"/>
    <w:rsid w:val="38D75A4F"/>
    <w:rsid w:val="38E11BE1"/>
    <w:rsid w:val="38EC24CB"/>
    <w:rsid w:val="38EC706E"/>
    <w:rsid w:val="38F10C32"/>
    <w:rsid w:val="38F12CD3"/>
    <w:rsid w:val="38F85BFF"/>
    <w:rsid w:val="38F94775"/>
    <w:rsid w:val="390C0398"/>
    <w:rsid w:val="390F1C37"/>
    <w:rsid w:val="391C0D1A"/>
    <w:rsid w:val="392971ED"/>
    <w:rsid w:val="39314D19"/>
    <w:rsid w:val="39477622"/>
    <w:rsid w:val="394B4C60"/>
    <w:rsid w:val="39586C5B"/>
    <w:rsid w:val="39622DE8"/>
    <w:rsid w:val="397661B2"/>
    <w:rsid w:val="39AB195F"/>
    <w:rsid w:val="39B60304"/>
    <w:rsid w:val="39BC591B"/>
    <w:rsid w:val="39C944DB"/>
    <w:rsid w:val="39D233C3"/>
    <w:rsid w:val="39E13D03"/>
    <w:rsid w:val="39E26409"/>
    <w:rsid w:val="39F74BA5"/>
    <w:rsid w:val="39FF2F6E"/>
    <w:rsid w:val="3A000905"/>
    <w:rsid w:val="3A2160C5"/>
    <w:rsid w:val="3A372F4A"/>
    <w:rsid w:val="3A3E78CD"/>
    <w:rsid w:val="3A424D64"/>
    <w:rsid w:val="3A464B75"/>
    <w:rsid w:val="3A47372A"/>
    <w:rsid w:val="3A557B1D"/>
    <w:rsid w:val="3A571AE7"/>
    <w:rsid w:val="3A5A5BBB"/>
    <w:rsid w:val="3A6937EF"/>
    <w:rsid w:val="3A8334DB"/>
    <w:rsid w:val="3A8D1EDA"/>
    <w:rsid w:val="3A970136"/>
    <w:rsid w:val="3A9B7C26"/>
    <w:rsid w:val="3AA43A25"/>
    <w:rsid w:val="3AB407D9"/>
    <w:rsid w:val="3AB8694C"/>
    <w:rsid w:val="3AC423BF"/>
    <w:rsid w:val="3AE71F38"/>
    <w:rsid w:val="3AE72E6B"/>
    <w:rsid w:val="3AF2314B"/>
    <w:rsid w:val="3AF235BE"/>
    <w:rsid w:val="3AF31810"/>
    <w:rsid w:val="3AF97D81"/>
    <w:rsid w:val="3AFC4F2B"/>
    <w:rsid w:val="3B023EBD"/>
    <w:rsid w:val="3B273F0F"/>
    <w:rsid w:val="3B2C6B6E"/>
    <w:rsid w:val="3B3763D1"/>
    <w:rsid w:val="3B3C613D"/>
    <w:rsid w:val="3B3D26BA"/>
    <w:rsid w:val="3B5E2A01"/>
    <w:rsid w:val="3B725E37"/>
    <w:rsid w:val="3B752BFF"/>
    <w:rsid w:val="3B787B31"/>
    <w:rsid w:val="3B7D31C1"/>
    <w:rsid w:val="3B7F268E"/>
    <w:rsid w:val="3B935972"/>
    <w:rsid w:val="3B954675"/>
    <w:rsid w:val="3B9C785C"/>
    <w:rsid w:val="3BA90120"/>
    <w:rsid w:val="3BAA089E"/>
    <w:rsid w:val="3BB01B36"/>
    <w:rsid w:val="3BBA23D3"/>
    <w:rsid w:val="3BC82016"/>
    <w:rsid w:val="3BD86C58"/>
    <w:rsid w:val="3BE7798D"/>
    <w:rsid w:val="3BEC1564"/>
    <w:rsid w:val="3BF21DDC"/>
    <w:rsid w:val="3BFD64B8"/>
    <w:rsid w:val="3BFE0815"/>
    <w:rsid w:val="3C0178D1"/>
    <w:rsid w:val="3C1E399C"/>
    <w:rsid w:val="3C221C81"/>
    <w:rsid w:val="3C4C11FB"/>
    <w:rsid w:val="3C552A9F"/>
    <w:rsid w:val="3C677B59"/>
    <w:rsid w:val="3C686F62"/>
    <w:rsid w:val="3C6F3C8D"/>
    <w:rsid w:val="3C762309"/>
    <w:rsid w:val="3C770992"/>
    <w:rsid w:val="3C856CAB"/>
    <w:rsid w:val="3C945583"/>
    <w:rsid w:val="3C9618E6"/>
    <w:rsid w:val="3CA31C94"/>
    <w:rsid w:val="3CAC78FC"/>
    <w:rsid w:val="3CB30E6A"/>
    <w:rsid w:val="3CB404E9"/>
    <w:rsid w:val="3CC82828"/>
    <w:rsid w:val="3CDA245A"/>
    <w:rsid w:val="3CDC5C48"/>
    <w:rsid w:val="3CEA47E7"/>
    <w:rsid w:val="3CEB3ACE"/>
    <w:rsid w:val="3CEE0A37"/>
    <w:rsid w:val="3CFA432F"/>
    <w:rsid w:val="3D181B4D"/>
    <w:rsid w:val="3D25536C"/>
    <w:rsid w:val="3D2E14E1"/>
    <w:rsid w:val="3D324146"/>
    <w:rsid w:val="3D3509CF"/>
    <w:rsid w:val="3D372142"/>
    <w:rsid w:val="3D375A4A"/>
    <w:rsid w:val="3D405875"/>
    <w:rsid w:val="3D5B7425"/>
    <w:rsid w:val="3D7000F8"/>
    <w:rsid w:val="3D7301EA"/>
    <w:rsid w:val="3D820B03"/>
    <w:rsid w:val="3D820C29"/>
    <w:rsid w:val="3D840E45"/>
    <w:rsid w:val="3D8A5562"/>
    <w:rsid w:val="3D9300CF"/>
    <w:rsid w:val="3DCB50B3"/>
    <w:rsid w:val="3DD628CB"/>
    <w:rsid w:val="3DD75F2E"/>
    <w:rsid w:val="3DDA6CB7"/>
    <w:rsid w:val="3DF02630"/>
    <w:rsid w:val="3E12166E"/>
    <w:rsid w:val="3E13220D"/>
    <w:rsid w:val="3E16775C"/>
    <w:rsid w:val="3E18343B"/>
    <w:rsid w:val="3E1A5306"/>
    <w:rsid w:val="3E1F5309"/>
    <w:rsid w:val="3E3E3679"/>
    <w:rsid w:val="3E435CB3"/>
    <w:rsid w:val="3E4D7489"/>
    <w:rsid w:val="3E4E0B39"/>
    <w:rsid w:val="3E706C67"/>
    <w:rsid w:val="3E742234"/>
    <w:rsid w:val="3E763733"/>
    <w:rsid w:val="3E8E35FE"/>
    <w:rsid w:val="3E9F32CB"/>
    <w:rsid w:val="3EB017C6"/>
    <w:rsid w:val="3EBA37FA"/>
    <w:rsid w:val="3EC94FA6"/>
    <w:rsid w:val="3EE372B8"/>
    <w:rsid w:val="3EE86C93"/>
    <w:rsid w:val="3EEA3117"/>
    <w:rsid w:val="3EF2764E"/>
    <w:rsid w:val="3EFD0EAF"/>
    <w:rsid w:val="3F103E47"/>
    <w:rsid w:val="3F2301EA"/>
    <w:rsid w:val="3F261A88"/>
    <w:rsid w:val="3F301235"/>
    <w:rsid w:val="3F360929"/>
    <w:rsid w:val="3F3D5999"/>
    <w:rsid w:val="3F407C75"/>
    <w:rsid w:val="3F43088C"/>
    <w:rsid w:val="3F4723C7"/>
    <w:rsid w:val="3F5452A4"/>
    <w:rsid w:val="3F56036D"/>
    <w:rsid w:val="3F637DC9"/>
    <w:rsid w:val="3F660E74"/>
    <w:rsid w:val="3F6E143F"/>
    <w:rsid w:val="3F731305"/>
    <w:rsid w:val="3F79189D"/>
    <w:rsid w:val="3FB771CC"/>
    <w:rsid w:val="3FBF4E2E"/>
    <w:rsid w:val="3FCF4037"/>
    <w:rsid w:val="3FDE58A4"/>
    <w:rsid w:val="3FE65187"/>
    <w:rsid w:val="3FE77D07"/>
    <w:rsid w:val="3FF169E6"/>
    <w:rsid w:val="3FF658FE"/>
    <w:rsid w:val="3FFA00B1"/>
    <w:rsid w:val="400664A1"/>
    <w:rsid w:val="400A3F23"/>
    <w:rsid w:val="401C0709"/>
    <w:rsid w:val="40387EE3"/>
    <w:rsid w:val="4055010E"/>
    <w:rsid w:val="405659B3"/>
    <w:rsid w:val="405A5E8D"/>
    <w:rsid w:val="405A774E"/>
    <w:rsid w:val="40630701"/>
    <w:rsid w:val="40752AFC"/>
    <w:rsid w:val="40784177"/>
    <w:rsid w:val="407A6407"/>
    <w:rsid w:val="40830633"/>
    <w:rsid w:val="408B7180"/>
    <w:rsid w:val="409C35D8"/>
    <w:rsid w:val="409E0DFA"/>
    <w:rsid w:val="40AA34F6"/>
    <w:rsid w:val="40AB0497"/>
    <w:rsid w:val="40C1415E"/>
    <w:rsid w:val="40C551BC"/>
    <w:rsid w:val="40CF7DDA"/>
    <w:rsid w:val="40DA5E0B"/>
    <w:rsid w:val="40DF5386"/>
    <w:rsid w:val="40E85247"/>
    <w:rsid w:val="40EB4D37"/>
    <w:rsid w:val="40EC5535"/>
    <w:rsid w:val="40F2256A"/>
    <w:rsid w:val="40F462E2"/>
    <w:rsid w:val="40F47DB5"/>
    <w:rsid w:val="41065CB3"/>
    <w:rsid w:val="410C60E7"/>
    <w:rsid w:val="41110C42"/>
    <w:rsid w:val="411E09D0"/>
    <w:rsid w:val="4128272B"/>
    <w:rsid w:val="413F1F07"/>
    <w:rsid w:val="41432DC5"/>
    <w:rsid w:val="414E282B"/>
    <w:rsid w:val="41574A49"/>
    <w:rsid w:val="415C4E18"/>
    <w:rsid w:val="41675E74"/>
    <w:rsid w:val="41894957"/>
    <w:rsid w:val="41932BA9"/>
    <w:rsid w:val="41A11170"/>
    <w:rsid w:val="41A2189A"/>
    <w:rsid w:val="41A31919"/>
    <w:rsid w:val="41AB0AB2"/>
    <w:rsid w:val="41B2577E"/>
    <w:rsid w:val="41BF70A9"/>
    <w:rsid w:val="41CE6FF6"/>
    <w:rsid w:val="41D67795"/>
    <w:rsid w:val="41E87691"/>
    <w:rsid w:val="41EF0A23"/>
    <w:rsid w:val="41FD4D22"/>
    <w:rsid w:val="41FF0A9A"/>
    <w:rsid w:val="421A6111"/>
    <w:rsid w:val="421A7ECF"/>
    <w:rsid w:val="422A5E1B"/>
    <w:rsid w:val="4236601D"/>
    <w:rsid w:val="423A3BCC"/>
    <w:rsid w:val="423D6255"/>
    <w:rsid w:val="423F3568"/>
    <w:rsid w:val="42437045"/>
    <w:rsid w:val="42610F23"/>
    <w:rsid w:val="426C648E"/>
    <w:rsid w:val="426D3E09"/>
    <w:rsid w:val="426F374B"/>
    <w:rsid w:val="42745B21"/>
    <w:rsid w:val="42761DA5"/>
    <w:rsid w:val="427E640C"/>
    <w:rsid w:val="42865E45"/>
    <w:rsid w:val="42AF1CC4"/>
    <w:rsid w:val="42D44A08"/>
    <w:rsid w:val="42F779C3"/>
    <w:rsid w:val="43014CE6"/>
    <w:rsid w:val="43390457"/>
    <w:rsid w:val="433A6FE6"/>
    <w:rsid w:val="433D6D73"/>
    <w:rsid w:val="4340763C"/>
    <w:rsid w:val="434121F7"/>
    <w:rsid w:val="43413334"/>
    <w:rsid w:val="434E3D93"/>
    <w:rsid w:val="434F5A51"/>
    <w:rsid w:val="435011B6"/>
    <w:rsid w:val="4350713C"/>
    <w:rsid w:val="4352109E"/>
    <w:rsid w:val="435C6309"/>
    <w:rsid w:val="436653E0"/>
    <w:rsid w:val="43697B1B"/>
    <w:rsid w:val="43704724"/>
    <w:rsid w:val="4374600D"/>
    <w:rsid w:val="43864C8C"/>
    <w:rsid w:val="439B3A24"/>
    <w:rsid w:val="439C317A"/>
    <w:rsid w:val="43A92A16"/>
    <w:rsid w:val="43B03CB9"/>
    <w:rsid w:val="43C71A8C"/>
    <w:rsid w:val="43CD227D"/>
    <w:rsid w:val="43CF28BC"/>
    <w:rsid w:val="43D91FB7"/>
    <w:rsid w:val="43E06D85"/>
    <w:rsid w:val="43F065F4"/>
    <w:rsid w:val="43F54DA9"/>
    <w:rsid w:val="43F568DE"/>
    <w:rsid w:val="43FB7E85"/>
    <w:rsid w:val="440E72B6"/>
    <w:rsid w:val="44116C17"/>
    <w:rsid w:val="442A0DE4"/>
    <w:rsid w:val="442F6127"/>
    <w:rsid w:val="44405FFD"/>
    <w:rsid w:val="44471092"/>
    <w:rsid w:val="444B0E43"/>
    <w:rsid w:val="44590916"/>
    <w:rsid w:val="445C4285"/>
    <w:rsid w:val="445F46EF"/>
    <w:rsid w:val="446855CD"/>
    <w:rsid w:val="44722751"/>
    <w:rsid w:val="44775260"/>
    <w:rsid w:val="4487220D"/>
    <w:rsid w:val="449032CF"/>
    <w:rsid w:val="44A96A63"/>
    <w:rsid w:val="44AA3B64"/>
    <w:rsid w:val="44AB2D38"/>
    <w:rsid w:val="44B10051"/>
    <w:rsid w:val="44B91AA9"/>
    <w:rsid w:val="44C45FCB"/>
    <w:rsid w:val="44C9538F"/>
    <w:rsid w:val="44CD14E0"/>
    <w:rsid w:val="44D6000F"/>
    <w:rsid w:val="44DA6A6B"/>
    <w:rsid w:val="44F41E19"/>
    <w:rsid w:val="44F668BC"/>
    <w:rsid w:val="44FC5765"/>
    <w:rsid w:val="45014B29"/>
    <w:rsid w:val="45045908"/>
    <w:rsid w:val="45050ABD"/>
    <w:rsid w:val="451A5BEB"/>
    <w:rsid w:val="4525215A"/>
    <w:rsid w:val="45322F35"/>
    <w:rsid w:val="45362321"/>
    <w:rsid w:val="453E5D7D"/>
    <w:rsid w:val="45411FB2"/>
    <w:rsid w:val="455540A9"/>
    <w:rsid w:val="45577663"/>
    <w:rsid w:val="457D2540"/>
    <w:rsid w:val="4582785D"/>
    <w:rsid w:val="45857508"/>
    <w:rsid w:val="458946E9"/>
    <w:rsid w:val="45905217"/>
    <w:rsid w:val="459260C9"/>
    <w:rsid w:val="45957DF1"/>
    <w:rsid w:val="45997C2E"/>
    <w:rsid w:val="45B24076"/>
    <w:rsid w:val="45C32288"/>
    <w:rsid w:val="45C85D9B"/>
    <w:rsid w:val="45C953D0"/>
    <w:rsid w:val="45CF69D6"/>
    <w:rsid w:val="45E52BA0"/>
    <w:rsid w:val="45F11042"/>
    <w:rsid w:val="45F96148"/>
    <w:rsid w:val="46082A52"/>
    <w:rsid w:val="4609350C"/>
    <w:rsid w:val="460C5129"/>
    <w:rsid w:val="460E39A2"/>
    <w:rsid w:val="4614058A"/>
    <w:rsid w:val="46192360"/>
    <w:rsid w:val="462A0DFD"/>
    <w:rsid w:val="462B21DE"/>
    <w:rsid w:val="462D66FA"/>
    <w:rsid w:val="462F56C6"/>
    <w:rsid w:val="46383DC0"/>
    <w:rsid w:val="463E19C9"/>
    <w:rsid w:val="46447925"/>
    <w:rsid w:val="4648427E"/>
    <w:rsid w:val="46554460"/>
    <w:rsid w:val="467908C2"/>
    <w:rsid w:val="46796BB1"/>
    <w:rsid w:val="46883812"/>
    <w:rsid w:val="468A0B4E"/>
    <w:rsid w:val="468B7148"/>
    <w:rsid w:val="468E6D5F"/>
    <w:rsid w:val="468F013D"/>
    <w:rsid w:val="46C7182E"/>
    <w:rsid w:val="46CC73B9"/>
    <w:rsid w:val="46CF6BE8"/>
    <w:rsid w:val="46D02A05"/>
    <w:rsid w:val="46D955A7"/>
    <w:rsid w:val="46EB442E"/>
    <w:rsid w:val="46ED7A5B"/>
    <w:rsid w:val="47120827"/>
    <w:rsid w:val="47133957"/>
    <w:rsid w:val="4722090C"/>
    <w:rsid w:val="472B40E0"/>
    <w:rsid w:val="47356D0C"/>
    <w:rsid w:val="47431429"/>
    <w:rsid w:val="47490739"/>
    <w:rsid w:val="474C08DA"/>
    <w:rsid w:val="47514A22"/>
    <w:rsid w:val="47723ABC"/>
    <w:rsid w:val="47762884"/>
    <w:rsid w:val="4779329E"/>
    <w:rsid w:val="477E09F4"/>
    <w:rsid w:val="478F4ECF"/>
    <w:rsid w:val="4794331D"/>
    <w:rsid w:val="479733DA"/>
    <w:rsid w:val="479E10C3"/>
    <w:rsid w:val="47A07E0C"/>
    <w:rsid w:val="47AD2D46"/>
    <w:rsid w:val="47B91E65"/>
    <w:rsid w:val="47D631DB"/>
    <w:rsid w:val="47DA06FF"/>
    <w:rsid w:val="47F25B59"/>
    <w:rsid w:val="4800799F"/>
    <w:rsid w:val="48052B82"/>
    <w:rsid w:val="48261527"/>
    <w:rsid w:val="48391D37"/>
    <w:rsid w:val="484943FE"/>
    <w:rsid w:val="485125DC"/>
    <w:rsid w:val="486677BF"/>
    <w:rsid w:val="4870272E"/>
    <w:rsid w:val="488F231B"/>
    <w:rsid w:val="489A1243"/>
    <w:rsid w:val="48A203D1"/>
    <w:rsid w:val="48A331A8"/>
    <w:rsid w:val="48C37541"/>
    <w:rsid w:val="48D04F3E"/>
    <w:rsid w:val="48D54374"/>
    <w:rsid w:val="48E0229A"/>
    <w:rsid w:val="48E05069"/>
    <w:rsid w:val="48F22E2C"/>
    <w:rsid w:val="48F3388E"/>
    <w:rsid w:val="48FB0284"/>
    <w:rsid w:val="49064E04"/>
    <w:rsid w:val="49086FC1"/>
    <w:rsid w:val="4920329F"/>
    <w:rsid w:val="497E0E3E"/>
    <w:rsid w:val="498E4CFA"/>
    <w:rsid w:val="49997A26"/>
    <w:rsid w:val="499B5CD3"/>
    <w:rsid w:val="49C8030C"/>
    <w:rsid w:val="49DC3DB7"/>
    <w:rsid w:val="49DC7715"/>
    <w:rsid w:val="49ED04C0"/>
    <w:rsid w:val="49ED11E4"/>
    <w:rsid w:val="49F96717"/>
    <w:rsid w:val="4A023139"/>
    <w:rsid w:val="4A036054"/>
    <w:rsid w:val="4A175819"/>
    <w:rsid w:val="4A1D2E9D"/>
    <w:rsid w:val="4A2D6B3E"/>
    <w:rsid w:val="4A3502CA"/>
    <w:rsid w:val="4A352B11"/>
    <w:rsid w:val="4A3926C0"/>
    <w:rsid w:val="4A3E05CE"/>
    <w:rsid w:val="4A512A42"/>
    <w:rsid w:val="4A5247DD"/>
    <w:rsid w:val="4A5B54D0"/>
    <w:rsid w:val="4A631737"/>
    <w:rsid w:val="4A66404E"/>
    <w:rsid w:val="4A6D6ED4"/>
    <w:rsid w:val="4A704B0B"/>
    <w:rsid w:val="4A741B24"/>
    <w:rsid w:val="4A7B576F"/>
    <w:rsid w:val="4A7D4C52"/>
    <w:rsid w:val="4A7E79BF"/>
    <w:rsid w:val="4A7F4E6E"/>
    <w:rsid w:val="4A8642E2"/>
    <w:rsid w:val="4A8B6AF7"/>
    <w:rsid w:val="4A946440"/>
    <w:rsid w:val="4AB8064A"/>
    <w:rsid w:val="4AC929C7"/>
    <w:rsid w:val="4AE83552"/>
    <w:rsid w:val="4AEE58DA"/>
    <w:rsid w:val="4AF344FA"/>
    <w:rsid w:val="4B0841EB"/>
    <w:rsid w:val="4B0E4F0E"/>
    <w:rsid w:val="4B1959DE"/>
    <w:rsid w:val="4B1B110F"/>
    <w:rsid w:val="4B2F13AD"/>
    <w:rsid w:val="4B4734B2"/>
    <w:rsid w:val="4B4B6897"/>
    <w:rsid w:val="4B560BA5"/>
    <w:rsid w:val="4B6046D6"/>
    <w:rsid w:val="4B6547DC"/>
    <w:rsid w:val="4B796708"/>
    <w:rsid w:val="4B9307D7"/>
    <w:rsid w:val="4B97357E"/>
    <w:rsid w:val="4B9F28EF"/>
    <w:rsid w:val="4BBC7BF0"/>
    <w:rsid w:val="4BC468B1"/>
    <w:rsid w:val="4BCC664A"/>
    <w:rsid w:val="4BE709AB"/>
    <w:rsid w:val="4BED6507"/>
    <w:rsid w:val="4BEE148C"/>
    <w:rsid w:val="4BF21670"/>
    <w:rsid w:val="4BFA0524"/>
    <w:rsid w:val="4C013661"/>
    <w:rsid w:val="4C055D83"/>
    <w:rsid w:val="4C0D76C9"/>
    <w:rsid w:val="4C181799"/>
    <w:rsid w:val="4C1C493F"/>
    <w:rsid w:val="4C1E30B9"/>
    <w:rsid w:val="4C247A7E"/>
    <w:rsid w:val="4C347831"/>
    <w:rsid w:val="4C4109A5"/>
    <w:rsid w:val="4C421743"/>
    <w:rsid w:val="4C447F29"/>
    <w:rsid w:val="4C4A0649"/>
    <w:rsid w:val="4C4C58CD"/>
    <w:rsid w:val="4C5479B0"/>
    <w:rsid w:val="4C654974"/>
    <w:rsid w:val="4C6C620F"/>
    <w:rsid w:val="4C7D74B7"/>
    <w:rsid w:val="4C8A74C0"/>
    <w:rsid w:val="4C9213E2"/>
    <w:rsid w:val="4CAA5AA7"/>
    <w:rsid w:val="4CB84667"/>
    <w:rsid w:val="4CC44379"/>
    <w:rsid w:val="4CD55219"/>
    <w:rsid w:val="4CE470D3"/>
    <w:rsid w:val="4CEC4C74"/>
    <w:rsid w:val="4D07114B"/>
    <w:rsid w:val="4D0D6CD7"/>
    <w:rsid w:val="4D1C122D"/>
    <w:rsid w:val="4D2C6166"/>
    <w:rsid w:val="4D4717D1"/>
    <w:rsid w:val="4D4C4381"/>
    <w:rsid w:val="4D685733"/>
    <w:rsid w:val="4D764DF5"/>
    <w:rsid w:val="4D7A7AAC"/>
    <w:rsid w:val="4D7C5DE7"/>
    <w:rsid w:val="4D8118E3"/>
    <w:rsid w:val="4D830A74"/>
    <w:rsid w:val="4D8C494F"/>
    <w:rsid w:val="4D906B2F"/>
    <w:rsid w:val="4DA32CA6"/>
    <w:rsid w:val="4DAA5641"/>
    <w:rsid w:val="4DC030AB"/>
    <w:rsid w:val="4DCD5EF0"/>
    <w:rsid w:val="4DD059E1"/>
    <w:rsid w:val="4DD0696E"/>
    <w:rsid w:val="4DD0778F"/>
    <w:rsid w:val="4DD572AF"/>
    <w:rsid w:val="4DD637A3"/>
    <w:rsid w:val="4DE90CFC"/>
    <w:rsid w:val="4DEC4FB0"/>
    <w:rsid w:val="4DF5104E"/>
    <w:rsid w:val="4E075D8A"/>
    <w:rsid w:val="4E0C2D2D"/>
    <w:rsid w:val="4E0F475B"/>
    <w:rsid w:val="4E1A470D"/>
    <w:rsid w:val="4E37050A"/>
    <w:rsid w:val="4E3A6E71"/>
    <w:rsid w:val="4E3E10AE"/>
    <w:rsid w:val="4E422B8B"/>
    <w:rsid w:val="4E6A1CE0"/>
    <w:rsid w:val="4E6A373F"/>
    <w:rsid w:val="4E6B160F"/>
    <w:rsid w:val="4E760336"/>
    <w:rsid w:val="4E7B188C"/>
    <w:rsid w:val="4E936285"/>
    <w:rsid w:val="4E9F6789"/>
    <w:rsid w:val="4EA908CE"/>
    <w:rsid w:val="4EAB4D17"/>
    <w:rsid w:val="4EB66156"/>
    <w:rsid w:val="4EBD5F65"/>
    <w:rsid w:val="4EC2494C"/>
    <w:rsid w:val="4ECA6880"/>
    <w:rsid w:val="4ECC264C"/>
    <w:rsid w:val="4ED00D63"/>
    <w:rsid w:val="4ED57876"/>
    <w:rsid w:val="4ED97782"/>
    <w:rsid w:val="4EDB1213"/>
    <w:rsid w:val="4EFB083B"/>
    <w:rsid w:val="4EFC670B"/>
    <w:rsid w:val="4EFD1038"/>
    <w:rsid w:val="4F130C3D"/>
    <w:rsid w:val="4F271630"/>
    <w:rsid w:val="4F2732DA"/>
    <w:rsid w:val="4F2A1121"/>
    <w:rsid w:val="4F351F9F"/>
    <w:rsid w:val="4F355850"/>
    <w:rsid w:val="4F3673B2"/>
    <w:rsid w:val="4F39555E"/>
    <w:rsid w:val="4F3F375B"/>
    <w:rsid w:val="4F443F90"/>
    <w:rsid w:val="4F4C70DC"/>
    <w:rsid w:val="4F5166AD"/>
    <w:rsid w:val="4F5F701C"/>
    <w:rsid w:val="4F626473"/>
    <w:rsid w:val="4F6267DE"/>
    <w:rsid w:val="4F66619F"/>
    <w:rsid w:val="4F6D68D9"/>
    <w:rsid w:val="4F7103C4"/>
    <w:rsid w:val="4F833BA5"/>
    <w:rsid w:val="4F8A493D"/>
    <w:rsid w:val="4F900B6C"/>
    <w:rsid w:val="4F915375"/>
    <w:rsid w:val="4FAC304E"/>
    <w:rsid w:val="4FBA3BB3"/>
    <w:rsid w:val="4FBE481F"/>
    <w:rsid w:val="4FC1444E"/>
    <w:rsid w:val="4FC5011F"/>
    <w:rsid w:val="4FC62A8C"/>
    <w:rsid w:val="4FCE6F88"/>
    <w:rsid w:val="4FE20F0D"/>
    <w:rsid w:val="4FEE44BE"/>
    <w:rsid w:val="50067498"/>
    <w:rsid w:val="500E2ED6"/>
    <w:rsid w:val="50146059"/>
    <w:rsid w:val="502C76DA"/>
    <w:rsid w:val="502D16BB"/>
    <w:rsid w:val="50362CDE"/>
    <w:rsid w:val="50487C11"/>
    <w:rsid w:val="504A7B2A"/>
    <w:rsid w:val="50504C4B"/>
    <w:rsid w:val="50560E79"/>
    <w:rsid w:val="50571C4F"/>
    <w:rsid w:val="507765E7"/>
    <w:rsid w:val="50823AA3"/>
    <w:rsid w:val="509C6E7C"/>
    <w:rsid w:val="50A2107E"/>
    <w:rsid w:val="50BB3A45"/>
    <w:rsid w:val="50C17863"/>
    <w:rsid w:val="50C63A61"/>
    <w:rsid w:val="50CF2032"/>
    <w:rsid w:val="50DD5829"/>
    <w:rsid w:val="50EA7B34"/>
    <w:rsid w:val="50F11EF6"/>
    <w:rsid w:val="50FC16BA"/>
    <w:rsid w:val="51081151"/>
    <w:rsid w:val="51081827"/>
    <w:rsid w:val="511356C3"/>
    <w:rsid w:val="51230FED"/>
    <w:rsid w:val="512D6CA6"/>
    <w:rsid w:val="512E4EF8"/>
    <w:rsid w:val="513015C2"/>
    <w:rsid w:val="51302CE8"/>
    <w:rsid w:val="51311A5D"/>
    <w:rsid w:val="51421E71"/>
    <w:rsid w:val="51501312"/>
    <w:rsid w:val="515406D7"/>
    <w:rsid w:val="51541AB1"/>
    <w:rsid w:val="5162104E"/>
    <w:rsid w:val="516528E4"/>
    <w:rsid w:val="516B5D29"/>
    <w:rsid w:val="516C4C00"/>
    <w:rsid w:val="516D28B0"/>
    <w:rsid w:val="51703A41"/>
    <w:rsid w:val="5171202B"/>
    <w:rsid w:val="517140FE"/>
    <w:rsid w:val="51776B62"/>
    <w:rsid w:val="518014CC"/>
    <w:rsid w:val="51874DAF"/>
    <w:rsid w:val="5193785B"/>
    <w:rsid w:val="51983193"/>
    <w:rsid w:val="519D2D48"/>
    <w:rsid w:val="51AE2102"/>
    <w:rsid w:val="51C6703A"/>
    <w:rsid w:val="51D22043"/>
    <w:rsid w:val="51D54E19"/>
    <w:rsid w:val="51DD247A"/>
    <w:rsid w:val="51E11E2F"/>
    <w:rsid w:val="51E81A04"/>
    <w:rsid w:val="51F1661C"/>
    <w:rsid w:val="51FC2660"/>
    <w:rsid w:val="520364C3"/>
    <w:rsid w:val="520932E4"/>
    <w:rsid w:val="520F2308"/>
    <w:rsid w:val="521230DE"/>
    <w:rsid w:val="5212481A"/>
    <w:rsid w:val="522652BD"/>
    <w:rsid w:val="522B0225"/>
    <w:rsid w:val="5236391B"/>
    <w:rsid w:val="52377DDC"/>
    <w:rsid w:val="523A1214"/>
    <w:rsid w:val="525761CE"/>
    <w:rsid w:val="5266011F"/>
    <w:rsid w:val="52660640"/>
    <w:rsid w:val="52701C19"/>
    <w:rsid w:val="52756B57"/>
    <w:rsid w:val="52772096"/>
    <w:rsid w:val="52792B35"/>
    <w:rsid w:val="527C6137"/>
    <w:rsid w:val="528024FB"/>
    <w:rsid w:val="52AA4A52"/>
    <w:rsid w:val="52B910F3"/>
    <w:rsid w:val="52C16467"/>
    <w:rsid w:val="5302233E"/>
    <w:rsid w:val="531F2FFA"/>
    <w:rsid w:val="53201A8B"/>
    <w:rsid w:val="5330233F"/>
    <w:rsid w:val="533E60A6"/>
    <w:rsid w:val="536522FF"/>
    <w:rsid w:val="53680C7C"/>
    <w:rsid w:val="537D5B06"/>
    <w:rsid w:val="538452A3"/>
    <w:rsid w:val="53894668"/>
    <w:rsid w:val="538E7F0A"/>
    <w:rsid w:val="5391176E"/>
    <w:rsid w:val="539478C8"/>
    <w:rsid w:val="539905F6"/>
    <w:rsid w:val="53A019B1"/>
    <w:rsid w:val="53A039CC"/>
    <w:rsid w:val="53A1505A"/>
    <w:rsid w:val="53AE3DCE"/>
    <w:rsid w:val="53B2501D"/>
    <w:rsid w:val="53C056A2"/>
    <w:rsid w:val="53CE2862"/>
    <w:rsid w:val="53D954AE"/>
    <w:rsid w:val="53DB6E8D"/>
    <w:rsid w:val="53EF7B49"/>
    <w:rsid w:val="53F25E92"/>
    <w:rsid w:val="54063E08"/>
    <w:rsid w:val="540B1521"/>
    <w:rsid w:val="543437E8"/>
    <w:rsid w:val="54354E9B"/>
    <w:rsid w:val="54454701"/>
    <w:rsid w:val="5447267E"/>
    <w:rsid w:val="5458228C"/>
    <w:rsid w:val="5463135D"/>
    <w:rsid w:val="546606DF"/>
    <w:rsid w:val="546C7F2B"/>
    <w:rsid w:val="54706EA5"/>
    <w:rsid w:val="54712FD0"/>
    <w:rsid w:val="54716A37"/>
    <w:rsid w:val="5472334E"/>
    <w:rsid w:val="54741D03"/>
    <w:rsid w:val="547F7A92"/>
    <w:rsid w:val="54843081"/>
    <w:rsid w:val="54864C6A"/>
    <w:rsid w:val="548D0188"/>
    <w:rsid w:val="548E2F87"/>
    <w:rsid w:val="549171C8"/>
    <w:rsid w:val="54921C42"/>
    <w:rsid w:val="54A4501A"/>
    <w:rsid w:val="54AA4861"/>
    <w:rsid w:val="54AF45A2"/>
    <w:rsid w:val="54B03E76"/>
    <w:rsid w:val="54B17344"/>
    <w:rsid w:val="54B57B0B"/>
    <w:rsid w:val="54BF230B"/>
    <w:rsid w:val="54D371BA"/>
    <w:rsid w:val="54D51B2F"/>
    <w:rsid w:val="54D9161F"/>
    <w:rsid w:val="54E57FC4"/>
    <w:rsid w:val="54EA55DA"/>
    <w:rsid w:val="54F30A12"/>
    <w:rsid w:val="54F31D16"/>
    <w:rsid w:val="54F455EE"/>
    <w:rsid w:val="5505549C"/>
    <w:rsid w:val="55123A27"/>
    <w:rsid w:val="55205AC2"/>
    <w:rsid w:val="552770F4"/>
    <w:rsid w:val="553D2817"/>
    <w:rsid w:val="553F5B7D"/>
    <w:rsid w:val="55432F3C"/>
    <w:rsid w:val="55452810"/>
    <w:rsid w:val="554C696B"/>
    <w:rsid w:val="557971B8"/>
    <w:rsid w:val="558545E9"/>
    <w:rsid w:val="5590774E"/>
    <w:rsid w:val="5592014B"/>
    <w:rsid w:val="559B174B"/>
    <w:rsid w:val="55A169B1"/>
    <w:rsid w:val="55B31E70"/>
    <w:rsid w:val="55BE344A"/>
    <w:rsid w:val="55CE0CF4"/>
    <w:rsid w:val="55D77C82"/>
    <w:rsid w:val="55DC6C16"/>
    <w:rsid w:val="560763AD"/>
    <w:rsid w:val="56321C42"/>
    <w:rsid w:val="56670A38"/>
    <w:rsid w:val="56796828"/>
    <w:rsid w:val="567B14E9"/>
    <w:rsid w:val="567D7EB1"/>
    <w:rsid w:val="56814860"/>
    <w:rsid w:val="569A3F08"/>
    <w:rsid w:val="56B22A9C"/>
    <w:rsid w:val="56BB75CD"/>
    <w:rsid w:val="56D36C29"/>
    <w:rsid w:val="56DB436E"/>
    <w:rsid w:val="56E12C20"/>
    <w:rsid w:val="56EA273E"/>
    <w:rsid w:val="56F444EE"/>
    <w:rsid w:val="56F85C34"/>
    <w:rsid w:val="570877D5"/>
    <w:rsid w:val="570A7431"/>
    <w:rsid w:val="5712706A"/>
    <w:rsid w:val="571B53DB"/>
    <w:rsid w:val="572253C2"/>
    <w:rsid w:val="57371D02"/>
    <w:rsid w:val="5737262D"/>
    <w:rsid w:val="573A2CFB"/>
    <w:rsid w:val="573C1CC8"/>
    <w:rsid w:val="57432B3B"/>
    <w:rsid w:val="574B7E86"/>
    <w:rsid w:val="575136EE"/>
    <w:rsid w:val="57550741"/>
    <w:rsid w:val="575907F5"/>
    <w:rsid w:val="576B42C3"/>
    <w:rsid w:val="576F337C"/>
    <w:rsid w:val="577E46FF"/>
    <w:rsid w:val="57877110"/>
    <w:rsid w:val="579C1CF8"/>
    <w:rsid w:val="57A53A3A"/>
    <w:rsid w:val="57A80A84"/>
    <w:rsid w:val="57B036AB"/>
    <w:rsid w:val="57B72A76"/>
    <w:rsid w:val="57C00874"/>
    <w:rsid w:val="57C14D22"/>
    <w:rsid w:val="57C92968"/>
    <w:rsid w:val="57F624E8"/>
    <w:rsid w:val="580C03E7"/>
    <w:rsid w:val="580C1D0B"/>
    <w:rsid w:val="58306484"/>
    <w:rsid w:val="58356244"/>
    <w:rsid w:val="584722A5"/>
    <w:rsid w:val="58527FAB"/>
    <w:rsid w:val="585D5F90"/>
    <w:rsid w:val="5868341B"/>
    <w:rsid w:val="58786083"/>
    <w:rsid w:val="587F072F"/>
    <w:rsid w:val="588C4D39"/>
    <w:rsid w:val="589D0B8B"/>
    <w:rsid w:val="589F0489"/>
    <w:rsid w:val="58AC5D9B"/>
    <w:rsid w:val="58AE7FA4"/>
    <w:rsid w:val="58C3747C"/>
    <w:rsid w:val="58E356F5"/>
    <w:rsid w:val="58E660B8"/>
    <w:rsid w:val="58F15E5A"/>
    <w:rsid w:val="58F3077A"/>
    <w:rsid w:val="59023F6F"/>
    <w:rsid w:val="591A2681"/>
    <w:rsid w:val="592A4222"/>
    <w:rsid w:val="5930663A"/>
    <w:rsid w:val="5935134A"/>
    <w:rsid w:val="59427A42"/>
    <w:rsid w:val="595A479B"/>
    <w:rsid w:val="59626C1D"/>
    <w:rsid w:val="5964760B"/>
    <w:rsid w:val="596D2D7B"/>
    <w:rsid w:val="598500D2"/>
    <w:rsid w:val="598D0C2A"/>
    <w:rsid w:val="59945D17"/>
    <w:rsid w:val="59A83E06"/>
    <w:rsid w:val="59B937CD"/>
    <w:rsid w:val="59C1655E"/>
    <w:rsid w:val="59F84F32"/>
    <w:rsid w:val="5A022925"/>
    <w:rsid w:val="5A23622C"/>
    <w:rsid w:val="5A2E0476"/>
    <w:rsid w:val="5A33457E"/>
    <w:rsid w:val="5A3C747D"/>
    <w:rsid w:val="5A4A4CDF"/>
    <w:rsid w:val="5A55546F"/>
    <w:rsid w:val="5A587672"/>
    <w:rsid w:val="5A670EED"/>
    <w:rsid w:val="5A690D83"/>
    <w:rsid w:val="5A70177A"/>
    <w:rsid w:val="5A711611"/>
    <w:rsid w:val="5A7547E2"/>
    <w:rsid w:val="5A7616BE"/>
    <w:rsid w:val="5A7A0667"/>
    <w:rsid w:val="5A7C79FB"/>
    <w:rsid w:val="5A845A3D"/>
    <w:rsid w:val="5A9A37B2"/>
    <w:rsid w:val="5AA4622B"/>
    <w:rsid w:val="5AAB0390"/>
    <w:rsid w:val="5ABE2233"/>
    <w:rsid w:val="5AC00AB3"/>
    <w:rsid w:val="5AC57D66"/>
    <w:rsid w:val="5ACE5056"/>
    <w:rsid w:val="5ACE67D7"/>
    <w:rsid w:val="5AD84127"/>
    <w:rsid w:val="5ADB4028"/>
    <w:rsid w:val="5AE141F3"/>
    <w:rsid w:val="5AEA5DC4"/>
    <w:rsid w:val="5AEB20AC"/>
    <w:rsid w:val="5AEB247C"/>
    <w:rsid w:val="5AF26F96"/>
    <w:rsid w:val="5AF96577"/>
    <w:rsid w:val="5B0C425E"/>
    <w:rsid w:val="5B0D2932"/>
    <w:rsid w:val="5B0E2D53"/>
    <w:rsid w:val="5B1A029B"/>
    <w:rsid w:val="5B276D18"/>
    <w:rsid w:val="5B3C492C"/>
    <w:rsid w:val="5B5E291F"/>
    <w:rsid w:val="5B6A6121"/>
    <w:rsid w:val="5B6E0436"/>
    <w:rsid w:val="5B7025B1"/>
    <w:rsid w:val="5B723495"/>
    <w:rsid w:val="5B7B7072"/>
    <w:rsid w:val="5BA30291"/>
    <w:rsid w:val="5BA652E6"/>
    <w:rsid w:val="5BB75007"/>
    <w:rsid w:val="5BBF3740"/>
    <w:rsid w:val="5BDF5D95"/>
    <w:rsid w:val="5BF412EC"/>
    <w:rsid w:val="5C07713F"/>
    <w:rsid w:val="5C0C504E"/>
    <w:rsid w:val="5C1679CD"/>
    <w:rsid w:val="5C1C655D"/>
    <w:rsid w:val="5C484BDD"/>
    <w:rsid w:val="5C49024D"/>
    <w:rsid w:val="5C6F2D1F"/>
    <w:rsid w:val="5C734895"/>
    <w:rsid w:val="5C861E69"/>
    <w:rsid w:val="5C8956D8"/>
    <w:rsid w:val="5C8C6F77"/>
    <w:rsid w:val="5C8E2CEF"/>
    <w:rsid w:val="5C902F0B"/>
    <w:rsid w:val="5C950521"/>
    <w:rsid w:val="5C9B19C2"/>
    <w:rsid w:val="5C9F483D"/>
    <w:rsid w:val="5CB53FD1"/>
    <w:rsid w:val="5CC93D27"/>
    <w:rsid w:val="5CCA26AB"/>
    <w:rsid w:val="5CD94291"/>
    <w:rsid w:val="5CEE19DF"/>
    <w:rsid w:val="5D094A6B"/>
    <w:rsid w:val="5D126FB2"/>
    <w:rsid w:val="5D273260"/>
    <w:rsid w:val="5D3908EE"/>
    <w:rsid w:val="5D3C099D"/>
    <w:rsid w:val="5D4C7FC4"/>
    <w:rsid w:val="5D4D7217"/>
    <w:rsid w:val="5D521DF5"/>
    <w:rsid w:val="5D537A94"/>
    <w:rsid w:val="5D614D42"/>
    <w:rsid w:val="5D6725A8"/>
    <w:rsid w:val="5D753EAF"/>
    <w:rsid w:val="5D7734CC"/>
    <w:rsid w:val="5D83037A"/>
    <w:rsid w:val="5D8C4E0A"/>
    <w:rsid w:val="5DA43079"/>
    <w:rsid w:val="5DA6050C"/>
    <w:rsid w:val="5DAC504B"/>
    <w:rsid w:val="5DB402AB"/>
    <w:rsid w:val="5DBC388C"/>
    <w:rsid w:val="5DBE6B2B"/>
    <w:rsid w:val="5DC741A2"/>
    <w:rsid w:val="5DC76BF1"/>
    <w:rsid w:val="5DD155AC"/>
    <w:rsid w:val="5DDE3802"/>
    <w:rsid w:val="5DED1ED3"/>
    <w:rsid w:val="5DF57A1C"/>
    <w:rsid w:val="5DF87A0F"/>
    <w:rsid w:val="5E110F98"/>
    <w:rsid w:val="5E1524C9"/>
    <w:rsid w:val="5E157D61"/>
    <w:rsid w:val="5E554AE4"/>
    <w:rsid w:val="5E61553A"/>
    <w:rsid w:val="5E6A138B"/>
    <w:rsid w:val="5E6E48EE"/>
    <w:rsid w:val="5EA51C4A"/>
    <w:rsid w:val="5EA97EF5"/>
    <w:rsid w:val="5EAD75B7"/>
    <w:rsid w:val="5ECF718B"/>
    <w:rsid w:val="5ED15115"/>
    <w:rsid w:val="5ED20468"/>
    <w:rsid w:val="5ED846F5"/>
    <w:rsid w:val="5EED5F2A"/>
    <w:rsid w:val="5EEE5CC7"/>
    <w:rsid w:val="5F015EC1"/>
    <w:rsid w:val="5F172606"/>
    <w:rsid w:val="5F1A2B43"/>
    <w:rsid w:val="5F1B2B11"/>
    <w:rsid w:val="5F1D6E55"/>
    <w:rsid w:val="5F3D27AA"/>
    <w:rsid w:val="5F511076"/>
    <w:rsid w:val="5F543192"/>
    <w:rsid w:val="5F557AF4"/>
    <w:rsid w:val="5F887EC9"/>
    <w:rsid w:val="5F943A1C"/>
    <w:rsid w:val="5F9C5A4E"/>
    <w:rsid w:val="5FA103C5"/>
    <w:rsid w:val="5FA27952"/>
    <w:rsid w:val="5FA32F55"/>
    <w:rsid w:val="5FB45424"/>
    <w:rsid w:val="5FB63765"/>
    <w:rsid w:val="5FB837BB"/>
    <w:rsid w:val="5FBA239B"/>
    <w:rsid w:val="5FCF3D4A"/>
    <w:rsid w:val="5FD375C5"/>
    <w:rsid w:val="5FDC7C4C"/>
    <w:rsid w:val="5FE2771E"/>
    <w:rsid w:val="5FE5356E"/>
    <w:rsid w:val="5FED2422"/>
    <w:rsid w:val="5FFB4B3F"/>
    <w:rsid w:val="5FFE63DD"/>
    <w:rsid w:val="6002769D"/>
    <w:rsid w:val="600717C8"/>
    <w:rsid w:val="600D03CE"/>
    <w:rsid w:val="601E0862"/>
    <w:rsid w:val="602A71D2"/>
    <w:rsid w:val="602B4808"/>
    <w:rsid w:val="60310561"/>
    <w:rsid w:val="60335DCE"/>
    <w:rsid w:val="6037369D"/>
    <w:rsid w:val="60565AB4"/>
    <w:rsid w:val="60593614"/>
    <w:rsid w:val="60724A56"/>
    <w:rsid w:val="60783761"/>
    <w:rsid w:val="607B7A2E"/>
    <w:rsid w:val="60866132"/>
    <w:rsid w:val="60A50961"/>
    <w:rsid w:val="60A61919"/>
    <w:rsid w:val="60B37B76"/>
    <w:rsid w:val="60BB60FF"/>
    <w:rsid w:val="60C663C6"/>
    <w:rsid w:val="60D62ED2"/>
    <w:rsid w:val="60E02B13"/>
    <w:rsid w:val="60F17CF0"/>
    <w:rsid w:val="60F33058"/>
    <w:rsid w:val="60FB6F86"/>
    <w:rsid w:val="61113EEE"/>
    <w:rsid w:val="611352DC"/>
    <w:rsid w:val="611475C1"/>
    <w:rsid w:val="613A7976"/>
    <w:rsid w:val="61412A26"/>
    <w:rsid w:val="61497B2C"/>
    <w:rsid w:val="61561BDD"/>
    <w:rsid w:val="61571DE5"/>
    <w:rsid w:val="615F17FF"/>
    <w:rsid w:val="616042DE"/>
    <w:rsid w:val="616C4008"/>
    <w:rsid w:val="61722AAA"/>
    <w:rsid w:val="619E369E"/>
    <w:rsid w:val="61AD1CEC"/>
    <w:rsid w:val="61B07B09"/>
    <w:rsid w:val="61B43E7E"/>
    <w:rsid w:val="61B52BB6"/>
    <w:rsid w:val="61BB3566"/>
    <w:rsid w:val="61CA67F0"/>
    <w:rsid w:val="61EE47A6"/>
    <w:rsid w:val="61FA037D"/>
    <w:rsid w:val="62092B64"/>
    <w:rsid w:val="62123462"/>
    <w:rsid w:val="62137FEA"/>
    <w:rsid w:val="62160145"/>
    <w:rsid w:val="62224606"/>
    <w:rsid w:val="62364782"/>
    <w:rsid w:val="623A61BF"/>
    <w:rsid w:val="623F15C0"/>
    <w:rsid w:val="62426A55"/>
    <w:rsid w:val="62450161"/>
    <w:rsid w:val="625A7172"/>
    <w:rsid w:val="625F79DD"/>
    <w:rsid w:val="62703EA6"/>
    <w:rsid w:val="627E3805"/>
    <w:rsid w:val="62800B84"/>
    <w:rsid w:val="62816E52"/>
    <w:rsid w:val="62893717"/>
    <w:rsid w:val="628E1212"/>
    <w:rsid w:val="62910403"/>
    <w:rsid w:val="62920234"/>
    <w:rsid w:val="629504EF"/>
    <w:rsid w:val="62A377DA"/>
    <w:rsid w:val="62C423F5"/>
    <w:rsid w:val="62C60B1B"/>
    <w:rsid w:val="62D24247"/>
    <w:rsid w:val="62DA427C"/>
    <w:rsid w:val="62DD422B"/>
    <w:rsid w:val="62E01DCA"/>
    <w:rsid w:val="62E911F4"/>
    <w:rsid w:val="62E93049"/>
    <w:rsid w:val="630A6E47"/>
    <w:rsid w:val="63161C90"/>
    <w:rsid w:val="633220A8"/>
    <w:rsid w:val="636C365E"/>
    <w:rsid w:val="637D5D25"/>
    <w:rsid w:val="638662DB"/>
    <w:rsid w:val="63925285"/>
    <w:rsid w:val="639A229E"/>
    <w:rsid w:val="63A43294"/>
    <w:rsid w:val="63BD5E9E"/>
    <w:rsid w:val="63CE42B2"/>
    <w:rsid w:val="63D170AC"/>
    <w:rsid w:val="63D40BE9"/>
    <w:rsid w:val="63E0211F"/>
    <w:rsid w:val="63F20B78"/>
    <w:rsid w:val="63F27FC6"/>
    <w:rsid w:val="64061766"/>
    <w:rsid w:val="64065861"/>
    <w:rsid w:val="640B731B"/>
    <w:rsid w:val="641937E6"/>
    <w:rsid w:val="64247E7D"/>
    <w:rsid w:val="64300B2F"/>
    <w:rsid w:val="6434333E"/>
    <w:rsid w:val="644A511E"/>
    <w:rsid w:val="648044DD"/>
    <w:rsid w:val="64846D27"/>
    <w:rsid w:val="64864F67"/>
    <w:rsid w:val="64A1360B"/>
    <w:rsid w:val="64AA2690"/>
    <w:rsid w:val="64AF5A7D"/>
    <w:rsid w:val="64B51F64"/>
    <w:rsid w:val="64D37E39"/>
    <w:rsid w:val="64D80E00"/>
    <w:rsid w:val="64F61AFD"/>
    <w:rsid w:val="64F85562"/>
    <w:rsid w:val="64FC5F3B"/>
    <w:rsid w:val="64FD59C8"/>
    <w:rsid w:val="6500608B"/>
    <w:rsid w:val="65012A86"/>
    <w:rsid w:val="650731BD"/>
    <w:rsid w:val="65090ACC"/>
    <w:rsid w:val="65122383"/>
    <w:rsid w:val="65182F14"/>
    <w:rsid w:val="65373578"/>
    <w:rsid w:val="653B1766"/>
    <w:rsid w:val="653F3F71"/>
    <w:rsid w:val="655A2308"/>
    <w:rsid w:val="655C5B9D"/>
    <w:rsid w:val="655D5279"/>
    <w:rsid w:val="656F27E0"/>
    <w:rsid w:val="657B62F9"/>
    <w:rsid w:val="657C554C"/>
    <w:rsid w:val="657F0E42"/>
    <w:rsid w:val="65804A89"/>
    <w:rsid w:val="65890148"/>
    <w:rsid w:val="658904F7"/>
    <w:rsid w:val="658F073C"/>
    <w:rsid w:val="6593322E"/>
    <w:rsid w:val="659659BA"/>
    <w:rsid w:val="659F31C5"/>
    <w:rsid w:val="65A21F66"/>
    <w:rsid w:val="65AF68E4"/>
    <w:rsid w:val="65C3404D"/>
    <w:rsid w:val="65E252B4"/>
    <w:rsid w:val="65FD46BD"/>
    <w:rsid w:val="66157FDD"/>
    <w:rsid w:val="66245C68"/>
    <w:rsid w:val="662D27C2"/>
    <w:rsid w:val="662F72F1"/>
    <w:rsid w:val="663806DC"/>
    <w:rsid w:val="66443BC1"/>
    <w:rsid w:val="66476D2B"/>
    <w:rsid w:val="664C258A"/>
    <w:rsid w:val="66571890"/>
    <w:rsid w:val="666437C4"/>
    <w:rsid w:val="66691033"/>
    <w:rsid w:val="6672542F"/>
    <w:rsid w:val="667411A7"/>
    <w:rsid w:val="668B047A"/>
    <w:rsid w:val="669265A4"/>
    <w:rsid w:val="669F3353"/>
    <w:rsid w:val="66A03D4A"/>
    <w:rsid w:val="66A22C31"/>
    <w:rsid w:val="66AF0431"/>
    <w:rsid w:val="66B06D29"/>
    <w:rsid w:val="66B4266D"/>
    <w:rsid w:val="66BA1AA1"/>
    <w:rsid w:val="66BD4D81"/>
    <w:rsid w:val="66C16D5A"/>
    <w:rsid w:val="66C746BF"/>
    <w:rsid w:val="66C80D59"/>
    <w:rsid w:val="66D165FA"/>
    <w:rsid w:val="66F44096"/>
    <w:rsid w:val="66FA5A00"/>
    <w:rsid w:val="66FC2F4B"/>
    <w:rsid w:val="67024A05"/>
    <w:rsid w:val="6703252B"/>
    <w:rsid w:val="67080B97"/>
    <w:rsid w:val="67114C48"/>
    <w:rsid w:val="671771FC"/>
    <w:rsid w:val="672C5ED6"/>
    <w:rsid w:val="672F4040"/>
    <w:rsid w:val="673D2BE3"/>
    <w:rsid w:val="673F2C7A"/>
    <w:rsid w:val="674352E8"/>
    <w:rsid w:val="6744277B"/>
    <w:rsid w:val="675B18CF"/>
    <w:rsid w:val="675D7E8D"/>
    <w:rsid w:val="67602B70"/>
    <w:rsid w:val="676D784C"/>
    <w:rsid w:val="678E09C9"/>
    <w:rsid w:val="67A21D44"/>
    <w:rsid w:val="67A755AC"/>
    <w:rsid w:val="67B30DBF"/>
    <w:rsid w:val="67B4067F"/>
    <w:rsid w:val="67B72B89"/>
    <w:rsid w:val="67C044C4"/>
    <w:rsid w:val="67D75C7D"/>
    <w:rsid w:val="67E60D91"/>
    <w:rsid w:val="67EA66DC"/>
    <w:rsid w:val="67ED42D2"/>
    <w:rsid w:val="67ED62A0"/>
    <w:rsid w:val="67EE605C"/>
    <w:rsid w:val="680822C2"/>
    <w:rsid w:val="68107628"/>
    <w:rsid w:val="68110608"/>
    <w:rsid w:val="681905A9"/>
    <w:rsid w:val="681E586F"/>
    <w:rsid w:val="681F6961"/>
    <w:rsid w:val="6824679C"/>
    <w:rsid w:val="68263E9E"/>
    <w:rsid w:val="682A2B4E"/>
    <w:rsid w:val="682A3E4C"/>
    <w:rsid w:val="683F45C8"/>
    <w:rsid w:val="68433624"/>
    <w:rsid w:val="684568BD"/>
    <w:rsid w:val="68541AF0"/>
    <w:rsid w:val="68610625"/>
    <w:rsid w:val="68610A2F"/>
    <w:rsid w:val="686B2D87"/>
    <w:rsid w:val="68705E9E"/>
    <w:rsid w:val="68805514"/>
    <w:rsid w:val="68925915"/>
    <w:rsid w:val="6895357A"/>
    <w:rsid w:val="68B172D0"/>
    <w:rsid w:val="68BA0C4C"/>
    <w:rsid w:val="68BF2482"/>
    <w:rsid w:val="68C0638C"/>
    <w:rsid w:val="68C12039"/>
    <w:rsid w:val="68EA74FF"/>
    <w:rsid w:val="68EB77F4"/>
    <w:rsid w:val="68F15ADF"/>
    <w:rsid w:val="68F2667E"/>
    <w:rsid w:val="68F407E8"/>
    <w:rsid w:val="68F42334"/>
    <w:rsid w:val="69190D6C"/>
    <w:rsid w:val="691A6A93"/>
    <w:rsid w:val="692549DB"/>
    <w:rsid w:val="694110E9"/>
    <w:rsid w:val="69414BEB"/>
    <w:rsid w:val="6947438A"/>
    <w:rsid w:val="694E2071"/>
    <w:rsid w:val="696C60A7"/>
    <w:rsid w:val="697A3B33"/>
    <w:rsid w:val="69852CC0"/>
    <w:rsid w:val="698E4DD8"/>
    <w:rsid w:val="69981651"/>
    <w:rsid w:val="699B6A4B"/>
    <w:rsid w:val="699E2456"/>
    <w:rsid w:val="69A35DAC"/>
    <w:rsid w:val="69A71894"/>
    <w:rsid w:val="69B020F1"/>
    <w:rsid w:val="69BA2F49"/>
    <w:rsid w:val="69BB0E9B"/>
    <w:rsid w:val="69C04704"/>
    <w:rsid w:val="69E93615"/>
    <w:rsid w:val="69F86FD8"/>
    <w:rsid w:val="69FB12B4"/>
    <w:rsid w:val="69FE7AFB"/>
    <w:rsid w:val="6A040A94"/>
    <w:rsid w:val="6A3B3D8A"/>
    <w:rsid w:val="6A3B4022"/>
    <w:rsid w:val="6A520C1C"/>
    <w:rsid w:val="6A6432E1"/>
    <w:rsid w:val="6A6634FD"/>
    <w:rsid w:val="6A6E23B2"/>
    <w:rsid w:val="6A783485"/>
    <w:rsid w:val="6A793EE8"/>
    <w:rsid w:val="6A7E7ECA"/>
    <w:rsid w:val="6A8B35E2"/>
    <w:rsid w:val="6AAE27AE"/>
    <w:rsid w:val="6AB9187F"/>
    <w:rsid w:val="6ADA39E5"/>
    <w:rsid w:val="6AE6604A"/>
    <w:rsid w:val="6AF04A86"/>
    <w:rsid w:val="6B0013F8"/>
    <w:rsid w:val="6B092642"/>
    <w:rsid w:val="6B170353"/>
    <w:rsid w:val="6B2018FE"/>
    <w:rsid w:val="6B25424D"/>
    <w:rsid w:val="6B2A658B"/>
    <w:rsid w:val="6B304674"/>
    <w:rsid w:val="6B322639"/>
    <w:rsid w:val="6B336DF1"/>
    <w:rsid w:val="6B3B2294"/>
    <w:rsid w:val="6B4116A8"/>
    <w:rsid w:val="6B4F3F91"/>
    <w:rsid w:val="6B544BE8"/>
    <w:rsid w:val="6B554B39"/>
    <w:rsid w:val="6B572E46"/>
    <w:rsid w:val="6B6537B4"/>
    <w:rsid w:val="6B793B65"/>
    <w:rsid w:val="6B9407A4"/>
    <w:rsid w:val="6B9A6964"/>
    <w:rsid w:val="6B9B310B"/>
    <w:rsid w:val="6BA804F1"/>
    <w:rsid w:val="6BAF5978"/>
    <w:rsid w:val="6BB8040C"/>
    <w:rsid w:val="6BBF2EC5"/>
    <w:rsid w:val="6BC27CCC"/>
    <w:rsid w:val="6BD36970"/>
    <w:rsid w:val="6BD526E8"/>
    <w:rsid w:val="6BD6020E"/>
    <w:rsid w:val="6BD74A8A"/>
    <w:rsid w:val="6BDB3A77"/>
    <w:rsid w:val="6BFA214F"/>
    <w:rsid w:val="6C040838"/>
    <w:rsid w:val="6C164AAF"/>
    <w:rsid w:val="6C2063E9"/>
    <w:rsid w:val="6C244B8F"/>
    <w:rsid w:val="6C281E78"/>
    <w:rsid w:val="6C2D7CC0"/>
    <w:rsid w:val="6C354444"/>
    <w:rsid w:val="6C636C38"/>
    <w:rsid w:val="6C882E75"/>
    <w:rsid w:val="6C995996"/>
    <w:rsid w:val="6CA471F9"/>
    <w:rsid w:val="6CC80B73"/>
    <w:rsid w:val="6CCB7395"/>
    <w:rsid w:val="6CCF631B"/>
    <w:rsid w:val="6CD7604D"/>
    <w:rsid w:val="6CE75935"/>
    <w:rsid w:val="6D06067F"/>
    <w:rsid w:val="6D27790C"/>
    <w:rsid w:val="6D2D20B0"/>
    <w:rsid w:val="6D3939E9"/>
    <w:rsid w:val="6D39548B"/>
    <w:rsid w:val="6D401DE3"/>
    <w:rsid w:val="6D5910F7"/>
    <w:rsid w:val="6D615BF0"/>
    <w:rsid w:val="6D65499E"/>
    <w:rsid w:val="6D68651B"/>
    <w:rsid w:val="6D692581"/>
    <w:rsid w:val="6D77157D"/>
    <w:rsid w:val="6D8018C0"/>
    <w:rsid w:val="6D8447A3"/>
    <w:rsid w:val="6D943EDD"/>
    <w:rsid w:val="6D9739CD"/>
    <w:rsid w:val="6D9D3E65"/>
    <w:rsid w:val="6D9F4D61"/>
    <w:rsid w:val="6DA15D94"/>
    <w:rsid w:val="6DA854AB"/>
    <w:rsid w:val="6DB34098"/>
    <w:rsid w:val="6DB545B6"/>
    <w:rsid w:val="6DBC34E9"/>
    <w:rsid w:val="6DD95E87"/>
    <w:rsid w:val="6DDD3AD6"/>
    <w:rsid w:val="6DFB63D1"/>
    <w:rsid w:val="6DFF1AAA"/>
    <w:rsid w:val="6E054896"/>
    <w:rsid w:val="6E0C43BB"/>
    <w:rsid w:val="6E101FDB"/>
    <w:rsid w:val="6E114CBC"/>
    <w:rsid w:val="6E2A493C"/>
    <w:rsid w:val="6E4375A0"/>
    <w:rsid w:val="6E476CE6"/>
    <w:rsid w:val="6E514CED"/>
    <w:rsid w:val="6E546B28"/>
    <w:rsid w:val="6E5972F9"/>
    <w:rsid w:val="6E5C0E9F"/>
    <w:rsid w:val="6E66587A"/>
    <w:rsid w:val="6E777A87"/>
    <w:rsid w:val="6E79491A"/>
    <w:rsid w:val="6E7A7577"/>
    <w:rsid w:val="6E910B04"/>
    <w:rsid w:val="6E99523C"/>
    <w:rsid w:val="6EA168B2"/>
    <w:rsid w:val="6EA22C9D"/>
    <w:rsid w:val="6EA629DF"/>
    <w:rsid w:val="6EA713C0"/>
    <w:rsid w:val="6EB32A89"/>
    <w:rsid w:val="6EB563D5"/>
    <w:rsid w:val="6EB70D2E"/>
    <w:rsid w:val="6EBC4EEF"/>
    <w:rsid w:val="6EBC5CC2"/>
    <w:rsid w:val="6ED70525"/>
    <w:rsid w:val="6EE04E17"/>
    <w:rsid w:val="6EE63871"/>
    <w:rsid w:val="6EEE555E"/>
    <w:rsid w:val="6F0C162D"/>
    <w:rsid w:val="6F141745"/>
    <w:rsid w:val="6F225983"/>
    <w:rsid w:val="6F2D3F54"/>
    <w:rsid w:val="6F314F14"/>
    <w:rsid w:val="6F323937"/>
    <w:rsid w:val="6F332507"/>
    <w:rsid w:val="6F341AC6"/>
    <w:rsid w:val="6F347726"/>
    <w:rsid w:val="6F3C40BA"/>
    <w:rsid w:val="6F4A519B"/>
    <w:rsid w:val="6F4D6A39"/>
    <w:rsid w:val="6F5002D8"/>
    <w:rsid w:val="6F595014"/>
    <w:rsid w:val="6F6035E8"/>
    <w:rsid w:val="6F863CF9"/>
    <w:rsid w:val="6F981212"/>
    <w:rsid w:val="6FA26B6E"/>
    <w:rsid w:val="6FD33AC8"/>
    <w:rsid w:val="6FD60703"/>
    <w:rsid w:val="6FDA487E"/>
    <w:rsid w:val="6FE70C3C"/>
    <w:rsid w:val="6FED3D79"/>
    <w:rsid w:val="6FFC5590"/>
    <w:rsid w:val="701514FB"/>
    <w:rsid w:val="70196606"/>
    <w:rsid w:val="70230F84"/>
    <w:rsid w:val="702D253A"/>
    <w:rsid w:val="70301DA3"/>
    <w:rsid w:val="70390D6C"/>
    <w:rsid w:val="703C2604"/>
    <w:rsid w:val="704020FA"/>
    <w:rsid w:val="70626FA0"/>
    <w:rsid w:val="70666005"/>
    <w:rsid w:val="706C4DA0"/>
    <w:rsid w:val="706D1DD0"/>
    <w:rsid w:val="70765B1C"/>
    <w:rsid w:val="707D7387"/>
    <w:rsid w:val="70856B87"/>
    <w:rsid w:val="708A6EE4"/>
    <w:rsid w:val="70965512"/>
    <w:rsid w:val="709C4929"/>
    <w:rsid w:val="70A97C9F"/>
    <w:rsid w:val="70AC7AC8"/>
    <w:rsid w:val="70B11E33"/>
    <w:rsid w:val="70B64CD9"/>
    <w:rsid w:val="70B82EFE"/>
    <w:rsid w:val="70BC077B"/>
    <w:rsid w:val="70BC0FD8"/>
    <w:rsid w:val="70C20BC1"/>
    <w:rsid w:val="70CC398E"/>
    <w:rsid w:val="70D527EE"/>
    <w:rsid w:val="70D821BB"/>
    <w:rsid w:val="70E35747"/>
    <w:rsid w:val="70FA1AC9"/>
    <w:rsid w:val="70FA674D"/>
    <w:rsid w:val="71096990"/>
    <w:rsid w:val="71104C42"/>
    <w:rsid w:val="711710AD"/>
    <w:rsid w:val="712553E3"/>
    <w:rsid w:val="712811FA"/>
    <w:rsid w:val="713559D7"/>
    <w:rsid w:val="713E488C"/>
    <w:rsid w:val="713E621A"/>
    <w:rsid w:val="71431EA2"/>
    <w:rsid w:val="714D3D36"/>
    <w:rsid w:val="715B5300"/>
    <w:rsid w:val="715C6E4A"/>
    <w:rsid w:val="715F4BD7"/>
    <w:rsid w:val="716A690C"/>
    <w:rsid w:val="716C0A32"/>
    <w:rsid w:val="71704C61"/>
    <w:rsid w:val="71796B56"/>
    <w:rsid w:val="71901970"/>
    <w:rsid w:val="719247A3"/>
    <w:rsid w:val="71A2705B"/>
    <w:rsid w:val="71C07997"/>
    <w:rsid w:val="71CE33FE"/>
    <w:rsid w:val="71CE3DB3"/>
    <w:rsid w:val="71D15700"/>
    <w:rsid w:val="71D27F8A"/>
    <w:rsid w:val="71E93270"/>
    <w:rsid w:val="71F57082"/>
    <w:rsid w:val="71F744C6"/>
    <w:rsid w:val="71F960CF"/>
    <w:rsid w:val="720B597F"/>
    <w:rsid w:val="72165809"/>
    <w:rsid w:val="7228352D"/>
    <w:rsid w:val="722846D5"/>
    <w:rsid w:val="723569B5"/>
    <w:rsid w:val="723D2D95"/>
    <w:rsid w:val="72524930"/>
    <w:rsid w:val="725700A9"/>
    <w:rsid w:val="725A006F"/>
    <w:rsid w:val="725C35AF"/>
    <w:rsid w:val="726B5978"/>
    <w:rsid w:val="727069B4"/>
    <w:rsid w:val="727F164E"/>
    <w:rsid w:val="72880CC7"/>
    <w:rsid w:val="728E2F2C"/>
    <w:rsid w:val="72C1593C"/>
    <w:rsid w:val="72C62D8B"/>
    <w:rsid w:val="72CD735A"/>
    <w:rsid w:val="72D40796"/>
    <w:rsid w:val="72F84242"/>
    <w:rsid w:val="73075151"/>
    <w:rsid w:val="73092C77"/>
    <w:rsid w:val="731F5D5E"/>
    <w:rsid w:val="732C0351"/>
    <w:rsid w:val="732E463D"/>
    <w:rsid w:val="733936B7"/>
    <w:rsid w:val="734463A5"/>
    <w:rsid w:val="73481D55"/>
    <w:rsid w:val="734C6026"/>
    <w:rsid w:val="735F4F8D"/>
    <w:rsid w:val="73667C95"/>
    <w:rsid w:val="737427E7"/>
    <w:rsid w:val="73801EE2"/>
    <w:rsid w:val="73820B6A"/>
    <w:rsid w:val="73845B12"/>
    <w:rsid w:val="738B299C"/>
    <w:rsid w:val="739160BD"/>
    <w:rsid w:val="73B100BE"/>
    <w:rsid w:val="73B1517B"/>
    <w:rsid w:val="73B40E35"/>
    <w:rsid w:val="73C13552"/>
    <w:rsid w:val="73CE3DC7"/>
    <w:rsid w:val="73DB5D47"/>
    <w:rsid w:val="73DB7D6D"/>
    <w:rsid w:val="73EA052A"/>
    <w:rsid w:val="73EA125A"/>
    <w:rsid w:val="73EE7F93"/>
    <w:rsid w:val="73F456D6"/>
    <w:rsid w:val="73FF0247"/>
    <w:rsid w:val="741E793C"/>
    <w:rsid w:val="742D560F"/>
    <w:rsid w:val="74362D27"/>
    <w:rsid w:val="743E4BA3"/>
    <w:rsid w:val="745148D6"/>
    <w:rsid w:val="7452064E"/>
    <w:rsid w:val="745A3D0B"/>
    <w:rsid w:val="74654825"/>
    <w:rsid w:val="74674561"/>
    <w:rsid w:val="746A5998"/>
    <w:rsid w:val="746E5488"/>
    <w:rsid w:val="746F5C02"/>
    <w:rsid w:val="74713E21"/>
    <w:rsid w:val="74731DE2"/>
    <w:rsid w:val="748051BB"/>
    <w:rsid w:val="74834EFC"/>
    <w:rsid w:val="74915788"/>
    <w:rsid w:val="74A40E40"/>
    <w:rsid w:val="74AE3AD6"/>
    <w:rsid w:val="74B45308"/>
    <w:rsid w:val="74BA36E5"/>
    <w:rsid w:val="74CC6652"/>
    <w:rsid w:val="74D177C5"/>
    <w:rsid w:val="74D6302D"/>
    <w:rsid w:val="74E4399C"/>
    <w:rsid w:val="74EC45FF"/>
    <w:rsid w:val="74FA0ACC"/>
    <w:rsid w:val="74FE7ABF"/>
    <w:rsid w:val="750724A3"/>
    <w:rsid w:val="75083042"/>
    <w:rsid w:val="750A2CD7"/>
    <w:rsid w:val="750B5416"/>
    <w:rsid w:val="7518696C"/>
    <w:rsid w:val="751A6BE6"/>
    <w:rsid w:val="751B2BE0"/>
    <w:rsid w:val="751B4EE4"/>
    <w:rsid w:val="751C3E82"/>
    <w:rsid w:val="751D7874"/>
    <w:rsid w:val="7530523D"/>
    <w:rsid w:val="75306BE1"/>
    <w:rsid w:val="753635EA"/>
    <w:rsid w:val="75377E8E"/>
    <w:rsid w:val="754825D6"/>
    <w:rsid w:val="75506D74"/>
    <w:rsid w:val="75526B58"/>
    <w:rsid w:val="75583A65"/>
    <w:rsid w:val="755C6FB5"/>
    <w:rsid w:val="756248E8"/>
    <w:rsid w:val="756578D8"/>
    <w:rsid w:val="758D75E2"/>
    <w:rsid w:val="758E028C"/>
    <w:rsid w:val="758E56B6"/>
    <w:rsid w:val="759578A1"/>
    <w:rsid w:val="759D0B26"/>
    <w:rsid w:val="759D2601"/>
    <w:rsid w:val="759E0D5A"/>
    <w:rsid w:val="75A74793"/>
    <w:rsid w:val="75B91A18"/>
    <w:rsid w:val="75BB6755"/>
    <w:rsid w:val="75D643E4"/>
    <w:rsid w:val="75D94A2A"/>
    <w:rsid w:val="75DF5F11"/>
    <w:rsid w:val="75EE39E4"/>
    <w:rsid w:val="75EE71E5"/>
    <w:rsid w:val="75F70477"/>
    <w:rsid w:val="75FA688C"/>
    <w:rsid w:val="76050707"/>
    <w:rsid w:val="76064EEE"/>
    <w:rsid w:val="7613329E"/>
    <w:rsid w:val="76165DD7"/>
    <w:rsid w:val="76351E73"/>
    <w:rsid w:val="763C54EF"/>
    <w:rsid w:val="76402E54"/>
    <w:rsid w:val="7647594D"/>
    <w:rsid w:val="764F753B"/>
    <w:rsid w:val="765C0588"/>
    <w:rsid w:val="765E32DA"/>
    <w:rsid w:val="766C10A8"/>
    <w:rsid w:val="76811CB7"/>
    <w:rsid w:val="76854D0B"/>
    <w:rsid w:val="76A20C6A"/>
    <w:rsid w:val="76A42CBE"/>
    <w:rsid w:val="76D450EA"/>
    <w:rsid w:val="76E6322A"/>
    <w:rsid w:val="76E87C8D"/>
    <w:rsid w:val="76EC6B38"/>
    <w:rsid w:val="76F81981"/>
    <w:rsid w:val="77003D79"/>
    <w:rsid w:val="770B36B0"/>
    <w:rsid w:val="77122E6F"/>
    <w:rsid w:val="77237793"/>
    <w:rsid w:val="77244524"/>
    <w:rsid w:val="772F7165"/>
    <w:rsid w:val="77357121"/>
    <w:rsid w:val="773D7394"/>
    <w:rsid w:val="77422BFC"/>
    <w:rsid w:val="77533239"/>
    <w:rsid w:val="77701517"/>
    <w:rsid w:val="77762421"/>
    <w:rsid w:val="77846D70"/>
    <w:rsid w:val="779571D0"/>
    <w:rsid w:val="77B425C1"/>
    <w:rsid w:val="77B92EBE"/>
    <w:rsid w:val="77BC4882"/>
    <w:rsid w:val="77C52B3F"/>
    <w:rsid w:val="77CB2BF1"/>
    <w:rsid w:val="77D01FB6"/>
    <w:rsid w:val="77D311C4"/>
    <w:rsid w:val="77D46745"/>
    <w:rsid w:val="77DF70D2"/>
    <w:rsid w:val="77E31545"/>
    <w:rsid w:val="77E5555E"/>
    <w:rsid w:val="77E90D1D"/>
    <w:rsid w:val="78006D3F"/>
    <w:rsid w:val="780279D0"/>
    <w:rsid w:val="78032B1D"/>
    <w:rsid w:val="780C63D5"/>
    <w:rsid w:val="780E5319"/>
    <w:rsid w:val="780F09F4"/>
    <w:rsid w:val="782347DB"/>
    <w:rsid w:val="78414E04"/>
    <w:rsid w:val="78544995"/>
    <w:rsid w:val="785E4C41"/>
    <w:rsid w:val="7860158C"/>
    <w:rsid w:val="78681E74"/>
    <w:rsid w:val="78686E6C"/>
    <w:rsid w:val="787E5EB6"/>
    <w:rsid w:val="788A03C1"/>
    <w:rsid w:val="7892370F"/>
    <w:rsid w:val="789C4F47"/>
    <w:rsid w:val="78A90480"/>
    <w:rsid w:val="78B05F90"/>
    <w:rsid w:val="78B544CE"/>
    <w:rsid w:val="78B81D2B"/>
    <w:rsid w:val="78C20C10"/>
    <w:rsid w:val="78D41F79"/>
    <w:rsid w:val="78D930EC"/>
    <w:rsid w:val="78DD4999"/>
    <w:rsid w:val="78F16A78"/>
    <w:rsid w:val="7902732C"/>
    <w:rsid w:val="790E0FE8"/>
    <w:rsid w:val="79143C8D"/>
    <w:rsid w:val="7931480B"/>
    <w:rsid w:val="793F513C"/>
    <w:rsid w:val="794159AF"/>
    <w:rsid w:val="794B7624"/>
    <w:rsid w:val="79505FF5"/>
    <w:rsid w:val="79574BB9"/>
    <w:rsid w:val="795D3D1D"/>
    <w:rsid w:val="79652BD2"/>
    <w:rsid w:val="79661826"/>
    <w:rsid w:val="79747B16"/>
    <w:rsid w:val="797B41A3"/>
    <w:rsid w:val="79811327"/>
    <w:rsid w:val="79893F56"/>
    <w:rsid w:val="79985D3C"/>
    <w:rsid w:val="79A851F6"/>
    <w:rsid w:val="79B10E72"/>
    <w:rsid w:val="79BB6397"/>
    <w:rsid w:val="79C42BF2"/>
    <w:rsid w:val="79CF4C55"/>
    <w:rsid w:val="79DA5183"/>
    <w:rsid w:val="79DC212C"/>
    <w:rsid w:val="79E03564"/>
    <w:rsid w:val="79E263BE"/>
    <w:rsid w:val="7A2523DC"/>
    <w:rsid w:val="7A30147C"/>
    <w:rsid w:val="7A364017"/>
    <w:rsid w:val="7A374F60"/>
    <w:rsid w:val="7A4606C0"/>
    <w:rsid w:val="7A546ECE"/>
    <w:rsid w:val="7A5B5C9A"/>
    <w:rsid w:val="7A5E5F9F"/>
    <w:rsid w:val="7A6170E9"/>
    <w:rsid w:val="7A6730A5"/>
    <w:rsid w:val="7A736149"/>
    <w:rsid w:val="7A7E738E"/>
    <w:rsid w:val="7A804986"/>
    <w:rsid w:val="7A8265E1"/>
    <w:rsid w:val="7AA44D6F"/>
    <w:rsid w:val="7AAF5F9D"/>
    <w:rsid w:val="7AC82E68"/>
    <w:rsid w:val="7AE61F5D"/>
    <w:rsid w:val="7AED4D37"/>
    <w:rsid w:val="7AF4245F"/>
    <w:rsid w:val="7AF45459"/>
    <w:rsid w:val="7AFF3546"/>
    <w:rsid w:val="7B000E04"/>
    <w:rsid w:val="7B001352"/>
    <w:rsid w:val="7B2E0210"/>
    <w:rsid w:val="7B334D35"/>
    <w:rsid w:val="7B4011CA"/>
    <w:rsid w:val="7B4E7DC1"/>
    <w:rsid w:val="7B5729A1"/>
    <w:rsid w:val="7B5C30F3"/>
    <w:rsid w:val="7B662A47"/>
    <w:rsid w:val="7B686D42"/>
    <w:rsid w:val="7B6B0973"/>
    <w:rsid w:val="7B7018CD"/>
    <w:rsid w:val="7B7E0F1D"/>
    <w:rsid w:val="7B841746"/>
    <w:rsid w:val="7B8A3C04"/>
    <w:rsid w:val="7B94437C"/>
    <w:rsid w:val="7B996068"/>
    <w:rsid w:val="7B9D2AF7"/>
    <w:rsid w:val="7B9F38B8"/>
    <w:rsid w:val="7BA25AF5"/>
    <w:rsid w:val="7BA67BFD"/>
    <w:rsid w:val="7BA7178A"/>
    <w:rsid w:val="7BAD61AB"/>
    <w:rsid w:val="7BCD37FD"/>
    <w:rsid w:val="7BD70348"/>
    <w:rsid w:val="7BD75A22"/>
    <w:rsid w:val="7BDA53C6"/>
    <w:rsid w:val="7BDD1CD9"/>
    <w:rsid w:val="7C09004F"/>
    <w:rsid w:val="7C0B7A60"/>
    <w:rsid w:val="7C0F5C02"/>
    <w:rsid w:val="7C120A28"/>
    <w:rsid w:val="7C1745DC"/>
    <w:rsid w:val="7C190C71"/>
    <w:rsid w:val="7C293F7D"/>
    <w:rsid w:val="7C2B1EB0"/>
    <w:rsid w:val="7C50328D"/>
    <w:rsid w:val="7C5E5DE2"/>
    <w:rsid w:val="7C640F3A"/>
    <w:rsid w:val="7C6B6751"/>
    <w:rsid w:val="7C7D3129"/>
    <w:rsid w:val="7C7E7CDC"/>
    <w:rsid w:val="7C80044E"/>
    <w:rsid w:val="7C83018E"/>
    <w:rsid w:val="7C991510"/>
    <w:rsid w:val="7C9C205F"/>
    <w:rsid w:val="7CB81B01"/>
    <w:rsid w:val="7CC73618"/>
    <w:rsid w:val="7CD21154"/>
    <w:rsid w:val="7CE107C1"/>
    <w:rsid w:val="7CE36030"/>
    <w:rsid w:val="7CEF35A8"/>
    <w:rsid w:val="7CEF4EDF"/>
    <w:rsid w:val="7D0239FF"/>
    <w:rsid w:val="7D0950D4"/>
    <w:rsid w:val="7D16490F"/>
    <w:rsid w:val="7D1C455C"/>
    <w:rsid w:val="7D1D4A9A"/>
    <w:rsid w:val="7D1E66C8"/>
    <w:rsid w:val="7D325B00"/>
    <w:rsid w:val="7D360B0D"/>
    <w:rsid w:val="7D3B0787"/>
    <w:rsid w:val="7D3F6BF9"/>
    <w:rsid w:val="7D513085"/>
    <w:rsid w:val="7D5E40CD"/>
    <w:rsid w:val="7D60202E"/>
    <w:rsid w:val="7D637428"/>
    <w:rsid w:val="7D6438CC"/>
    <w:rsid w:val="7D686730"/>
    <w:rsid w:val="7D693BED"/>
    <w:rsid w:val="7D8349B7"/>
    <w:rsid w:val="7D852E31"/>
    <w:rsid w:val="7D8762D6"/>
    <w:rsid w:val="7D9107CC"/>
    <w:rsid w:val="7D926232"/>
    <w:rsid w:val="7D9D2EC1"/>
    <w:rsid w:val="7DA55C93"/>
    <w:rsid w:val="7DAF3037"/>
    <w:rsid w:val="7DB248FE"/>
    <w:rsid w:val="7DB67D66"/>
    <w:rsid w:val="7DCB0F2F"/>
    <w:rsid w:val="7DDA1DE0"/>
    <w:rsid w:val="7DE82A78"/>
    <w:rsid w:val="7DF97BAF"/>
    <w:rsid w:val="7E0D62E5"/>
    <w:rsid w:val="7E153A97"/>
    <w:rsid w:val="7E176435"/>
    <w:rsid w:val="7E4436FD"/>
    <w:rsid w:val="7E4C610E"/>
    <w:rsid w:val="7E4E5E2B"/>
    <w:rsid w:val="7E50388F"/>
    <w:rsid w:val="7E53749D"/>
    <w:rsid w:val="7E5C03AE"/>
    <w:rsid w:val="7E71755F"/>
    <w:rsid w:val="7E751B09"/>
    <w:rsid w:val="7E7D13F7"/>
    <w:rsid w:val="7E7F64E4"/>
    <w:rsid w:val="7E8C21E9"/>
    <w:rsid w:val="7E940AD2"/>
    <w:rsid w:val="7EA128FE"/>
    <w:rsid w:val="7EA47930"/>
    <w:rsid w:val="7EA6304A"/>
    <w:rsid w:val="7EA70EE7"/>
    <w:rsid w:val="7EAB701C"/>
    <w:rsid w:val="7EB81D96"/>
    <w:rsid w:val="7ECD54A1"/>
    <w:rsid w:val="7EDD319B"/>
    <w:rsid w:val="7EF14CDF"/>
    <w:rsid w:val="7EFE565A"/>
    <w:rsid w:val="7F0A7EBE"/>
    <w:rsid w:val="7F0B407F"/>
    <w:rsid w:val="7F0C5FC9"/>
    <w:rsid w:val="7F151CF2"/>
    <w:rsid w:val="7F1E7D70"/>
    <w:rsid w:val="7F2344A4"/>
    <w:rsid w:val="7F310BCD"/>
    <w:rsid w:val="7F341449"/>
    <w:rsid w:val="7F381E72"/>
    <w:rsid w:val="7F4C231C"/>
    <w:rsid w:val="7F5434CC"/>
    <w:rsid w:val="7F6106E9"/>
    <w:rsid w:val="7F7C54AB"/>
    <w:rsid w:val="7F8B6823"/>
    <w:rsid w:val="7F8B7390"/>
    <w:rsid w:val="7F9F1206"/>
    <w:rsid w:val="7FBB64BE"/>
    <w:rsid w:val="7FD0254C"/>
    <w:rsid w:val="7FDE6BF8"/>
    <w:rsid w:val="7FE120DC"/>
    <w:rsid w:val="7FE47E50"/>
    <w:rsid w:val="7FF35A7C"/>
    <w:rsid w:val="7FFE3C0B"/>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ocked="1"/>
    <w:lsdException w:qFormat="1" w:unhideWhenUsed="0" w:uiPriority="0" w:semiHidden="0" w:name="heading 3" w:locked="1"/>
    <w:lsdException w:qFormat="1" w:unhideWhenUsed="0"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ocked="1"/>
    <w:lsdException w:qFormat="1"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ocked="1"/>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ocked="1"/>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ocked="1"/>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ocked="1"/>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3"/>
    <w:basedOn w:val="1"/>
    <w:next w:val="1"/>
    <w:qFormat/>
    <w:locked/>
    <w:uiPriority w:val="0"/>
    <w:pPr>
      <w:keepNext/>
      <w:keepLines/>
      <w:adjustRightInd/>
      <w:snapToGrid/>
      <w:spacing w:before="60" w:after="60" w:line="360" w:lineRule="auto"/>
      <w:ind w:firstLine="0" w:firstLineChars="0"/>
      <w:outlineLvl w:val="2"/>
    </w:pPr>
    <w:rPr>
      <w:rFonts w:eastAsia="黑体"/>
      <w:sz w:val="24"/>
    </w:rPr>
  </w:style>
  <w:style w:type="paragraph" w:styleId="4">
    <w:name w:val="heading 4"/>
    <w:basedOn w:val="1"/>
    <w:next w:val="1"/>
    <w:qFormat/>
    <w:locked/>
    <w:uiPriority w:val="0"/>
    <w:pPr>
      <w:keepNext/>
      <w:ind w:firstLine="0" w:firstLineChars="0"/>
      <w:outlineLvl w:val="3"/>
    </w:pPr>
    <w:rPr>
      <w:rFonts w:ascii="Times New Roman" w:hAnsi="Times New Roman"/>
      <w:szCs w:val="28"/>
    </w:rPr>
  </w:style>
  <w:style w:type="character" w:default="1" w:styleId="20">
    <w:name w:val="Default Paragraph Font"/>
    <w:semiHidden/>
    <w:qFormat/>
    <w:uiPriority w:val="0"/>
    <w:rPr>
      <w:rFonts w:ascii="Times New Roman" w:hAnsi="Times New Roman" w:eastAsia="宋体"/>
      <w:sz w:val="21"/>
      <w:szCs w:val="21"/>
    </w:rPr>
  </w:style>
  <w:style w:type="table" w:default="1" w:styleId="18">
    <w:name w:val="Normal Table"/>
    <w:semiHidden/>
    <w:qFormat/>
    <w:uiPriority w:val="0"/>
    <w:tblPr>
      <w:tblCellMar>
        <w:top w:w="0" w:type="dxa"/>
        <w:left w:w="108" w:type="dxa"/>
        <w:bottom w:w="0" w:type="dxa"/>
        <w:right w:w="108" w:type="dxa"/>
      </w:tblCellMar>
    </w:tblPr>
  </w:style>
  <w:style w:type="paragraph" w:styleId="5">
    <w:name w:val="table of authorities"/>
    <w:basedOn w:val="1"/>
    <w:next w:val="1"/>
    <w:qFormat/>
    <w:uiPriority w:val="0"/>
    <w:pPr>
      <w:spacing w:line="360" w:lineRule="auto"/>
      <w:ind w:left="420" w:leftChars="200" w:firstLine="640" w:firstLineChars="200"/>
    </w:pPr>
    <w:rPr>
      <w:sz w:val="24"/>
      <w:szCs w:val="24"/>
    </w:rPr>
  </w:style>
  <w:style w:type="paragraph" w:styleId="6">
    <w:name w:val="Normal Indent"/>
    <w:basedOn w:val="1"/>
    <w:qFormat/>
    <w:uiPriority w:val="0"/>
    <w:pPr>
      <w:spacing w:line="360" w:lineRule="auto"/>
      <w:ind w:firstLine="420" w:firstLineChars="200"/>
    </w:pPr>
    <w:rPr>
      <w:sz w:val="24"/>
      <w:szCs w:val="22"/>
    </w:rPr>
  </w:style>
  <w:style w:type="paragraph" w:styleId="7">
    <w:name w:val="annotation text"/>
    <w:basedOn w:val="1"/>
    <w:link w:val="23"/>
    <w:qFormat/>
    <w:uiPriority w:val="0"/>
    <w:pPr>
      <w:jc w:val="left"/>
    </w:pPr>
  </w:style>
  <w:style w:type="paragraph" w:styleId="8">
    <w:name w:val="Body Text"/>
    <w:basedOn w:val="1"/>
    <w:next w:val="9"/>
    <w:qFormat/>
    <w:uiPriority w:val="0"/>
    <w:pPr>
      <w:widowControl/>
      <w:snapToGrid/>
      <w:spacing w:line="288" w:lineRule="auto"/>
      <w:ind w:right="0"/>
    </w:pPr>
    <w:rPr>
      <w:rFonts w:ascii="Times New Roman" w:hAnsi="Times New Roman" w:eastAsia="宋体" w:cs="Times New Roman"/>
      <w:kern w:val="0"/>
      <w:sz w:val="21"/>
      <w:szCs w:val="21"/>
    </w:rPr>
  </w:style>
  <w:style w:type="paragraph" w:styleId="9">
    <w:name w:val="toc 2"/>
    <w:basedOn w:val="1"/>
    <w:next w:val="1"/>
    <w:qFormat/>
    <w:locked/>
    <w:uiPriority w:val="0"/>
    <w:pPr>
      <w:ind w:left="420" w:leftChars="200"/>
    </w:pPr>
  </w:style>
  <w:style w:type="paragraph" w:styleId="10">
    <w:name w:val="Body Text Indent"/>
    <w:basedOn w:val="1"/>
    <w:next w:val="8"/>
    <w:unhideWhenUsed/>
    <w:qFormat/>
    <w:uiPriority w:val="0"/>
    <w:pPr>
      <w:spacing w:after="120"/>
      <w:ind w:left="420" w:leftChars="200"/>
    </w:pPr>
    <w:rPr>
      <w:kern w:val="0"/>
      <w:sz w:val="28"/>
      <w:szCs w:val="20"/>
    </w:rPr>
  </w:style>
  <w:style w:type="paragraph" w:styleId="11">
    <w:name w:val="Balloon Text"/>
    <w:basedOn w:val="1"/>
    <w:link w:val="24"/>
    <w:qFormat/>
    <w:uiPriority w:val="0"/>
    <w:pPr>
      <w:spacing w:line="240" w:lineRule="auto"/>
    </w:pPr>
    <w:rPr>
      <w:sz w:val="18"/>
      <w:szCs w:val="18"/>
    </w:r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locked/>
    <w:uiPriority w:val="0"/>
  </w:style>
  <w:style w:type="paragraph" w:styleId="15">
    <w:name w:val="Normal (Web)"/>
    <w:basedOn w:val="1"/>
    <w:qFormat/>
    <w:uiPriority w:val="0"/>
    <w:pPr>
      <w:spacing w:before="100" w:beforeAutospacing="1" w:after="100" w:afterAutospacing="1"/>
      <w:ind w:left="0" w:right="0"/>
      <w:jc w:val="left"/>
    </w:pPr>
    <w:rPr>
      <w:kern w:val="0"/>
      <w:sz w:val="24"/>
      <w:lang w:val="en-US" w:eastAsia="zh-CN" w:bidi="ar"/>
    </w:rPr>
  </w:style>
  <w:style w:type="paragraph" w:styleId="16">
    <w:name w:val="Body Text First Indent"/>
    <w:basedOn w:val="8"/>
    <w:next w:val="1"/>
    <w:qFormat/>
    <w:uiPriority w:val="0"/>
    <w:pPr>
      <w:spacing w:after="120" w:line="240" w:lineRule="auto"/>
      <w:ind w:firstLine="420" w:firstLineChars="100"/>
      <w:jc w:val="both"/>
    </w:pPr>
  </w:style>
  <w:style w:type="paragraph" w:styleId="17">
    <w:name w:val="Body Text First Indent 2"/>
    <w:basedOn w:val="10"/>
    <w:next w:val="8"/>
    <w:qFormat/>
    <w:uiPriority w:val="0"/>
    <w:pPr>
      <w:spacing w:line="360" w:lineRule="auto"/>
      <w:ind w:firstLine="420" w:firstLineChars="200"/>
    </w:pPr>
    <w:rPr>
      <w:sz w:val="20"/>
    </w:rPr>
  </w:style>
  <w:style w:type="table" w:styleId="19">
    <w:name w:val="Table Grid"/>
    <w:basedOn w:val="18"/>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annotation reference"/>
    <w:qFormat/>
    <w:uiPriority w:val="0"/>
    <w:rPr>
      <w:rFonts w:ascii="Times New Roman" w:hAnsi="Times New Roman" w:eastAsia="宋体"/>
      <w:sz w:val="21"/>
      <w:szCs w:val="21"/>
    </w:rPr>
  </w:style>
  <w:style w:type="character" w:customStyle="1" w:styleId="23">
    <w:name w:val="批注文字 Char"/>
    <w:link w:val="7"/>
    <w:qFormat/>
    <w:uiPriority w:val="0"/>
    <w:rPr>
      <w:rFonts w:ascii="Times New Roman" w:hAnsi="Times New Roman" w:eastAsia="宋体"/>
      <w:kern w:val="2"/>
      <w:sz w:val="24"/>
      <w:szCs w:val="24"/>
    </w:rPr>
  </w:style>
  <w:style w:type="character" w:customStyle="1" w:styleId="24">
    <w:name w:val="批注框文本 Char"/>
    <w:link w:val="11"/>
    <w:qFormat/>
    <w:uiPriority w:val="0"/>
    <w:rPr>
      <w:rFonts w:ascii="Times New Roman" w:hAnsi="Times New Roman" w:eastAsia="宋体"/>
      <w:kern w:val="2"/>
      <w:sz w:val="18"/>
      <w:szCs w:val="18"/>
    </w:rPr>
  </w:style>
  <w:style w:type="paragraph" w:customStyle="1" w:styleId="25">
    <w:name w:val="xl27"/>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szCs w:val="21"/>
    </w:rPr>
  </w:style>
  <w:style w:type="paragraph" w:customStyle="1" w:styleId="26">
    <w:name w:val="Normal (Web)1"/>
    <w:basedOn w:val="1"/>
    <w:next w:val="27"/>
    <w:qFormat/>
    <w:uiPriority w:val="0"/>
    <w:pPr>
      <w:widowControl/>
    </w:pPr>
    <w:rPr>
      <w:rFonts w:ascii="宋体" w:eastAsia="宋体" w:cs="Times New Roman"/>
      <w:sz w:val="24"/>
      <w:szCs w:val="21"/>
    </w:rPr>
  </w:style>
  <w:style w:type="paragraph" w:customStyle="1" w:styleId="27">
    <w:name w:val="Date1"/>
    <w:basedOn w:val="1"/>
    <w:next w:val="1"/>
    <w:qFormat/>
    <w:uiPriority w:val="0"/>
    <w:pPr>
      <w:ind w:left="2500" w:leftChars="2500"/>
    </w:pPr>
  </w:style>
  <w:style w:type="paragraph" w:customStyle="1" w:styleId="28">
    <w:name w:val="表头、图名"/>
    <w:basedOn w:val="1"/>
    <w:next w:val="1"/>
    <w:qFormat/>
    <w:uiPriority w:val="0"/>
    <w:pPr>
      <w:ind w:firstLine="0" w:firstLineChars="0"/>
      <w:jc w:val="center"/>
    </w:pPr>
    <w:rPr>
      <w:rFonts w:hint="eastAsia" w:ascii="Times New Roman" w:hAnsi="Times New Roman" w:eastAsia="黑体" w:cs="Times New Roman"/>
    </w:rPr>
  </w:style>
  <w:style w:type="paragraph" w:customStyle="1" w:styleId="29">
    <w:name w:val="表格内文字"/>
    <w:basedOn w:val="1"/>
    <w:qFormat/>
    <w:uiPriority w:val="0"/>
    <w:pPr>
      <w:spacing w:line="240" w:lineRule="auto"/>
      <w:ind w:firstLine="0" w:firstLineChars="0"/>
      <w:jc w:val="center"/>
    </w:pPr>
    <w:rPr>
      <w:rFonts w:hint="eastAsia"/>
      <w:color w:val="000000"/>
      <w:sz w:val="21"/>
      <w:szCs w:val="21"/>
    </w:rPr>
  </w:style>
  <w:style w:type="paragraph" w:customStyle="1" w:styleId="30">
    <w:name w:val="报告表标题"/>
    <w:basedOn w:val="1"/>
    <w:qFormat/>
    <w:uiPriority w:val="0"/>
    <w:pPr>
      <w:ind w:firstLine="0" w:firstLineChars="0"/>
      <w:jc w:val="center"/>
      <w:outlineLvl w:val="0"/>
    </w:pPr>
    <w:rPr>
      <w:rFonts w:hint="eastAsia" w:ascii="方正小标宋_GBK" w:hAnsi="方正小标宋_GBK" w:eastAsia="方正小标宋_GBK"/>
      <w:bCs/>
      <w:sz w:val="72"/>
      <w:szCs w:val="72"/>
    </w:rPr>
  </w:style>
  <w:style w:type="paragraph" w:customStyle="1" w:styleId="31">
    <w:name w:val="报告表一级标题"/>
    <w:basedOn w:val="1"/>
    <w:link w:val="32"/>
    <w:qFormat/>
    <w:uiPriority w:val="0"/>
    <w:pPr>
      <w:ind w:firstLine="0" w:firstLineChars="0"/>
      <w:jc w:val="center"/>
      <w:outlineLvl w:val="1"/>
    </w:pPr>
    <w:rPr>
      <w:rFonts w:hint="eastAsia" w:ascii="Times New Roman" w:hAnsi="Times New Roman" w:eastAsia="黑体"/>
      <w:snapToGrid w:val="0"/>
      <w:sz w:val="30"/>
      <w:szCs w:val="30"/>
    </w:rPr>
  </w:style>
  <w:style w:type="character" w:customStyle="1" w:styleId="32">
    <w:name w:val="报告表一级标题 Char"/>
    <w:link w:val="31"/>
    <w:qFormat/>
    <w:uiPriority w:val="0"/>
    <w:rPr>
      <w:rFonts w:hint="eastAsia" w:ascii="Times New Roman" w:hAnsi="Times New Roman" w:eastAsia="黑体"/>
      <w:snapToGrid w:val="0"/>
      <w:sz w:val="30"/>
      <w:szCs w:val="30"/>
    </w:rPr>
  </w:style>
  <w:style w:type="paragraph" w:customStyle="1" w:styleId="33">
    <w:name w:val="报告表中表格文字"/>
    <w:basedOn w:val="1"/>
    <w:qFormat/>
    <w:uiPriority w:val="0"/>
    <w:pPr>
      <w:adjustRightInd/>
      <w:snapToGrid/>
      <w:spacing w:line="288" w:lineRule="auto"/>
      <w:ind w:firstLine="0" w:firstLineChars="0"/>
      <w:jc w:val="center"/>
    </w:pPr>
    <w:rPr>
      <w:rFonts w:hint="eastAsia" w:cs="Times New Roman"/>
      <w:sz w:val="21"/>
      <w:szCs w:val="21"/>
    </w:rPr>
  </w:style>
  <w:style w:type="paragraph" w:customStyle="1" w:styleId="34">
    <w:name w:val="报告表内文字"/>
    <w:basedOn w:val="1"/>
    <w:qFormat/>
    <w:uiPriority w:val="0"/>
    <w:pPr>
      <w:adjustRightInd/>
      <w:snapToGrid/>
      <w:jc w:val="both"/>
    </w:pPr>
    <w:rPr>
      <w:rFonts w:hint="eastAsia" w:cs="Times New Roman"/>
    </w:rPr>
  </w:style>
  <w:style w:type="paragraph" w:customStyle="1" w:styleId="35">
    <w:name w:val="Default"/>
    <w:basedOn w:val="36"/>
    <w:next w:val="1"/>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customStyle="1" w:styleId="36">
    <w:name w:val="纯文本1"/>
    <w:qFormat/>
    <w:uiPriority w:val="0"/>
    <w:pPr>
      <w:adjustRightInd w:val="0"/>
      <w:jc w:val="center"/>
      <w:textAlignment w:val="baseline"/>
    </w:pPr>
    <w:rPr>
      <w:rFonts w:ascii="宋体" w:hAnsi="Courier New" w:eastAsia="宋体" w:cs="Times New Roman"/>
      <w:sz w:val="24"/>
      <w:lang w:val="en-US" w:eastAsia="zh-CN" w:bidi="ar-SA"/>
    </w:rPr>
  </w:style>
  <w:style w:type="paragraph" w:customStyle="1" w:styleId="37">
    <w:name w:val="报告表中居中文字（1倍行距）"/>
    <w:basedOn w:val="1"/>
    <w:qFormat/>
    <w:uiPriority w:val="0"/>
    <w:pPr>
      <w:adjustRightInd/>
      <w:snapToGrid/>
      <w:spacing w:line="240" w:lineRule="auto"/>
      <w:ind w:firstLine="0" w:firstLineChars="0"/>
      <w:jc w:val="center"/>
    </w:pPr>
    <w:rPr>
      <w:rFonts w:hint="eastAsia" w:cs="Times New Roman"/>
    </w:rPr>
  </w:style>
  <w:style w:type="paragraph" w:customStyle="1" w:styleId="38">
    <w:name w:val="报告表中居中文字（1.2倍行距）"/>
    <w:basedOn w:val="1"/>
    <w:qFormat/>
    <w:uiPriority w:val="0"/>
    <w:pPr>
      <w:spacing w:line="288" w:lineRule="auto"/>
      <w:ind w:firstLine="0" w:firstLineChars="0"/>
      <w:jc w:val="center"/>
    </w:pPr>
    <w:rPr>
      <w:rFonts w:hint="eastAsia" w:cs="Times New Roman"/>
    </w:rPr>
  </w:style>
  <w:style w:type="paragraph" w:customStyle="1" w:styleId="39">
    <w:name w:val="图注"/>
    <w:basedOn w:val="1"/>
    <w:qFormat/>
    <w:uiPriority w:val="0"/>
    <w:pPr>
      <w:jc w:val="center"/>
    </w:pPr>
    <w:rPr>
      <w:rFonts w:ascii="Times New Roman" w:hAnsi="Times New Roman" w:eastAsia="黑体" w:cs="Times New Roman"/>
    </w:rPr>
  </w:style>
  <w:style w:type="paragraph" w:customStyle="1" w:styleId="40">
    <w:name w:val="图表"/>
    <w:basedOn w:val="1"/>
    <w:next w:val="1"/>
    <w:qFormat/>
    <w:uiPriority w:val="0"/>
    <w:pPr>
      <w:ind w:firstLine="0" w:firstLineChars="0"/>
      <w:jc w:val="center"/>
    </w:pPr>
    <w:rPr>
      <w:rFonts w:eastAsia="黑体"/>
    </w:rPr>
  </w:style>
  <w:style w:type="paragraph" w:customStyle="1" w:styleId="41">
    <w:name w:val="正文（首行缩进两字） Char"/>
    <w:basedOn w:val="1"/>
    <w:qFormat/>
    <w:uiPriority w:val="0"/>
    <w:pPr>
      <w:widowControl/>
      <w:spacing w:line="360" w:lineRule="auto"/>
      <w:ind w:firstLine="420"/>
      <w:jc w:val="both"/>
    </w:pPr>
    <w:rPr>
      <w:rFonts w:ascii="Times New Roman" w:eastAsia="宋体"/>
      <w:szCs w:val="20"/>
    </w:rPr>
  </w:style>
  <w:style w:type="paragraph" w:customStyle="1" w:styleId="42">
    <w:name w:val="Other|1"/>
    <w:basedOn w:val="1"/>
    <w:qFormat/>
    <w:uiPriority w:val="0"/>
    <w:pPr>
      <w:widowControl w:val="0"/>
      <w:shd w:val="clear" w:color="auto" w:fill="auto"/>
    </w:pPr>
    <w:rPr>
      <w:sz w:val="20"/>
      <w:szCs w:val="20"/>
      <w:u w:val="none"/>
      <w:shd w:val="clear" w:color="auto" w:fill="auto"/>
    </w:rPr>
  </w:style>
  <w:style w:type="paragraph" w:customStyle="1" w:styleId="43">
    <w:name w:val="帆表头"/>
    <w:basedOn w:val="1"/>
    <w:qFormat/>
    <w:uiPriority w:val="0"/>
    <w:pPr>
      <w:widowControl/>
      <w:spacing w:line="360" w:lineRule="auto"/>
      <w:jc w:val="center"/>
    </w:pPr>
    <w:rPr>
      <w:rFonts w:ascii="黑体" w:hAnsi="黑体" w:eastAsia="黑体"/>
      <w:bCs/>
      <w:kern w:val="0"/>
      <w:sz w:val="24"/>
      <w:szCs w:val="21"/>
    </w:rPr>
  </w:style>
  <w:style w:type="paragraph" w:customStyle="1" w:styleId="44">
    <w:name w:val="表格内容"/>
    <w:basedOn w:val="1"/>
    <w:qFormat/>
    <w:uiPriority w:val="0"/>
    <w:pPr>
      <w:ind w:left="-105" w:leftChars="-50" w:right="-105" w:rightChars="-50"/>
      <w:jc w:val="center"/>
    </w:pPr>
    <w:rPr>
      <w:rFonts w:ascii="宋体" w:hAnsi="宋体"/>
      <w:szCs w:val="21"/>
    </w:rPr>
  </w:style>
  <w:style w:type="paragraph" w:customStyle="1" w:styleId="45">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46">
    <w:name w:val="表格内"/>
    <w:basedOn w:val="1"/>
    <w:qFormat/>
    <w:uiPriority w:val="0"/>
    <w:pPr>
      <w:spacing w:line="360" w:lineRule="exact"/>
      <w:jc w:val="center"/>
    </w:pPr>
    <w:rPr>
      <w:rFonts w:eastAsia="Times New Roman"/>
      <w:sz w:val="21"/>
      <w:szCs w:val="21"/>
    </w:rPr>
  </w:style>
  <w:style w:type="paragraph" w:customStyle="1" w:styleId="47">
    <w:name w:val="Table Paragraph"/>
    <w:qFormat/>
    <w:uiPriority w:val="0"/>
    <w:pPr>
      <w:widowControl w:val="0"/>
      <w:autoSpaceDE w:val="0"/>
      <w:autoSpaceDN w:val="0"/>
      <w:jc w:val="center"/>
    </w:pPr>
    <w:rPr>
      <w:rFonts w:ascii="仿宋" w:hAnsi="仿宋" w:eastAsia="仿宋" w:cs="仿宋"/>
      <w:sz w:val="22"/>
      <w:szCs w:val="22"/>
      <w:lang w:val="zh-CN" w:eastAsia="zh-CN" w:bidi="ar-SA"/>
    </w:rPr>
  </w:style>
  <w:style w:type="character" w:customStyle="1" w:styleId="48">
    <w:name w:val="font01"/>
    <w:qFormat/>
    <w:uiPriority w:val="0"/>
    <w:rPr>
      <w:rFonts w:hint="eastAsia" w:ascii="宋体" w:hAnsi="宋体" w:eastAsia="宋体" w:cs="宋体"/>
      <w:color w:val="000000"/>
      <w:sz w:val="21"/>
      <w:szCs w:val="21"/>
      <w:u w:val="none"/>
    </w:rPr>
  </w:style>
  <w:style w:type="paragraph" w:customStyle="1" w:styleId="49">
    <w:name w:val="Table Text"/>
    <w:basedOn w:val="1"/>
    <w:semiHidden/>
    <w:qFormat/>
    <w:uiPriority w:val="0"/>
    <w:rPr>
      <w:rFonts w:ascii="宋体" w:hAnsi="宋体" w:eastAsia="宋体" w:cs="宋体"/>
      <w:sz w:val="20"/>
      <w:szCs w:val="20"/>
      <w:lang w:val="en-US" w:eastAsia="en-US" w:bidi="ar-SA"/>
    </w:rPr>
  </w:style>
  <w:style w:type="table" w:customStyle="1" w:styleId="50">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8" Type="http://schemas.openxmlformats.org/officeDocument/2006/relationships/fontTable" Target="fontTable.xml"/><Relationship Id="rId47" Type="http://schemas.microsoft.com/office/2006/relationships/keyMapCustomizations" Target="customizations.xml"/><Relationship Id="rId46" Type="http://schemas.openxmlformats.org/officeDocument/2006/relationships/customXml" Target="../customXml/item2.xml"/><Relationship Id="rId45" Type="http://schemas.openxmlformats.org/officeDocument/2006/relationships/customXml" Target="../customXml/item1.xml"/><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1.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d126cfdc-2907-49db-87ef-885775c1cd41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6AB76E8A</paraID>
      <start>0</start>
      <end>2</end>
      <status>ignored</status>
      <modifiedWord/>
      <trackRevisions>false</trackRevisions>
    </reviewItem>
    <reviewItem>
      <errorID>fb74f76e-cba3-463f-91e7-a2ff86c85f3f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5F4D16EE</paraID>
      <start>0</start>
      <end>2</end>
      <status>ignored</status>
      <modifiedWord/>
      <trackRevisions>false</trackRevisions>
    </reviewItem>
    <reviewItem>
      <errorID>379a55cc-2173-476f-91eb-7d7797e22b5c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5D039480</paraID>
      <start>0</start>
      <end>2</end>
      <status>ignored</status>
      <modifiedWord/>
      <trackRevisions>false</trackRevisions>
    </reviewItem>
    <reviewItem>
      <errorID>6af0005d-7c58-416c-8b3c-5b971c7d0b29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2DF16FB3</paraID>
      <start>0</start>
      <end>2</end>
      <status>ignored</status>
      <modifiedWord/>
      <trackRevisions>false</trackRevisions>
    </reviewItem>
    <reviewItem>
      <errorID>7600eb9b-5384-4d81-aacf-7313efd9c2e9</errorID>
      <errorWord>且无法避让</errorWord>
      <group>L1_Grammar</group>
      <groupName>语法问题</groupName>
      <ability>L2_Order</ability>
      <abilityName>语序不当</abilityName>
      <candidateList>
        <item>避让且无法</item>
      </candidateList>
      <explain>句子可能没有遵循时空、逻辑顺序，或者介词、关联词等位置不当。</explain>
      <paraID>7D171C25</paraID>
      <start>175</start>
      <end>180</end>
      <status>ignored</status>
      <modifiedWord/>
      <trackRevisions>false</trackRevisions>
    </reviewItem>
    <reviewItem>
      <errorID>6a1266ed-6348-4ab6-b1fe-90f19e0dbd2d</errorID>
      <errorWord>。。</errorWord>
      <group>L1_Punc</group>
      <groupName>标点问题</groupName>
      <ability>L2_Punc_CN</ability>
      <abilityName/>
      <candidateList>
        <item>。</item>
      </candidateList>
      <explain/>
      <paraID>55404E09</paraID>
      <start>268</start>
      <end>269</end>
      <status>modified</status>
      <modifiedWord>。</modifiedWord>
      <trackRevisions>false</trackRevisions>
    </reviewItem>
    <reviewItem>
      <errorID>1d10281d-cb9c-4e17-a108-5206036c9326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5C508B06</paraID>
      <start>0</start>
      <end>2</end>
      <status>ignored</status>
      <modifiedWord/>
      <trackRevisions>false</trackRevisions>
    </reviewItem>
    <reviewItem>
      <errorID>4175a03f-f415-4d10-8089-aef17cbe1e51</errorID>
      <errorWord>战略性能源资源</errorWord>
      <group>L1_Political</group>
      <groupName>政治性问题</groupName>
      <ability>L2_Keyword</ability>
      <abilityName>固定表述</abilityName>
      <candidateList>
        <item>战略性矿产资源</item>
      </candidateList>
      <explain>词汇“战略性矿产资源”在特定场景下为固定表述形式，请确认此处的“战略性能源资源”是否存在不当。</explain>
      <paraID>3CBCBADD</paraID>
      <start>216</start>
      <end>223</end>
      <status>ignored</status>
      <modifiedWord/>
      <trackRevisions>false</trackRevisions>
    </reviewItem>
    <reviewItem>
      <errorID>7c16fc7b-864b-40aa-a1f4-7c8a3b831eb0</errorID>
      <errorWord>必须</errorWord>
      <group>L1_Word</group>
      <groupName>字词问题</groupName>
      <ability>L2_Typo</ability>
      <abilityName>字词错误</abilityName>
      <candidateList>
        <item>必需</item>
      </candidateList>
      <explain>存在发音相同字词的误用。</explain>
      <paraID>3CBCBADD</paraID>
      <start>359</start>
      <end>361</end>
      <status>ignored</status>
      <modifiedWord/>
      <trackRevisions>false</trackRevisions>
    </reviewItem>
    <reviewItem>
      <errorID>0cd6fc28-ff6d-4260-82be-51f4ce919672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98A7792</paraID>
      <start>0</start>
      <end>2</end>
      <status>ignored</status>
      <modifiedWord/>
      <trackRevisions>false</trackRevisions>
    </reviewItem>
    <reviewItem>
      <errorID>d30dcedd-cd5a-4bb4-b6bd-39e35e15e429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33B18561</paraID>
      <start>0</start>
      <end>2</end>
      <status>ignored</status>
      <modifiedWord/>
      <trackRevisions>false</trackRevisions>
    </reviewItem>
    <reviewItem>
      <errorID>228e62ca-4872-4a04-8479-7afe91073b03</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512FDFB</paraID>
      <start>0</start>
      <end>2</end>
      <status>ignored</status>
      <modifiedWord/>
      <trackRevisions>false</trackRevisions>
    </reviewItem>
    <reviewItem>
      <errorID>c698effc-3368-4645-bba5-f309dec1c501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33059EC2</paraID>
      <start>0</start>
      <end>2</end>
      <status>ignored</status>
      <modifiedWord/>
      <trackRevisions>false</trackRevisions>
    </reviewItem>
    <reviewItem>
      <errorID>a3bda939-ed02-42f2-999a-9ca38469bbf6</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7382270B</paraID>
      <start>0</start>
      <end>2</end>
      <status>ignored</status>
      <modifiedWord/>
      <trackRevisions>false</trackRevisions>
    </reviewItem>
    <reviewItem>
      <errorID>e6b40a46-890c-4fde-9b94-3373733e3442</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55B62F33</paraID>
      <start>0</start>
      <end>2</end>
      <status>ignored</status>
      <modifiedWord/>
      <trackRevisions>false</trackRevisions>
    </reviewItem>
    <reviewItem>
      <errorID>05db1ea4-bfef-4a0f-a255-114e8befdded</errorID>
      <errorWord>拌合站</errorWord>
      <group>L1_Word</group>
      <groupName>字词问题</groupName>
      <ability>L2_Typo</ability>
      <abilityName>字词错误</abilityName>
      <candidateList>
        <item>拌和站</item>
      </candidateList>
      <explain>存在发音相同字词的误用。</explain>
      <paraID>74C13BA4</paraID>
      <start>157</start>
      <end>160</end>
      <status>ignored</status>
      <modifiedWord/>
      <trackRevisions>false</trackRevisions>
    </reviewItem>
    <reviewItem>
      <errorID>64f7e561-3aa2-47df-a413-688bca592e77</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75FA1155</paraID>
      <start>0</start>
      <end>3</end>
      <status>ignored</status>
      <modifiedWord/>
      <trackRevisions>false</trackRevisions>
    </reviewItem>
    <reviewItem>
      <errorID>b4734831-a7f0-433a-b0c6-b49fbead7db3</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579C9008</paraID>
      <start>0</start>
      <end>3</end>
      <status>ignored</status>
      <modifiedWord/>
      <trackRevisions>false</trackRevisions>
    </reviewItem>
    <reviewItem>
      <errorID>e10405f5-8b17-41ec-a183-ad78dff9a697</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447F990A</paraID>
      <start>0</start>
      <end>3</end>
      <status>ignored</status>
      <modifiedWord/>
      <trackRevisions>false</trackRevisions>
    </reviewItem>
    <reviewItem>
      <errorID>0d25b5bc-324f-4640-ba23-73f69df784c4</errorID>
      <errorWord>》中</errorWord>
      <group>L1_Word</group>
      <groupName>字词问题</groupName>
      <ability>L2_Typo</ability>
      <abilityName>字词错误</abilityName>
      <candidateList>
        <item>》</item>
      </candidateList>
      <explain/>
      <paraID>54C77B90</paraID>
      <start>15</start>
      <end>16</end>
      <status>modified</status>
      <modifiedWord>》</modifiedWord>
      <trackRevisions>false</trackRevisions>
    </reviewItem>
    <reviewItem>
      <errorID>6ba89daf-a336-4b98-8863-c58cc3af7440</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4388039D</paraID>
      <start>0</start>
      <end>3</end>
      <status>ignored</status>
      <modifiedWord/>
      <trackRevisions>false</trackRevisions>
    </reviewItem>
    <reviewItem>
      <errorID>7165e245-44f3-4243-8bd8-06c28a529315</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45D70AA</paraID>
      <start>0</start>
      <end>3</end>
      <status>ignored</status>
      <modifiedWord/>
      <trackRevisions>false</trackRevisions>
    </reviewItem>
    <reviewItem>
      <errorID>b446754d-f6b0-4bdf-9941-6a8532ef467a</errorID>
      <errorWord>生物多样性维护</errorWord>
      <group>L1_Political</group>
      <groupName>政治性问题</groupName>
      <ability>L2_Keyword</ability>
      <abilityName>固定表述</abilityName>
      <candidateList>
        <item>生物多样性保护</item>
      </candidateList>
      <explain>词汇“生物多样性保护”在特定场景下为固定表述形式，请确认此处的“生物多样性维护”是否存在不当。</explain>
      <paraID>6B91146E</paraID>
      <start>26</start>
      <end>33</end>
      <status>ignored</status>
      <modifiedWord/>
      <trackRevisions>false</trackRevisions>
    </reviewItem>
    <reviewItem>
      <errorID>264818b2-8721-4f9f-82fa-82a68fbb5868</errorID>
      <errorWord>项目的</errorWord>
      <group>L1_Word</group>
      <groupName>字词问题</groupName>
      <ability>L2_Typo</ability>
      <abilityName>字词错误</abilityName>
      <candidateList>
        <item>项目</item>
      </candidateList>
      <explain>〈名〉事物分成的门类：服务～｜体育～｜建设～。</explain>
      <paraID>6B91146E</paraID>
      <start>119</start>
      <end>121</end>
      <status>modified</status>
      <modifiedWord>项目</modifiedWord>
      <trackRevisions>false</trackRevisions>
    </reviewItem>
    <reviewItem>
      <errorID>458fbef7-a06d-4565-8d60-e15021993893</errorID>
      <errorWord>，</errorWord>
      <group>L1_Word</group>
      <groupName>字词问题</groupName>
      <ability>L2_Typo</ability>
      <abilityName>字词错误</abilityName>
      <candidateList>
        <item>，在</item>
      </candidateList>
      <explain/>
      <paraID> 404E60C</paraID>
      <start>170</start>
      <end>172</end>
      <status>modified</status>
      <modifiedWord>，在</modifiedWord>
      <trackRevisions>false</trackRevisions>
    </reviewItem>
    <reviewItem>
      <errorID>dbdc3863-a26a-4927-aa5f-531c517219a3</errorID>
      <errorWord>原住居民</errorWord>
      <group>L1_Sensitive</group>
      <groupName>敏感问题</groupName>
      <ability>L2_Violent</ability>
      <abilityName>暴恐词条</abilityName>
      <candidateList/>
      <explain>【暴恐词条】句中包含暴恐类敏感词条，请注意甄别。</explain>
      <paraID>7793BDCA</paraID>
      <start>212</start>
      <end>216</end>
      <status>ignored</status>
      <modifiedWord/>
      <trackRevisions>false</trackRevisions>
    </reviewItem>
    <reviewItem>
      <errorID>2bb3e94f-055f-4e74-acc9-f163dec3b9e5</errorID>
      <errorWord>生物多样性维护</errorWord>
      <group>L1_Political</group>
      <groupName>政治性问题</groupName>
      <ability>L2_Keyword</ability>
      <abilityName>固定表述</abilityName>
      <candidateList>
        <item>生物多样性保护</item>
      </candidateList>
      <explain>词汇“生物多样性保护”在特定场景下为固定表述形式，请确认此处的“生物多样性维护”是否存在不当。</explain>
      <paraID>7793BDCA</paraID>
      <start>1498</start>
      <end>1505</end>
      <status>ignored</status>
      <modifiedWord/>
      <trackRevisions>false</trackRevisions>
    </reviewItem>
    <reviewItem>
      <errorID>bbaad77b-ec8c-44f9-837e-4500eace8bd9</errorID>
      <errorWord>“</errorWord>
      <group>L1_Punc</group>
      <groupName>标点问题</groupName>
      <ability>L2_Punc_CN</ability>
      <abilityName/>
      <candidateList/>
      <explain>此处标点可能未正确匹配，请检查句子中是否存在标点冗余、缺失或使用错误的情况。</explain>
      <paraID>7793BDCA</paraID>
      <start>1868</start>
      <end>1869</end>
      <status>ignored</status>
      <modifiedWord/>
      <trackRevisions>false</trackRevisions>
    </reviewItem>
    <reviewItem>
      <errorID>678cd230-7879-439f-bd81-1cbb08d2691a</errorID>
      <errorWord>“</errorWord>
      <group>L1_Punc</group>
      <groupName>标点问题</groupName>
      <ability>L2_Punc_CN</ability>
      <abilityName/>
      <candidateList/>
      <explain>此处标点可能未正确匹配，请检查句子中是否存在标点冗余、缺失或使用错误的情况。</explain>
      <paraID>7793BDCA</paraID>
      <start>2276</start>
      <end>2277</end>
      <status>ignored</status>
      <modifiedWord/>
      <trackRevisions>false</trackRevisions>
    </reviewItem>
    <reviewItem>
      <errorID>69c210cd-19cf-4d26-82d5-795fd4b982bb</errorID>
      <errorWord>他的</errorWord>
      <group>L1_Word</group>
      <groupName>字词问题</groupName>
      <ability>L2_Typo</ability>
      <abilityName>字词错误</abilityName>
      <candidateList>
        <item>他</item>
      </candidateList>
      <explain/>
      <paraID>7793BDCA</paraID>
      <start>2423</start>
      <end>2424</end>
      <status>modified</status>
      <modifiedWord>他</modifiedWord>
      <trackRevisions>false</trackRevisions>
    </reviewItem>
    <reviewItem>
      <errorID>7a7621d3-dabd-4885-a305-87502f2118de</errorID>
      <errorWord>期</errorWord>
      <group>L1_Word</group>
      <groupName>字词问题</groupName>
      <ability>L2_Typo</ability>
      <abilityName>字词错误</abilityName>
      <candidateList>
        <item>期间</item>
      </candidateList>
      <explain>〈名〉某个时期里面：农忙～｜春节～｜抗战～。</explain>
      <paraID> 9931DE5</paraID>
      <start>271</start>
      <end>273</end>
      <status>modified</status>
      <modifiedWord>期间</modifiedWord>
      <trackRevisions>false</trackRevisions>
    </reviewItem>
    <reviewItem>
      <errorID>24c4ece4-7c6c-4944-98c6-4830bc2f16fd</errorID>
      <errorWord>“</errorWord>
      <group>L1_Punc</group>
      <groupName>标点问题</groupName>
      <ability>L2_Punc_CN</ability>
      <abilityName/>
      <candidateList/>
      <explain>此处标点可能未正确匹配，请检查句子中是否存在标点冗余、缺失或使用错误的情况。</explain>
      <paraID>5E4B4319</paraID>
      <start>8</start>
      <end>9</end>
      <status>ignored</status>
      <modifiedWord/>
      <trackRevisions>false</trackRevisions>
    </reviewItem>
    <reviewItem>
      <errorID>1805f41f-29db-4e33-972a-a2a743c08b01</errorID>
      <errorWord>“</errorWord>
      <group>L1_Punc</group>
      <groupName>标点问题</groupName>
      <ability>L2_Punc_CN</ability>
      <abilityName/>
      <candidateList/>
      <explain>此处标点可能未正确匹配，请检查句子中是否存在标点冗余、缺失或使用错误的情况。</explain>
      <paraID>5E4B4319</paraID>
      <start>351</start>
      <end>352</end>
      <status>ignored</status>
      <modifiedWord/>
      <trackRevisions>false</trackRevisions>
    </reviewItem>
    <reviewItem>
      <errorID>f814c719-a1f8-4879-9c96-18a6931aece2</errorID>
      <errorWord>他的</errorWord>
      <group>L1_Word</group>
      <groupName>字词问题</groupName>
      <ability>L2_Typo</ability>
      <abilityName>字词错误</abilityName>
      <candidateList>
        <item>他</item>
      </candidateList>
      <explain/>
      <paraID>5E4B4319</paraID>
      <start>498</start>
      <end>499</end>
      <status>modified</status>
      <modifiedWord>他</modifiedWord>
      <trackRevisions>false</trackRevisions>
    </reviewItem>
    <reviewItem>
      <errorID>a8949316-33f3-436b-b1fd-4756840659c1</errorID>
      <errorWord>三农</errorWord>
      <group>L1_Political</group>
      <groupName>政治性问题</groupName>
      <ability>L2_Keyword</ability>
      <abilityName>固定表述</abilityName>
      <candidateList>
        <item>“三农”</item>
      </candidateList>
      <explain>注意检查当前固定表述标点是否使用规范。</explain>
      <paraID>5E4B4319</paraID>
      <start>720</start>
      <end>722</end>
      <status>ignored</status>
      <modifiedWord/>
      <trackRevisions>false</trackRevisions>
    </reviewItem>
    <reviewItem>
      <errorID>db0e2027-1478-4852-b29f-4ef17aad6660</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41F75F0A</paraID>
      <start>341</start>
      <end>345</end>
      <status>ignored</status>
      <modifiedWord/>
      <trackRevisions>false</trackRevisions>
    </reviewItem>
    <reviewItem>
      <errorID>5a6720b5-45a1-4a7e-adb3-9b902364f4ea</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41F75F0A</paraID>
      <start>474</start>
      <end>478</end>
      <status>ignored</status>
      <modifiedWord/>
      <trackRevisions>false</trackRevisions>
    </reviewItem>
    <reviewItem>
      <errorID>92911844-784f-4f12-a900-76cea29c93d9</errorID>
      <errorWord>作好</errorWord>
      <group>L1_Grammar</group>
      <groupName>语法问题</groupName>
      <ability>L2_Grammar</ability>
      <abilityName>语法错误</abilityName>
      <candidateList>
        <item>做好</item>
      </candidateList>
      <explain>“作好～措施”搭配不当，建议修改为“做好～措施”。</explain>
      <paraID>41F75F0A</paraID>
      <start>746</start>
      <end>748</end>
      <status>ignored</status>
      <modifiedWord/>
      <trackRevisions>false</trackRevisions>
    </reviewItem>
    <reviewItem>
      <errorID>b9d2f8fb-f460-403f-816e-76f2405a17eb</errorID>
      <errorWord>三农</errorWord>
      <group>L1_Political</group>
      <groupName>政治性问题</groupName>
      <ability>L2_Keyword</ability>
      <abilityName>固定表述</abilityName>
      <candidateList>
        <item>“三农”</item>
      </candidateList>
      <explain>注意检查当前固定表述标点是否使用规范。</explain>
      <paraID>454BC30C</paraID>
      <start>127</start>
      <end>129</end>
      <status>ignored</status>
      <modifiedWord/>
      <trackRevisions>false</trackRevisions>
    </reviewItem>
    <reviewItem>
      <errorID>c5234b9d-781b-4c9a-b293-50098d2b36ef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6A9889FC</paraID>
      <start>0</start>
      <end>2</end>
      <status>ignored</status>
      <modifiedWord/>
      <trackRevisions>false</trackRevisions>
    </reviewItem>
    <reviewItem>
      <errorID>7923b1f2-a34d-4d06-9212-c029c8ca5ee4</errorID>
      <errorWord>～</errorWord>
      <group>L1_Format</group>
      <groupName>格式问题</groupName>
      <ability>L2_HalfPunc_CN</ability>
      <abilityName/>
      <candidateList>
        <item>~</item>
      </candidateList>
      <explain>文本全半角错误。</explain>
      <paraID>7CE8BD54</paraID>
      <start>7</start>
      <end>8</end>
      <status>modified</status>
      <modifiedWord>~</modifiedWord>
      <trackRevisions>false</trackRevisions>
    </reviewItem>
    <reviewItem>
      <errorID>2b9136f6-4a06-4e95-b823-0490052d262d</errorID>
      <errorWord>～</errorWord>
      <group>L1_Format</group>
      <groupName>格式问题</groupName>
      <ability>L2_HalfPunc_CN</ability>
      <abilityName/>
      <candidateList>
        <item>~</item>
      </candidateList>
      <explain>文本全半角错误。</explain>
      <paraID>6F7A24E1</paraID>
      <start>7</start>
      <end>8</end>
      <status>modified</status>
      <modifiedWord>~</modifiedWord>
      <trackRevisions>false</trackRevisions>
    </reviewItem>
    <reviewItem>
      <errorID>03f3efed-89b1-415d-94ef-9bc8509d3c0c</errorID>
      <errorWord>、等</errorWord>
      <group>L1_Punc</group>
      <groupName>标点问题</groupName>
      <ability>L2_Punc_CN</ability>
      <abilityName/>
      <candidateList>
        <item>等</item>
      </candidateList>
      <explain>“及”“和”“等”连词前不宜使用顿号，建议删除（或使用逗号）。</explain>
      <paraID>3B85E95E</paraID>
      <start>20</start>
      <end>22</end>
      <status>ignored</status>
      <modifiedWord/>
      <trackRevisions>false</trackRevisions>
    </reviewItem>
    <reviewItem>
      <errorID>22ea5278-3145-4509-8eea-ed498b917ab8</errorID>
      <errorWord>帮宽</errorWord>
      <group>L1_Word</group>
      <groupName>字词问题</groupName>
      <ability>L2_Typo</ability>
      <abilityName>字词错误</abilityName>
      <candidateList>
        <item>帮扶</item>
      </candidateList>
      <explain/>
      <paraID>1A1AA0AB</paraID>
      <start>0</start>
      <end>2</end>
      <status>ignored</status>
      <modifiedWord/>
      <trackRevisions>false</trackRevisions>
    </reviewItem>
    <reviewItem>
      <errorID>d55f81eb-0135-4f83-9b33-febe785523a2</errorID>
      <errorWord>施工现场道</errorWord>
      <group>L1_Word</group>
      <groupName>字词问题</groupName>
      <ability>L2_Typo</ability>
      <abilityName>字词错误</abilityName>
      <candidateList>
        <item>施工现场</item>
      </candidateList>
      <explain/>
      <paraID>7D0E7166</paraID>
      <start>50</start>
      <end>54</end>
      <status>modified</status>
      <modifiedWord>施工现场</modifiedWord>
      <trackRevisions>false</trackRevisions>
    </reviewItem>
    <reviewItem>
      <errorID>891d17a3-2d54-42e1-b5e0-05f1d74c5d79</errorID>
      <errorWord>临近</errorWord>
      <group>L1_Word</group>
      <groupName>字词问题</groupName>
      <ability>L2_Typo</ability>
      <abilityName>字词错误</abilityName>
      <candidateList>
        <item>邻近</item>
      </candidateList>
      <explain>存在发音相同字词的误用。</explain>
      <paraID>7556AA86</paraID>
      <start>114</start>
      <end>116</end>
      <status>ignored</status>
      <modifiedWord/>
      <trackRevisions>false</trackRevisions>
    </reviewItem>
    <reviewItem>
      <errorID>84fd53bd-0c63-4f4c-a3b1-8fc617af963f</errorID>
      <errorWord>，</errorWord>
      <group>L1_Word</group>
      <groupName>字词问题</groupName>
      <ability>L2_Typo</ability>
      <abilityName>字词错误</abilityName>
      <candidateList>
        <item>，对</item>
      </candidateList>
      <explain/>
      <paraID>5CF91E07</paraID>
      <start>42</start>
      <end>44</end>
      <status>modified</status>
      <modifiedWord>，对</modifiedWord>
      <trackRevisions>false</trackRevisions>
    </reviewItem>
    <reviewItem>
      <errorID>093a5c11-e440-434f-bab2-409d896600fc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51F97829</paraID>
      <start>0</start>
      <end>2</end>
      <status>ignored</status>
      <modifiedWord/>
      <trackRevisions>false</trackRevisions>
    </reviewItem>
    <reviewItem>
      <errorID>0e486c34-d02b-402e-bb7b-7098bc92d187</errorID>
      <errorWord>采用为</errorWord>
      <group>L1_Word</group>
      <groupName>字词问题</groupName>
      <ability>L2_Typo</ability>
      <abilityName>字词错误</abilityName>
      <candidateList>
        <item>采用</item>
      </candidateList>
      <explain>〈动〉认为合适而使用：～新工艺｜～举手表决方式｜那篇稿子已被编辑部～。</explain>
      <paraID>37A60547</paraID>
      <start>58</start>
      <end>60</end>
      <status>modified</status>
      <modifiedWord>采用</modifiedWord>
      <trackRevisions>false</trackRevisions>
    </reviewItem>
    <reviewItem>
      <errorID>64633237-a813-4d3d-8d4b-0e23d89c2ecd</errorID>
      <errorWord>、等</errorWord>
      <group>L1_Punc</group>
      <groupName>标点问题</groupName>
      <ability>L2_Punc_CN</ability>
      <abilityName/>
      <candidateList>
        <item>等</item>
      </candidateList>
      <explain>“及”“和”“等”连词前不宜使用顿号，建议删除（或使用逗号）。</explain>
      <paraID> 1F0BD8C</paraID>
      <start>20</start>
      <end>22</end>
      <status>ignored</status>
      <modifiedWord/>
      <trackRevisions>false</trackRevisions>
    </reviewItem>
    <reviewItem>
      <errorID>bdd30f7c-1a41-4543-b001-f6f7078981aa</errorID>
      <errorWord>(</errorWord>
      <group>L1_Format</group>
      <groupName>格式问题</groupName>
      <ability>L2_HalfPunc_CN</ability>
      <abilityName/>
      <candidateList>
        <item>（</item>
      </candidateList>
      <explain>文本全半角错误。</explain>
      <paraID>2D1FE4CA</paraID>
      <start>4</start>
      <end>5</end>
      <status>modified</status>
      <modifiedWord>（</modifiedWord>
      <trackRevisions>false</trackRevisions>
    </reviewItem>
    <reviewItem>
      <errorID>0d9b4ad7-df4d-4dc6-b1fb-7b5528737b00</errorID>
      <errorWord>)</errorWord>
      <group>L1_Format</group>
      <groupName>格式问题</groupName>
      <ability>L2_HalfPunc_CN</ability>
      <abilityName/>
      <candidateList>
        <item>）</item>
      </candidateList>
      <explain>文本全半角错误。</explain>
      <paraID>2D1FE4CA</paraID>
      <start>6</start>
      <end>7</end>
      <status>modified</status>
      <modifiedWord>）</modifiedWord>
      <trackRevisions>false</trackRevisions>
    </reviewItem>
    <reviewItem>
      <errorID>a19d2a89-fec2-4fef-991d-b976eef92a17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49651B1E</paraID>
      <start>0</start>
      <end>2</end>
      <status>ignored</status>
      <modifiedWord/>
      <trackRevisions>false</trackRevisions>
    </reviewItem>
    <reviewItem>
      <errorID>87384c39-c0a4-4230-9ff9-d9ca4db73e99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B0D0A70</paraID>
      <start>0</start>
      <end>2</end>
      <status>ignored</status>
      <modifiedWord/>
      <trackRevisions>false</trackRevisions>
    </reviewItem>
    <reviewItem>
      <errorID>e8c76cd0-5581-4e18-b54a-bc0cfd0b2b9a</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4BDDBDF3</paraID>
      <start>0</start>
      <end>2</end>
      <status>ignored</status>
      <modifiedWord/>
      <trackRevisions>false</trackRevisions>
    </reviewItem>
    <reviewItem>
      <errorID>71844fd1-afbd-490d-9498-5df807b06bce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6C16208F</paraID>
      <start>0</start>
      <end>2</end>
      <status>ignored</status>
      <modifiedWord/>
      <trackRevisions>false</trackRevisions>
    </reviewItem>
    <reviewItem>
      <errorID>34e29b14-bd6f-46d5-b13b-74422269301c</errorID>
      <errorWord>程</errorWord>
      <group>L1_Word</group>
      <groupName>字词问题</groupName>
      <ability>L2_Typo</ability>
      <abilityName>字词错误</abilityName>
      <candidateList>
        <item>程中</item>
      </candidateList>
      <explain/>
      <paraID>3DDA6FBD</paraID>
      <start>59</start>
      <end>61</end>
      <status>modified</status>
      <modifiedWord>程中</modifiedWord>
      <trackRevisions>false</trackRevisions>
    </reviewItem>
    <reviewItem>
      <errorID>b7183c16-9925-4b4d-9000-d1596115ed4e</errorID>
      <errorWord>作好</errorWord>
      <group>L1_Word</group>
      <groupName>字词问题</groupName>
      <ability>L2_Typo</ability>
      <abilityName>字词错误</abilityName>
      <candidateList>
        <item>做好</item>
      </candidateList>
      <explain>存在发音相同字词的误用。</explain>
      <paraID>3E90C827</paraID>
      <start>282</start>
      <end>284</end>
      <status>modified</status>
      <modifiedWord>做好</modifiedWord>
      <trackRevisions>false</trackRevisions>
    </reviewItem>
    <reviewItem>
      <errorID>0561aac3-7307-412b-98fa-3d4ce7cad172</errorID>
      <errorWord>、等</errorWord>
      <group>L1_Punc</group>
      <groupName>标点问题</groupName>
      <ability>L2_Punc_CN</ability>
      <abilityName/>
      <candidateList>
        <item>等</item>
      </candidateList>
      <explain>“及”“和”“等”连词前不宜使用顿号，建议删除（或使用逗号）。</explain>
      <paraID>47AFEEF9</paraID>
      <start>26</start>
      <end>28</end>
      <status>ignored</status>
      <modifiedWord/>
      <trackRevisions>false</trackRevisions>
    </reviewItem>
    <reviewItem>
      <errorID>2cf04ff9-837e-4291-ba95-0cc0b9710fdb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39C4D663</paraID>
      <start>0</start>
      <end>2</end>
      <status>ignored</status>
      <modifiedWord/>
      <trackRevisions>false</trackRevisions>
    </reviewItem>
    <reviewItem>
      <errorID>6c5f7ac2-8c5e-444e-a6ed-a5010d6ad41a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1400086B</paraID>
      <start>0</start>
      <end>2</end>
      <status>ignored</status>
      <modifiedWord/>
      <trackRevisions>false</trackRevisions>
    </reviewItem>
    <reviewItem>
      <errorID>0bda6d76-f5d9-4ae9-97ff-e7c8bf6a90c3</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2EE7CBE2</paraID>
      <start>14</start>
      <end>15</end>
      <status>modified</status>
      <modifiedWord>—</modifiedWord>
      <trackRevisions>false</trackRevisions>
    </reviewItem>
    <reviewItem>
      <errorID>97d6f951-d75f-4f3e-bbb1-d52a0fbce19f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126A8AC7</paraID>
      <start>0</start>
      <end>2</end>
      <status>ignored</status>
      <modifiedWord/>
      <trackRevisions>false</trackRevisions>
    </reviewItem>
    <reviewItem>
      <errorID>bb60da95-52b2-40e1-8317-02a4638c0f4d</errorID>
      <errorWord>声场</errorWord>
      <group>L1_Word</group>
      <groupName>字词问题</groupName>
      <ability>L2_Typo</ability>
      <abilityName>字词错误</abilityName>
      <candidateList>
        <item>生产</item>
      </candidateList>
      <explain>〈动〉❶人们使用工具来创造各种生产资料和生活资料：工业～｜发展～｜～出更好的产品。❷生孩子。</explain>
      <paraID>14471E93</paraID>
      <start>43</start>
      <end>45</end>
      <status>modified</status>
      <modifiedWord>生产</modifiedWord>
      <trackRevisions>false</trackRevisions>
    </reviewItem>
    <reviewItem>
      <errorID>b53b4a1a-0db2-4bcd-93cb-f6ef60113000</errorID>
      <errorWord>声场</errorWord>
      <group>L1_Word</group>
      <groupName>字词问题</groupName>
      <ability>L2_Typo</ability>
      <abilityName>字词错误</abilityName>
      <candidateList>
        <item>生产</item>
      </candidateList>
      <explain>〈动〉❶人们使用工具来创造各种生产资料和生活资料：工业～｜发展～｜～出更好的产品。❷生孩子。</explain>
      <paraID>14471E93</paraID>
      <start>66</start>
      <end>68</end>
      <status>modified</status>
      <modifiedWord>生产</modifiedWord>
      <trackRevisions>false</trackRevisions>
    </reviewItem>
    <reviewItem>
      <errorID>51412fbb-e574-4045-8d2e-e5e977e48805</errorID>
      <errorWord>磨园</errorWord>
      <group>L1_Word</group>
      <groupName>字词问题</groupName>
      <ability>L2_Typo</ability>
      <abilityName>字词错误</abilityName>
      <candidateList>
        <item>磨圆</item>
      </candidateList>
      <explain>存在发音相同字词的误用。</explain>
      <paraID>4FE16033</paraID>
      <start>35</start>
      <end>37</end>
      <status>modified</status>
      <modifiedWord>磨圆</modifiedWord>
      <trackRevisions>false</trackRevisions>
    </reviewItem>
    <reviewItem>
      <errorID>fa00948e-9b20-4240-8754-90c1b092ff51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2F52B586</paraID>
      <start>0</start>
      <end>2</end>
      <status>ignored</status>
      <modifiedWord/>
      <trackRevisions>false</trackRevisions>
    </reviewItem>
    <reviewItem>
      <errorID>df8cbc92-e6de-4f86-97e4-462c1a6e4ae1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82D4AF1</paraID>
      <start>0</start>
      <end>2</end>
      <status>ignored</status>
      <modifiedWord/>
      <trackRevisions>false</trackRevisions>
    </reviewItem>
    <reviewItem>
      <errorID>4c36500f-08e2-40ed-8be9-6114b0a4e3bb</errorID>
      <errorWord>达</errorWord>
      <group>L1_Word</group>
      <groupName>字词问题</groupName>
      <ability>L2_Typo</ability>
      <abilityName>字词错误</abilityName>
      <candidateList>
        <item>达到</item>
      </candidateList>
      <explain>〈动〉到（多指抽象事物或程度）：达得到｜达不到｜目的没有～｜～国际水平。</explain>
      <paraID> 9A1B8D6</paraID>
      <start>38</start>
      <end>40</end>
      <status>modified</status>
      <modifiedWord>达到</modifiedWord>
      <trackRevisions>false</trackRevisions>
    </reviewItem>
    <reviewItem>
      <errorID>6831a868-e300-4169-be70-6070d03d0d37</errorID>
      <errorWord>）</errorWord>
      <group>L1_Format</group>
      <groupName>格式问题</groupName>
      <ability>L2_HalfPunc_CN</ability>
      <abilityName/>
      <candidateList>
        <item>)</item>
      </candidateList>
      <explain>文本全半角错误。</explain>
      <paraID>219A79E9</paraID>
      <start>6</start>
      <end>7</end>
      <status>ignored</status>
      <modifiedWord/>
      <trackRevisions>false</trackRevisions>
    </reviewItem>
    <reviewItem>
      <errorID>3bcf5ba6-b511-4a2d-931e-61468cf9e2bf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766B24ED</paraID>
      <start>0</start>
      <end>2</end>
      <status>ignored</status>
      <modifiedWord/>
      <trackRevisions>false</trackRevisions>
    </reviewItem>
    <reviewItem>
      <errorID>07807364-d58f-4513-8d3d-3ad9008d3c94</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DA0A535</paraID>
      <start>0</start>
      <end>2</end>
      <status>ignored</status>
      <modifiedWord/>
      <trackRevisions>false</trackRevisions>
    </reviewItem>
    <reviewItem>
      <errorID>473378cf-1771-49ef-aaf3-0645640e4bd6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729D9E03</paraID>
      <start>0</start>
      <end>2</end>
      <status>ignored</status>
      <modifiedWord/>
      <trackRevisions>false</trackRevisions>
    </reviewItem>
    <reviewItem>
      <errorID>9234280b-8d87-4ff9-b851-b5d2ac318be6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2D213F69</paraID>
      <start>0</start>
      <end>2</end>
      <status>ignored</status>
      <modifiedWord/>
      <trackRevisions>false</trackRevisions>
    </reviewItem>
    <reviewItem>
      <errorID>9e5eec64-f813-4032-ae97-aba52c364ea2</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 582C8F3</paraID>
      <start>66</start>
      <end>67</end>
      <status>modified</status>
      <modifiedWord>地</modifiedWord>
      <trackRevisions>false</trackRevisions>
    </reviewItem>
    <reviewItem>
      <errorID>8afe65b7-fadc-4d26-8c90-c16039fcd608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16096A94</paraID>
      <start>0</start>
      <end>2</end>
      <status>ignored</status>
      <modifiedWord/>
      <trackRevisions>false</trackRevisions>
    </reviewItem>
    <reviewItem>
      <errorID>b9ab267c-5bfb-4a70-9c28-f830bcde339d</errorID>
      <errorWord>包含于</errorWord>
      <group>L1_Word</group>
      <groupName>字词问题</groupName>
      <ability>L2_Typo</ability>
      <abilityName>字词错误</abilityName>
      <candidateList>
        <item>包含</item>
      </candidateList>
      <explain>〈动〉里边含有：这句话～好几层意思。</explain>
      <paraID>4FDD44B1</paraID>
      <start>190</start>
      <end>193</end>
      <status>ignored</status>
      <modifiedWord/>
      <trackRevisions>false</trackRevisions>
    </reviewItem>
    <reviewItem>
      <errorID>41eae31a-1075-42a9-9fc2-dc21af364b78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3A70E7C0</paraID>
      <start>0</start>
      <end>2</end>
      <status>ignored</status>
      <modifiedWord/>
      <trackRevisions>false</trackRevisions>
    </reviewItem>
    <reviewItem>
      <errorID>5a8f6217-b452-475a-9741-a1c5425d45e8</errorID>
      <errorWord>法律、法规</errorWord>
      <group>L1_Word</group>
      <groupName>字词问题</groupName>
      <ability>L2_Typo</ability>
      <abilityName>字词错误</abilityName>
      <candidateList>
        <item>法律法规</item>
      </candidateList>
      <explain/>
      <paraID>7A95323F</paraID>
      <start>13</start>
      <end>17</end>
      <status>modified</status>
      <modifiedWord>法律法规</modifiedWord>
      <trackRevisions>false</trackRevisions>
    </reviewItem>
    <reviewItem>
      <errorID>fd3d417b-418e-49f8-9b17-e92a3c017f29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3BED8E1B</paraID>
      <start>0</start>
      <end>2</end>
      <status>ignored</status>
      <modifiedWord/>
      <trackRevisions>false</trackRevisions>
    </reviewItem>
    <reviewItem>
      <errorID>e1252976-25a1-4c9c-b939-3861b6bf2957</errorID>
      <errorWord>IV</errorWord>
      <group>L1_Knowledge</group>
      <groupName>知识性问题</groupName>
      <ability>L2_Knowledge</ability>
      <abilityName>其他知识</abilityName>
      <candidateList>
        <item>Ⅳ</item>
      </candidateList>
      <explain/>
      <paraID> A12A483</paraID>
      <start>31</start>
      <end>33</end>
      <status>ignored</status>
      <modifiedWord/>
      <trackRevisions>false</trackRevisions>
    </reviewItem>
    <reviewItem>
      <errorID>a7a2d859-709f-4664-9008-73e3147be7ac</errorID>
      <errorWord>二个</errorWord>
      <group>L1_Word</group>
      <groupName>字词问题</groupName>
      <ability>L2_Typo</ability>
      <abilityName>字词错误</abilityName>
      <candidateList>
        <item>两个</item>
      </candidateList>
      <explain/>
      <paraID> C23A026</paraID>
      <start>130</start>
      <end>132</end>
      <status>modified</status>
      <modifiedWord>两个</modifiedWord>
      <trackRevisions>false</trackRevisions>
    </reviewItem>
    <reviewItem>
      <errorID>2b603f79-3061-4c1c-8ecc-79b6f19fdf14</errorID>
      <errorWord>包含于</errorWord>
      <group>L1_Word</group>
      <groupName>字词问题</groupName>
      <ability>L2_Typo</ability>
      <abilityName>字词错误</abilityName>
      <candidateList>
        <item>包含</item>
      </candidateList>
      <explain>〈动〉里边含有：这句话～好几层意思。</explain>
      <paraID>7240D0BA</paraID>
      <start>8</start>
      <end>11</end>
      <status>ignored</status>
      <modifiedWord/>
      <trackRevisions>false</trackRevisions>
    </reviewItem>
    <reviewItem>
      <errorID>22ffbf01-6014-4066-9d77-c2da8f1c7e7c</errorID>
      <errorWord>）</errorWord>
      <group>L1_Format</group>
      <groupName>格式问题</groupName>
      <ability>L2_HalfPunc_CN</ability>
      <abilityName/>
      <candidateList>
        <item>)</item>
      </candidateList>
      <explain>文本全半角错误。</explain>
      <paraID>1DCB527D</paraID>
      <start>5</start>
      <end>6</end>
      <status>ignored</status>
      <modifiedWord/>
      <trackRevisions>false</trackRevisions>
    </reviewItem>
    <reviewItem>
      <errorID>e5c71b52-ddf5-4cbb-9141-0649f1d9bdeb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7656E054</paraID>
      <start>0</start>
      <end>2</end>
      <status>ignored</status>
      <modifiedWord/>
      <trackRevisions>false</trackRevisions>
    </reviewItem>
    <reviewItem>
      <errorID>ace0efcf-eb93-4729-8c8b-94bee1dbfc50</errorID>
      <errorWord>IV类</errorWord>
      <group>L1_Knowledge</group>
      <groupName>知识性问题</groupName>
      <ability>L2_Knowledge</ability>
      <abilityName>其他知识</abilityName>
      <candidateList>
        <item>Ⅳ类</item>
      </candidateList>
      <explain/>
      <paraID> 88F05B7</paraID>
      <start>81</start>
      <end>84</end>
      <status>ignored</status>
      <modifiedWord/>
      <trackRevisions>false</trackRevisions>
    </reviewItem>
    <reviewItem>
      <errorID>f6cf39fa-06d2-4686-a917-4cc2e4a230c5</errorID>
      <errorWord>IV</errorWord>
      <group>L1_Knowledge</group>
      <groupName>知识性问题</groupName>
      <ability>L2_Knowledge</ability>
      <abilityName>其他知识</abilityName>
      <candidateList>
        <item>Ⅳ</item>
      </candidateList>
      <explain/>
      <paraID>752F50B7</paraID>
      <start>31</start>
      <end>33</end>
      <status>ignored</status>
      <modifiedWord/>
      <trackRevisions>false</trackRevisions>
    </reviewItem>
    <reviewItem>
      <errorID>b4207b05-348d-49c9-9a68-d19c5096b188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6C520DF</paraID>
      <start>0</start>
      <end>2</end>
      <status>ignored</status>
      <modifiedWord/>
      <trackRevisions>false</trackRevisions>
    </reviewItem>
    <reviewItem>
      <errorID>1209c94d-d8ef-44ad-b34d-25888869028f</errorID>
      <errorWord>（</errorWord>
      <group>L1_Punc</group>
      <groupName>标点问题</groupName>
      <ability>L2_Punc_CN</ability>
      <abilityName/>
      <candidateList/>
      <explain>同一形式括号套用。</explain>
      <paraID>62199FA3</paraID>
      <start>23</start>
      <end>24</end>
      <status>ignored</status>
      <modifiedWord/>
      <trackRevisions>false</trackRevisions>
    </reviewItem>
    <reviewItem>
      <errorID>421e0b6b-aa07-4ea8-8310-f840c8a0e9ac</errorID>
      <errorWord>）</errorWord>
      <group>L1_Punc</group>
      <groupName>标点问题</groupName>
      <ability>L2_Punc_CN</ability>
      <abilityName/>
      <candidateList/>
      <explain>同一形式括号套用。</explain>
      <paraID>62199FA3</paraID>
      <start>25</start>
      <end>26</end>
      <status>ignored</status>
      <modifiedWord/>
      <trackRevisions>false</trackRevisions>
    </reviewItem>
    <reviewItem>
      <errorID>eddbfb1c-b0db-4e29-b408-26dd54a0207c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F304EDB</paraID>
      <start>0</start>
      <end>2</end>
      <status>ignored</status>
      <modifiedWord/>
      <trackRevisions>false</trackRevisions>
    </reviewItem>
    <reviewItem>
      <errorID>d0fc73d3-d2f2-402f-a6a7-255a061ae76c</errorID>
      <errorWord>包含于</errorWord>
      <group>L1_Word</group>
      <groupName>字词问题</groupName>
      <ability>L2_Typo</ability>
      <abilityName>字词错误</abilityName>
      <candidateList>
        <item>包含</item>
      </candidateList>
      <explain>〈动〉里边含有：这句话～好几层意思。</explain>
      <paraID>59EF4E6A</paraID>
      <start>143</start>
      <end>146</end>
      <status>ignored</status>
      <modifiedWord/>
      <trackRevisions>false</trackRevisions>
    </reviewItem>
    <reviewItem>
      <errorID>45980a29-53b0-4b4e-b66b-42a9acc726c2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78A3FABC</paraID>
      <start>0</start>
      <end>2</end>
      <status>ignored</status>
      <modifiedWord/>
      <trackRevisions>false</trackRevisions>
    </reviewItem>
    <reviewItem>
      <errorID>92e77dfc-da40-4d40-b9ad-8ff4b6dc05e0</errorID>
      <errorWord>蓬布</errorWord>
      <group>L1_Word</group>
      <groupName>字词问题</groupName>
      <ability>L2_Typo</ability>
      <abilityName>字词错误</abilityName>
      <candidateList>
        <item>篷布</item>
      </candidateList>
      <explain/>
      <paraID>4A1FDF63</paraID>
      <start>59</start>
      <end>61</end>
      <status>modified</status>
      <modifiedWord>篷布</modifiedWord>
      <trackRevisions>false</trackRevisions>
    </reviewItem>
    <reviewItem>
      <errorID>90ba4afd-89d9-4582-b259-6fd71ee72884</errorID>
      <errorWord>交通部</errorWord>
      <group>L1_Knowledge</group>
      <groupName>知识性问题</groupName>
      <ability>L2_Knowledge</ability>
      <abilityName>其他知识</abilityName>
      <candidateList>
        <item>交通运输部</item>
      </candidateList>
      <explain/>
      <paraID>68CB2713</paraID>
      <start>54</start>
      <end>57</end>
      <status>ignored</status>
      <modifiedWord/>
      <trackRevisions>false</trackRevisions>
    </reviewItem>
    <reviewItem>
      <errorID>5b46adf1-1e35-42a7-917b-2b6cbf58aa17</errorID>
      <errorWord>蓬布</errorWord>
      <group>L1_Word</group>
      <groupName>字词问题</groupName>
      <ability>L2_Typo</ability>
      <abilityName>字词错误</abilityName>
      <candidateList>
        <item>篷布</item>
      </candidateList>
      <explain/>
      <paraID>15F17F5C</paraID>
      <start>193</start>
      <end>195</end>
      <status>modified</status>
      <modifiedWord>篷布</modifiedWord>
      <trackRevisions>false</trackRevisions>
    </reviewItem>
    <reviewItem>
      <errorID>b22fc658-c626-497d-ade1-e15252077c24</errorID>
      <errorWord>有效的控制</errorWord>
      <group>L1_Word</group>
      <groupName>字词问题</groupName>
      <ability>L2_Typo</ability>
      <abilityName>字词错误</abilityName>
      <candidateList>
        <item>有效地控制</item>
      </candidateList>
      <explain/>
      <paraID>10282193</paraID>
      <start>32</start>
      <end>37</end>
      <status>modified</status>
      <modifiedWord>有效地控制</modifiedWord>
      <trackRevisions>false</trackRevisions>
    </reviewItem>
    <reviewItem>
      <errorID>4aa5d62d-f737-464a-86af-d839ad1f8a38</errorID>
      <errorWord>拌合站</errorWord>
      <group>L1_Word</group>
      <groupName>字词问题</groupName>
      <ability>L2_Typo</ability>
      <abilityName>字词错误</abilityName>
      <candidateList>
        <item>拌和站</item>
      </candidateList>
      <explain>存在发音相同字词的误用。</explain>
      <paraID>10282193</paraID>
      <start>265</start>
      <end>268</end>
      <status>modified</status>
      <modifiedWord>拌和站</modifiedWord>
      <trackRevisions>false</trackRevisions>
    </reviewItem>
    <reviewItem>
      <errorID>c1b5e680-20b0-42f5-8ee9-a35316ac7e16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49FE808</paraID>
      <start>0</start>
      <end>2</end>
      <status>ignored</status>
      <modifiedWord/>
      <trackRevisions>false</trackRevisions>
    </reviewItem>
    <reviewItem>
      <errorID>15ae5f5b-a5fe-4881-81fb-5f47c3e07bec</errorID>
      <errorWord>拌合</errorWord>
      <group>L1_Word</group>
      <groupName>字词问题</groupName>
      <ability>L2_Typo</ability>
      <abilityName>字词错误</abilityName>
      <candidateList>
        <item>拌和</item>
      </candidateList>
      <explain>存在发音相同字词的误用。</explain>
      <paraID>14700EBE</paraID>
      <start>47</start>
      <end>49</end>
      <status>modified</status>
      <modifiedWord>拌和</modifiedWord>
      <trackRevisions>false</trackRevisions>
    </reviewItem>
    <reviewItem>
      <errorID>9caaa621-e103-498b-8866-3bcac8ffad5f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339F570</paraID>
      <start>0</start>
      <end>2</end>
      <status>ignored</status>
      <modifiedWord/>
      <trackRevisions>false</trackRevisions>
    </reviewItem>
    <reviewItem>
      <errorID>a6c038f6-91e0-4ebf-8e6d-702d4dad826c</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6D71C375</paraID>
      <start>0</start>
      <end>2</end>
      <status>ignored</status>
      <modifiedWord/>
      <trackRevisions>false</trackRevisions>
    </reviewItem>
    <reviewItem>
      <errorID>6e2c4c86-c26a-4416-90b6-bb240c991a53</errorID>
      <errorWord>地</errorWord>
      <group>L1_Word</group>
      <groupName>字词问题</groupName>
      <ability>L2_DDD</ability>
      <abilityName>的地得用法</abilityName>
      <candidateList>
        <item>的</item>
      </candidateList>
      <explain>“的”常用于连接修饰语与名词性中心语，表示属性、所属或描述。</explain>
      <paraID>351F3648</paraID>
      <start>16</start>
      <end>17</end>
      <status>modified</status>
      <modifiedWord>的</modifiedWord>
      <trackRevisions>false</trackRevisions>
    </reviewItem>
    <reviewItem>
      <errorID>c6db076b-bc23-44ce-baf0-c7a7825a8d64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233C557D</paraID>
      <start>0</start>
      <end>2</end>
      <status>ignored</status>
      <modifiedWord/>
      <trackRevisions>false</trackRevisions>
    </reviewItem>
    <reviewItem>
      <errorID>dc4e9bb1-96d4-4ef5-bf10-c3f6560cc7d5</errorID>
      <errorWord>泄露</errorWord>
      <group>L1_Word</group>
      <groupName>字词问题</groupName>
      <ability>L2_Typo</ability>
      <abilityName>字词错误</abilityName>
      <candidateList>
        <item>泄漏</item>
      </candidateList>
      <explain>存在发音相同字词的误用。</explain>
      <paraID>6072235C</paraID>
      <start>113</start>
      <end>115</end>
      <status>modified</status>
      <modifiedWord>泄漏</modifiedWord>
      <trackRevisions>false</trackRevisions>
    </reviewItem>
    <reviewItem>
      <errorID>caeb865d-cee5-4428-90f6-22a1e2644c55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3C86C8E8</paraID>
      <start>0</start>
      <end>2</end>
      <status>ignored</status>
      <modifiedWord/>
      <trackRevisions>false</trackRevisions>
    </reviewItem>
    <reviewItem>
      <errorID>df1d1371-b12e-440b-99df-18954e5a6d9d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6475EC12</paraID>
      <start>0</start>
      <end>2</end>
      <status>ignored</status>
      <modifiedWord/>
      <trackRevisions>false</trackRevisions>
    </reviewItem>
    <reviewItem>
      <errorID>dc131b32-f7b2-485d-9760-cbf630a65642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61FE38B9</paraID>
      <start>0</start>
      <end>2</end>
      <status>ignored</status>
      <modifiedWord/>
      <trackRevisions>false</trackRevisions>
    </reviewItem>
    <reviewItem>
      <errorID>9fe2486c-2d04-4fa3-b102-9e618db99c32</errorID>
      <errorWord>属</errorWord>
      <group>L1_Word</group>
      <groupName>字词问题</groupName>
      <ability>L2_Typo</ability>
      <abilityName>字词错误</abilityName>
      <candidateList>
        <item>属于</item>
      </candidateList>
      <explain/>
      <paraID>48AAFB9A</paraID>
      <start>60</start>
      <end>62</end>
      <status>modified</status>
      <modifiedWord>属于</modifiedWord>
      <trackRevisions>false</trackRevisions>
    </reviewItem>
    <reviewItem>
      <errorID>7b6be82d-0d6d-490f-9fa9-09d408f8bbac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48D55A06</paraID>
      <start>0</start>
      <end>2</end>
      <status>ignored</status>
      <modifiedWord/>
      <trackRevisions>false</trackRevisions>
    </reviewItem>
    <reviewItem>
      <errorID>9a78046d-428c-4a1f-af29-67a7911b6848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2B70D7D3</paraID>
      <start>0</start>
      <end>2</end>
      <status>ignored</status>
      <modifiedWord/>
      <trackRevisions>false</trackRevisions>
    </reviewItem>
    <reviewItem>
      <errorID>467001ce-a329-44b7-ae2e-75d42422552e</errorID>
      <errorWord>来自于</errorWord>
      <group>L1_Grammar</group>
      <groupName>语法问题</groupName>
      <ability>L2_Grammar</ability>
      <abilityName>语法错误</abilityName>
      <candidateList>
        <item>来自</item>
      </candidateList>
      <explain/>
      <paraID>2EE61774</paraID>
      <start>22</start>
      <end>24</end>
      <status>modified</status>
      <modifiedWord>来自</modifiedWord>
      <trackRevisions>false</trackRevisions>
    </reviewItem>
    <reviewItem>
      <errorID>7607ac81-1779-454b-820c-4595b3018224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69365846</paraID>
      <start>0</start>
      <end>2</end>
      <status>ignored</status>
      <modifiedWord/>
      <trackRevisions>false</trackRevisions>
    </reviewItem>
    <reviewItem>
      <errorID>35635b07-db7a-4b46-9934-a05c77f402e9</errorID>
      <errorWord>泄露</errorWord>
      <group>L1_Word</group>
      <groupName>字词问题</groupName>
      <ability>L2_Typo</ability>
      <abilityName>字词错误</abilityName>
      <candidateList>
        <item>泄漏</item>
      </candidateList>
      <explain/>
      <paraID>7B1E7E1B</paraID>
      <start>173</start>
      <end>175</end>
      <status>modified</status>
      <modifiedWord>泄漏</modifiedWord>
      <trackRevisions>false</trackRevisions>
    </reviewItem>
    <reviewItem>
      <errorID>58cca9d9-b8e9-4783-ae78-f3852dcd4f30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7E482F27</paraID>
      <start>0</start>
      <end>2</end>
      <status>ignored</status>
      <modifiedWord/>
      <trackRevisions>false</trackRevisions>
    </reviewItem>
    <reviewItem>
      <errorID>3e44eef4-8789-443d-a243-c2724a90a086</errorID>
      <errorWord>拌合站</errorWord>
      <group>L1_Word</group>
      <groupName>字词问题</groupName>
      <ability>L2_Typo</ability>
      <abilityName>字词错误</abilityName>
      <candidateList>
        <item>拌和站</item>
      </candidateList>
      <explain>存在发音相同字词的误用。</explain>
      <paraID>770C4C31</paraID>
      <start>75</start>
      <end>78</end>
      <status>ignored</status>
      <modifiedWord/>
      <trackRevisions>false</trackRevisions>
    </reviewItem>
    <reviewItem>
      <errorID>d5d8c3e7-2b71-4f22-b995-f66577629efa</errorID>
      <errorWord>拌合站</errorWord>
      <group>L1_Word</group>
      <groupName>字词问题</groupName>
      <ability>L2_Typo</ability>
      <abilityName>字词错误</abilityName>
      <candidateList>
        <item>拌和站</item>
      </candidateList>
      <explain/>
      <paraID>3FAACC47</paraID>
      <start>254</start>
      <end>257</end>
      <status>modified</status>
      <modifiedWord>拌和站</modifiedWord>
      <trackRevisions>false</trackRevisions>
    </reviewItem>
    <reviewItem>
      <errorID>d9d34720-aa94-4d7b-a48e-aad99f79ae35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36BA69E6</paraID>
      <start>0</start>
      <end>2</end>
      <status>ignored</status>
      <modifiedWord/>
      <trackRevisions>false</trackRevisions>
    </reviewItem>
    <reviewItem>
      <errorID>73585ab1-df71-4044-983a-0fc9715b821b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3B345B25</paraID>
      <start>0</start>
      <end>2</end>
      <status>ignored</status>
      <modifiedWord/>
      <trackRevisions>false</trackRevisions>
    </reviewItem>
    <reviewItem>
      <errorID>7dd9eb5f-d90f-4c37-835f-8bcaf46a1297</errorID>
      <errorWord>生境</errorWord>
      <group>L1_Word</group>
      <groupName>字词问题</groupName>
      <ability>L2_Typo</ability>
      <abilityName>字词错误</abilityName>
      <candidateList>
        <item>生物</item>
      </candidateList>
      <explain/>
      <paraID>4D9B8138</paraID>
      <start>8</start>
      <end>10</end>
      <status>ignored</status>
      <modifiedWord/>
      <trackRevisions>false</trackRevisions>
    </reviewItem>
    <reviewItem>
      <errorID>aa510b25-a409-4544-aefd-35c3f65681b2</errorID>
      <errorWord>场地内</errorWord>
      <group>L1_Word</group>
      <groupName>字词问题</groupName>
      <ability>L2_Typo</ability>
      <abilityName>字词错误</abilityName>
      <candidateList>
        <item>场地</item>
      </candidateList>
      <explain/>
      <paraID> A9D960F</paraID>
      <start>27</start>
      <end>29</end>
      <status>modified</status>
      <modifiedWord>场地</modifiedWord>
      <trackRevisions>false</trackRevisions>
    </reviewItem>
    <reviewItem>
      <errorID>88db9b80-98b2-4019-8ddd-3d1c2d4c457b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19C502EA</paraID>
      <start>0</start>
      <end>2</end>
      <status>ignored</status>
      <modifiedWord/>
      <trackRevisions>false</trackRevisions>
    </reviewItem>
    <reviewItem>
      <errorID>8d5968a6-2309-4956-a279-de0edd975f20</errorID>
      <errorWord>：</errorWord>
      <group>L1_Format</group>
      <groupName>格式问题</groupName>
      <ability>L2_HalfPunc_CN</ability>
      <abilityName/>
      <candidateList>
        <item>:</item>
      </candidateList>
      <explain>文本全半角错误。</explain>
      <paraID>56D04914</paraID>
      <start>60</start>
      <end>61</end>
      <status>modified</status>
      <modifiedWord>:</modifiedWord>
      <trackRevisions>false</trackRevisions>
    </reviewItem>
    <reviewItem>
      <errorID>5352546f-2286-4a20-a68d-8164edb5ff33</errorID>
      <errorWord>：</errorWord>
      <group>L1_Format</group>
      <groupName>格式问题</groupName>
      <ability>L2_HalfPunc_CN</ability>
      <abilityName/>
      <candidateList>
        <item>:</item>
      </candidateList>
      <explain>文本全半角错误。</explain>
      <paraID>56D04914</paraID>
      <start>67</start>
      <end>68</end>
      <status>modified</status>
      <modifiedWord>:</modifiedWord>
      <trackRevisions>false</trackRevisions>
    </reviewItem>
    <reviewItem>
      <errorID>12d0317c-3ef9-42ed-ab90-7ab4b7d79529</errorID>
      <errorWord>使用</errorWord>
      <group>L1_Grammar</group>
      <groupName>语法问题</groupName>
      <ability>L2_Grammar</ability>
      <abilityName>语法错误</abilityName>
      <candidateList>
        <item>采取</item>
      </candidateList>
      <explain>“使用～措施”搭配不当，建议修改为“采取～措施”。</explain>
      <paraID>7789F4F4</paraID>
      <start>31</start>
      <end>33</end>
      <status>modified</status>
      <modifiedWord>采取</modifiedWord>
      <trackRevisions>false</trackRevisions>
    </reviewItem>
    <reviewItem>
      <errorID>e37bc29b-c43a-4d69-b89b-6dbf78760875</errorID>
      <errorWord>：</errorWord>
      <group>L1_Format</group>
      <groupName>格式问题</groupName>
      <ability>L2_HalfPunc_CN</ability>
      <abilityName/>
      <candidateList>
        <item>:</item>
      </candidateList>
      <explain>文本全半角错误。</explain>
      <paraID>426C4A64</paraID>
      <start>41</start>
      <end>42</end>
      <status>modified</status>
      <modifiedWord>:</modifiedWord>
      <trackRevisions>false</trackRevisions>
    </reviewItem>
    <reviewItem>
      <errorID>499bbaa4-cf3f-48e2-9428-ae5431d30aee</errorID>
      <errorWord>：</errorWord>
      <group>L1_Format</group>
      <groupName>格式问题</groupName>
      <ability>L2_HalfPunc_CN</ability>
      <abilityName/>
      <candidateList>
        <item>:</item>
      </candidateList>
      <explain>文本全半角错误。</explain>
      <paraID>426C4A64</paraID>
      <start>50</start>
      <end>51</end>
      <status>modified</status>
      <modifiedWord>:</modifiedWord>
      <trackRevisions>false</trackRevisions>
    </reviewItem>
    <reviewItem>
      <errorID>efb57ade-0ba9-45e0-8ae3-08e4d32d57a6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43C46DD6</paraID>
      <start>0</start>
      <end>2</end>
      <status>ignored</status>
      <modifiedWord/>
      <trackRevisions>false</trackRevisions>
    </reviewItem>
    <reviewItem>
      <errorID>50109ca8-1eed-4876-9176-7d62ad4ea194</errorID>
      <errorWord>拌合站</errorWord>
      <group>L1_Word</group>
      <groupName>字词问题</groupName>
      <ability>L2_Typo</ability>
      <abilityName>字词错误</abilityName>
      <candidateList>
        <item>拌和站</item>
      </candidateList>
      <explain>存在发音相同字词的误用。</explain>
      <paraID>65FD0CFF</paraID>
      <start>6</start>
      <end>9</end>
      <status>modified</status>
      <modifiedWord>拌和站</modifiedWord>
      <trackRevisions>false</trackRevisions>
    </reviewItem>
    <reviewItem>
      <errorID>0f754c7e-1554-462c-9cd8-d77c7da4714f</errorID>
      <errorWord>拌合站</errorWord>
      <group>L1_Word</group>
      <groupName>字词问题</groupName>
      <ability>L2_Typo</ability>
      <abilityName>字词错误</abilityName>
      <candidateList>
        <item>拌和站</item>
      </candidateList>
      <explain/>
      <paraID>65FD0CFF</paraID>
      <start>37</start>
      <end>40</end>
      <status>modified</status>
      <modifiedWord>拌和站</modifiedWord>
      <trackRevisions>false</trackRevisions>
    </reviewItem>
    <reviewItem>
      <errorID>f444d192-cadc-485c-abe6-7f8a01e88906</errorID>
      <errorWord>混凝土搅和</errorWord>
      <group>L1_Knowledge</group>
      <groupName>知识性问题</groupName>
      <ability>L2_Term</ability>
      <abilityName>专业术语</abilityName>
      <candidateList>
        <item>混凝土搅拌</item>
      </candidateList>
      <explain/>
      <paraID>65FD0CFF</paraID>
      <start>44</start>
      <end>49</end>
      <status>modified</status>
      <modifiedWord>混凝土搅拌</modifiedWord>
      <trackRevisions>false</trackRevisions>
    </reviewItem>
    <reviewItem>
      <errorID>2509c1f2-b83a-421d-989f-7e88be16fa9a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13CC1946</paraID>
      <start>0</start>
      <end>2</end>
      <status>ignored</status>
      <modifiedWord/>
      <trackRevisions>false</trackRevisions>
    </reviewItem>
    <reviewItem>
      <errorID>9a92f769-24ef-4280-9f27-5830cd2e3af8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37150BB0</paraID>
      <start>0</start>
      <end>2</end>
      <status>ignored</status>
      <modifiedWord/>
      <trackRevisions>false</trackRevisions>
    </reviewItem>
    <reviewItem>
      <errorID>d6e721b0-d0ff-464b-a532-c1e812a3285b</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33AE9620</paraID>
      <start>0</start>
      <end>2</end>
      <status>ignored</status>
      <modifiedWord/>
      <trackRevisions>false</trackRevisions>
    </reviewItem>
    <reviewItem>
      <errorID>34546345-ca42-4858-b860-f895929f1066</errorID>
      <errorWord>期</errorWord>
      <group>L1_Word</group>
      <groupName>字词问题</groupName>
      <ability>L2_Typo</ability>
      <abilityName>字词错误</abilityName>
      <candidateList>
        <item>期间</item>
      </candidateList>
      <explain>〈名〉某个时期里面：农忙～｜春节～｜抗战～。</explain>
      <paraID>272E2EC2</paraID>
      <start>5</start>
      <end>7</end>
      <status>modified</status>
      <modifiedWord>期间</modifiedWord>
      <trackRevisions>false</trackRevisions>
    </reviewItem>
    <reviewItem>
      <errorID>69c1d5c6-f353-48ba-95a6-d3b0468ecffb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56853175</paraID>
      <start>0</start>
      <end>2</end>
      <status>ignored</status>
      <modifiedWord/>
      <trackRevisions>false</trackRevisions>
    </reviewItem>
    <reviewItem>
      <errorID>d77a9719-2b51-4198-9e62-d6061a958736</errorID>
      <errorWord>可可</errorWord>
      <group>L1_Word</group>
      <groupName>字词问题</groupName>
      <ability>L2_Typo</ability>
      <abilityName>字词错误</abilityName>
      <candidateList>
        <item>可</item>
      </candidateList>
      <explain>〈动〉适合：～人意｜这回倒～了他的心了。</explain>
      <paraID> 46B1820</paraID>
      <start>39</start>
      <end>40</end>
      <status>modified</status>
      <modifiedWord>可</modifiedWord>
      <trackRevisions>false</trackRevisions>
    </reviewItem>
    <reviewItem>
      <errorID>db745d5b-59c5-47ea-99af-16ba0ad903be</errorID>
      <errorWord>对于</errorWord>
      <group>L1_Word</group>
      <groupName>字词问题</groupName>
      <ability>L2_Typo</ability>
      <abilityName>字词错误</abilityName>
      <candidateList>
        <item>对</item>
      </candidateList>
      <explain>（對）duì❶回答：～答｜无言以～。❷〈动〉对待；对付：～事不～人｜～症下药｜刀～刀，枪～枪。❸〈动〉朝着；向着（常跟“着”）：～着镜子理理头发｜枪口～着敌人。❹二者相对；彼此相向：～调｜～流｜～立｜～抗。❺对面的；敌对的：～岸｜～方｜～手｜作～。❻〈动〉使两个东西配合或接触：～对子｜把门～上｜～个火儿。</explain>
      <paraID>3AB171EA</paraID>
      <start>32</start>
      <end>33</end>
      <status>modified</status>
      <modifiedWord>对</modifiedWord>
      <trackRevisions>false</trackRevisions>
    </reviewItem>
    <reviewItem>
      <errorID>373b05af-4b50-4360-b35f-c3106a853159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6C38B1B1</paraID>
      <start>0</start>
      <end>2</end>
      <status>ignored</status>
      <modifiedWord/>
      <trackRevisions>false</trackRevisions>
    </reviewItem>
    <reviewItem>
      <errorID>f5520d50-6706-4377-a776-b63ee1fa098b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1342969F</paraID>
      <start>0</start>
      <end>2</end>
      <status>ignored</status>
      <modifiedWord/>
      <trackRevisions>false</trackRevisions>
    </reviewItem>
    <reviewItem>
      <errorID>09192b8d-f16b-4da6-bdc3-2db7b60f7064</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3DCB5712</paraID>
      <start>0</start>
      <end>2</end>
      <status>ignored</status>
      <modifiedWord/>
      <trackRevisions>false</trackRevisions>
    </reviewItem>
    <reviewItem>
      <errorID>f3d2d95e-9f8d-4006-8143-53b5f82fa346</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37290BB</paraID>
      <start>0</start>
      <end>2</end>
      <status>ignored</status>
      <modifiedWord/>
      <trackRevisions>false</trackRevisions>
    </reviewItem>
    <reviewItem>
      <errorID>cc52301e-3b95-4111-8202-0716f8d8f0c4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47494EC0</paraID>
      <start>0</start>
      <end>2</end>
      <status>ignored</status>
      <modifiedWord/>
      <trackRevisions>false</trackRevisions>
    </reviewItem>
    <reviewItem>
      <errorID>3d7fcb01-0e09-46b6-a7d0-640439e63e40</errorID>
      <errorWord>泄露</errorWord>
      <group>L1_Word</group>
      <groupName>字词问题</groupName>
      <ability>L2_Typo</ability>
      <abilityName>字词错误</abilityName>
      <candidateList>
        <item>泄漏</item>
      </candidateList>
      <explain/>
      <paraID>58DC8CFE</paraID>
      <start>26</start>
      <end>28</end>
      <status>modified</status>
      <modifiedWord>泄漏</modifiedWord>
      <trackRevisions>false</trackRevisions>
    </reviewItem>
    <reviewItem>
      <errorID>f860166d-0435-49e6-b595-0e14985ae39d</errorID>
      <errorWord>”、“</errorWord>
      <group>L1_Punc</group>
      <groupName>标点问题</groupName>
      <ability>L2_Punc_CN</ability>
      <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75783FED</paraID>
      <start>19</start>
      <end>22</end>
      <status>ignored</status>
      <modifiedWord/>
      <trackRevisions>false</trackRevisions>
    </reviewItem>
    <reviewItem>
      <errorID>126c6e6a-a36a-4eb4-88ec-13843635ce99</errorID>
      <errorWord>”、“</errorWord>
      <group>L1_Punc</group>
      <groupName>标点问题</groupName>
      <ability>L2_Punc_CN</ability>
      <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75783FED</paraID>
      <start>26</start>
      <end>29</end>
      <status>ignored</status>
      <modifiedWord/>
      <trackRevisions>false</trackRevisions>
    </reviewItem>
    <reviewItem>
      <errorID>af69f4b6-6772-4ce5-833d-41de5a041207</errorID>
      <errorWord>故</errorWord>
      <group>L1_Word</group>
      <groupName>字词问题</groupName>
      <ability>L2_Typo</ability>
      <abilityName>字词错误</abilityName>
      <candidateList>
        <item>故时</item>
      </candidateList>
      <explain/>
      <paraID>18FC386B</paraID>
      <start>54</start>
      <end>56</end>
      <status>modified</status>
      <modifiedWord>故时</modifiedWord>
      <trackRevisions>false</trackRevisions>
    </reviewItem>
    <reviewItem>
      <errorID>bf2aff0c-174c-44f4-a8bb-be1f80987415</errorID>
      <errorWord>生境</errorWord>
      <group>L1_Word</group>
      <groupName>字词问题</groupName>
      <ability>L2_Typo</ability>
      <abilityName>字词错误</abilityName>
      <candidateList>
        <item>生物</item>
      </candidateList>
      <explain/>
      <paraID>1C991D05</paraID>
      <start>75</start>
      <end>77</end>
      <status>ignored</status>
      <modifiedWord/>
      <trackRevisions>false</trackRevisions>
    </reviewItem>
    <reviewItem>
      <errorID>960b4630-2746-4935-9286-2b16ec876aef</errorID>
      <errorWord>：</errorWord>
      <group>L1_Format</group>
      <groupName>格式问题</groupName>
      <ability>L2_HalfPunc_CN</ability>
      <abilityName/>
      <candidateList>
        <item>:</item>
      </candidateList>
      <explain>文本全半角错误。</explain>
      <paraID>22AFC439</paraID>
      <start>58</start>
      <end>59</end>
      <status>modified</status>
      <modifiedWord>:</modifiedWord>
      <trackRevisions>false</trackRevisions>
    </reviewItem>
    <reviewItem>
      <errorID>bd1a273b-973c-43b7-b05c-a02422baf219</errorID>
      <errorWord>：</errorWord>
      <group>L1_Format</group>
      <groupName>格式问题</groupName>
      <ability>L2_HalfPunc_CN</ability>
      <abilityName/>
      <candidateList>
        <item>:</item>
      </candidateList>
      <explain>文本全半角错误。</explain>
      <paraID>22AFC439</paraID>
      <start>65</start>
      <end>66</end>
      <status>modified</status>
      <modifiedWord>:</modifiedWord>
      <trackRevisions>false</trackRevisions>
    </reviewItem>
    <reviewItem>
      <errorID>1bba1336-556e-42d8-a441-3e4e92fc72a1</errorID>
      <errorWord>使用</errorWord>
      <group>L1_Grammar</group>
      <groupName>语法问题</groupName>
      <ability>L2_Grammar</ability>
      <abilityName>语法错误</abilityName>
      <candidateList>
        <item>采取</item>
      </candidateList>
      <explain>“使用～措施”搭配不当，建议修改为“采取～措施”。</explain>
      <paraID>15255D7F</paraID>
      <start>29</start>
      <end>31</end>
      <status>modified</status>
      <modifiedWord>采取</modifiedWord>
      <trackRevisions>false</trackRevisions>
    </reviewItem>
    <reviewItem>
      <errorID>6b0835fe-363c-46a1-a88c-0345f993ae26</errorID>
      <errorWord>：</errorWord>
      <group>L1_Format</group>
      <groupName>格式问题</groupName>
      <ability>L2_HalfPunc_CN</ability>
      <abilityName/>
      <candidateList>
        <item>:</item>
      </candidateList>
      <explain>文本全半角错误。</explain>
      <paraID> 46E2298</paraID>
      <start>39</start>
      <end>40</end>
      <status>modified</status>
      <modifiedWord>:</modifiedWord>
      <trackRevisions>false</trackRevisions>
    </reviewItem>
    <reviewItem>
      <errorID>e3b0af45-d49a-44f6-91ac-d04df3a50da3</errorID>
      <errorWord>：</errorWord>
      <group>L1_Format</group>
      <groupName>格式问题</groupName>
      <ability>L2_HalfPunc_CN</ability>
      <abilityName/>
      <candidateList>
        <item>:</item>
      </candidateList>
      <explain>文本全半角错误。</explain>
      <paraID> 46E2298</paraID>
      <start>48</start>
      <end>49</end>
      <status>modified</status>
      <modifiedWord>:</modifiedWord>
      <trackRevisions>false</trackRevisions>
    </reviewItem>
    <reviewItem>
      <errorID>f3ac8d53-e19f-4b61-ae0b-1d1034b09b63</errorID>
      <errorWord>拌合站</errorWord>
      <group>L1_Word</group>
      <groupName>字词问题</groupName>
      <ability>L2_Typo</ability>
      <abilityName>字词错误</abilityName>
      <candidateList>
        <item>拌和站</item>
      </candidateList>
      <explain>存在发音相同字词的误用。</explain>
      <paraID>69AA7EB7</paraID>
      <start>4</start>
      <end>7</end>
      <status>modified</status>
      <modifiedWord>拌和站</modifiedWord>
      <trackRevisions>false</trackRevisions>
    </reviewItem>
    <reviewItem>
      <errorID>391a8936-55d9-41ef-97e0-3c9742d529bd</errorID>
      <errorWord>拌合站</errorWord>
      <group>L1_Word</group>
      <groupName>字词问题</groupName>
      <ability>L2_Typo</ability>
      <abilityName>字词错误</abilityName>
      <candidateList>
        <item>拌和站</item>
      </candidateList>
      <explain/>
      <paraID>69AA7EB7</paraID>
      <start>35</start>
      <end>38</end>
      <status>modified</status>
      <modifiedWord>拌和站</modifiedWord>
      <trackRevisions>false</trackRevisions>
    </reviewItem>
    <reviewItem>
      <errorID>cf1f5843-5a7b-4681-9c7b-8c5e7aeeb519</errorID>
      <errorWord>混凝土搅和</errorWord>
      <group>L1_Knowledge</group>
      <groupName>知识性问题</groupName>
      <ability>L2_Term</ability>
      <abilityName>专业术语</abilityName>
      <candidateList>
        <item>混凝土搅拌</item>
      </candidateList>
      <explain/>
      <paraID>69AA7EB7</paraID>
      <start>42</start>
      <end>47</end>
      <status>modified</status>
      <modifiedWord>混凝土搅拌</modifiedWord>
      <trackRevisions>false</trackRevisions>
    </reviewItem>
    <reviewItem>
      <errorID>fb30fb9d-de33-4d0c-bcc7-9d7472f18236</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5DD603DF</paraID>
      <start>67</start>
      <end>68</end>
      <status>modified</status>
      <modifiedWord>地</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de1b81-70be-4a9a-8cbf-6b75b298b2cd}">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82</Pages>
  <Words>889</Words>
  <Characters>942</Characters>
  <Lines>264</Lines>
  <Paragraphs>74</Paragraphs>
  <TotalTime>5</TotalTime>
  <ScaleCrop>false</ScaleCrop>
  <LinksUpToDate>false</LinksUpToDate>
  <CharactersWithSpaces>1055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2020-12-24T01:42:00Z</dcterms:created>
  <dc:creator>lhj</dc:creator>
  <cp:lastModifiedBy>AXBY6688</cp:lastModifiedBy>
  <cp:lastPrinted>2023-06-15T00:20:00Z</cp:lastPrinted>
  <dcterms:modified xsi:type="dcterms:W3CDTF">2026-06-22T01:12:53Z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900183A9CCA9487081A462929E717123_13</vt:lpwstr>
  </property>
  <property fmtid="{D5CDD505-2E9C-101B-9397-08002B2CF9AE}" pid="4" name="KSOTemplateDocerSaveRecord">
    <vt:lpwstr>eyJoZGlkIjoiZmM3MDQxNTk1MzRlOTc0OWQ4MDMxOTJlNWM3ODg3NTEiLCJ1c2VySWQiOiIxMzI0MjAwNzk0In0=</vt:lpwstr>
  </property>
</Properties>
</file>